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52BB8">
      <w:pPr>
        <w:adjustRightInd w:val="0"/>
        <w:snapToGrid w:val="0"/>
        <w:jc w:val="center"/>
        <w:outlineLvl w:val="0"/>
        <w:rPr>
          <w:rFonts w:hint="default" w:ascii="Times New Roman" w:hAnsi="Times New Roman" w:eastAsia="宋体" w:cs="Times New Roman"/>
          <w:bCs/>
          <w:color w:val="auto"/>
          <w:sz w:val="72"/>
          <w:szCs w:val="72"/>
          <w:highlight w:val="none"/>
        </w:rPr>
      </w:pPr>
      <w:bookmarkStart w:id="0" w:name="_Toc26897"/>
      <w:bookmarkStart w:id="1" w:name="_Toc24143"/>
      <w:bookmarkStart w:id="2" w:name="_Toc10516"/>
      <w:bookmarkStart w:id="3" w:name="_Toc27577"/>
      <w:bookmarkStart w:id="4" w:name="_Toc18270"/>
      <w:bookmarkStart w:id="37" w:name="_GoBack"/>
      <w:bookmarkEnd w:id="37"/>
    </w:p>
    <w:p w14:paraId="4413DE92">
      <w:pPr>
        <w:adjustRightInd w:val="0"/>
        <w:snapToGrid w:val="0"/>
        <w:jc w:val="center"/>
        <w:outlineLvl w:val="0"/>
        <w:rPr>
          <w:rFonts w:hint="default" w:ascii="Times New Roman" w:hAnsi="Times New Roman" w:eastAsia="宋体" w:cs="Times New Roman"/>
          <w:bCs/>
          <w:color w:val="auto"/>
          <w:sz w:val="72"/>
          <w:szCs w:val="72"/>
          <w:highlight w:val="none"/>
        </w:rPr>
      </w:pPr>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p>
    <w:p w14:paraId="58A2B8C4">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E0360DA">
      <w:pPr>
        <w:adjustRightInd w:val="0"/>
        <w:snapToGrid w:val="0"/>
        <w:spacing w:line="288" w:lineRule="auto"/>
        <w:jc w:val="center"/>
        <w:outlineLvl w:val="0"/>
        <w:rPr>
          <w:rFonts w:hint="default" w:ascii="Times New Roman" w:hAnsi="Times New Roman" w:eastAsia="宋体" w:cs="Times New Roman"/>
          <w:color w:val="auto"/>
          <w:kern w:val="44"/>
          <w:sz w:val="44"/>
          <w:szCs w:val="44"/>
          <w:highlight w:val="none"/>
        </w:rPr>
      </w:pPr>
    </w:p>
    <w:p w14:paraId="53E1946D">
      <w:pPr>
        <w:jc w:val="center"/>
        <w:rPr>
          <w:rFonts w:hint="default" w:ascii="Times New Roman" w:hAnsi="Times New Roman" w:eastAsia="宋体" w:cs="Times New Roman"/>
          <w:color w:val="auto"/>
          <w:sz w:val="52"/>
          <w:szCs w:val="52"/>
          <w:highlight w:val="none"/>
        </w:rPr>
      </w:pPr>
    </w:p>
    <w:p w14:paraId="2EBDE8DC">
      <w:pPr>
        <w:ind w:firstLine="1040"/>
        <w:rPr>
          <w:rFonts w:hint="default" w:ascii="Times New Roman" w:hAnsi="Times New Roman" w:eastAsia="宋体" w:cs="Times New Roman"/>
          <w:color w:val="auto"/>
          <w:sz w:val="44"/>
          <w:szCs w:val="44"/>
          <w:highlight w:val="none"/>
        </w:rPr>
      </w:pPr>
    </w:p>
    <w:p w14:paraId="761EC079">
      <w:pPr>
        <w:ind w:firstLine="1040"/>
        <w:rPr>
          <w:rFonts w:hint="default" w:ascii="Times New Roman" w:hAnsi="Times New Roman" w:eastAsia="宋体" w:cs="Times New Roman"/>
          <w:color w:val="auto"/>
          <w:sz w:val="44"/>
          <w:szCs w:val="44"/>
          <w:highlight w:val="none"/>
        </w:rPr>
      </w:pPr>
    </w:p>
    <w:p w14:paraId="55193606">
      <w:pPr>
        <w:ind w:firstLine="1040"/>
        <w:rPr>
          <w:rFonts w:hint="default" w:ascii="Times New Roman" w:hAnsi="Times New Roman" w:eastAsia="宋体" w:cs="Times New Roman"/>
          <w:color w:val="auto"/>
          <w:sz w:val="44"/>
          <w:szCs w:val="44"/>
          <w:highlight w:val="none"/>
        </w:rPr>
      </w:pPr>
    </w:p>
    <w:p w14:paraId="08752247">
      <w:pPr>
        <w:ind w:firstLine="1040"/>
        <w:rPr>
          <w:rFonts w:hint="default" w:ascii="Times New Roman" w:hAnsi="Times New Roman" w:eastAsia="宋体" w:cs="Times New Roman"/>
          <w:color w:val="auto"/>
          <w:sz w:val="44"/>
          <w:szCs w:val="44"/>
          <w:highlight w:val="none"/>
        </w:rPr>
      </w:pPr>
    </w:p>
    <w:p w14:paraId="09DF29B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rPr>
        <w:t xml:space="preserve"> 昆明</w:t>
      </w:r>
      <w:r>
        <w:rPr>
          <w:rFonts w:hint="eastAsia" w:cs="Times New Roman"/>
          <w:color w:val="auto"/>
          <w:sz w:val="36"/>
          <w:szCs w:val="36"/>
          <w:highlight w:val="none"/>
          <w:u w:val="single"/>
          <w:lang w:eastAsia="zh-CN"/>
        </w:rPr>
        <w:t>日盛玻璃制造</w:t>
      </w:r>
      <w:r>
        <w:rPr>
          <w:rFonts w:hint="default" w:ascii="Times New Roman" w:hAnsi="Times New Roman" w:eastAsia="宋体" w:cs="Times New Roman"/>
          <w:color w:val="auto"/>
          <w:sz w:val="36"/>
          <w:szCs w:val="36"/>
          <w:highlight w:val="none"/>
          <w:u w:val="single"/>
        </w:rPr>
        <w:t>有限公司</w:t>
      </w:r>
      <w:r>
        <w:rPr>
          <w:rFonts w:hint="eastAsia" w:cs="Times New Roman"/>
          <w:color w:val="auto"/>
          <w:sz w:val="36"/>
          <w:szCs w:val="36"/>
          <w:highlight w:val="none"/>
          <w:u w:val="single"/>
          <w:lang w:eastAsia="zh-CN"/>
        </w:rPr>
        <w:t>玉砂玻璃、防火</w:t>
      </w:r>
      <w:r>
        <w:rPr>
          <w:rFonts w:hint="eastAsia" w:cs="Times New Roman"/>
          <w:color w:val="auto"/>
          <w:sz w:val="36"/>
          <w:szCs w:val="36"/>
          <w:highlight w:val="none"/>
          <w:u w:val="single"/>
          <w:lang w:val="en-US" w:eastAsia="zh-CN"/>
        </w:rPr>
        <w:t xml:space="preserve">      </w:t>
      </w:r>
      <w:r>
        <w:rPr>
          <w:rFonts w:hint="eastAsia" w:cs="Times New Roman"/>
          <w:color w:val="auto"/>
          <w:sz w:val="36"/>
          <w:szCs w:val="36"/>
          <w:highlight w:val="none"/>
          <w:u w:val="single"/>
          <w:lang w:eastAsia="zh-CN"/>
        </w:rPr>
        <w:t>玻璃、钢化玻璃生产线扩建项目</w:t>
      </w:r>
      <w:r>
        <w:rPr>
          <w:rFonts w:hint="eastAsia" w:ascii="Times New Roman" w:hAnsi="Times New Roman" w:cs="Times New Roman"/>
          <w:color w:val="auto"/>
          <w:sz w:val="36"/>
          <w:szCs w:val="36"/>
          <w:highlight w:val="none"/>
          <w:u w:val="single"/>
          <w:lang w:val="en-US" w:eastAsia="zh-CN"/>
        </w:rPr>
        <w:t xml:space="preserve"> </w:t>
      </w:r>
    </w:p>
    <w:p w14:paraId="7BBD1BE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rPr>
        <w:t xml:space="preserve"> 昆明</w:t>
      </w:r>
      <w:r>
        <w:rPr>
          <w:rFonts w:hint="eastAsia" w:cs="Times New Roman"/>
          <w:color w:val="auto"/>
          <w:sz w:val="36"/>
          <w:szCs w:val="36"/>
          <w:highlight w:val="none"/>
          <w:u w:val="single"/>
          <w:lang w:eastAsia="zh-CN"/>
        </w:rPr>
        <w:t>日盛玻璃制造</w:t>
      </w:r>
      <w:r>
        <w:rPr>
          <w:rFonts w:hint="default" w:ascii="Times New Roman" w:hAnsi="Times New Roman" w:eastAsia="宋体" w:cs="Times New Roman"/>
          <w:color w:val="auto"/>
          <w:sz w:val="36"/>
          <w:szCs w:val="36"/>
          <w:highlight w:val="none"/>
          <w:u w:val="single"/>
        </w:rPr>
        <w:t>有限公司</w:t>
      </w:r>
      <w:r>
        <w:rPr>
          <w:rFonts w:hint="eastAsia" w:ascii="Times New Roman" w:hAnsi="Times New Roman" w:cs="Times New Roman"/>
          <w:color w:val="auto"/>
          <w:sz w:val="36"/>
          <w:szCs w:val="36"/>
          <w:highlight w:val="none"/>
          <w:u w:val="single"/>
          <w:lang w:val="en-US" w:eastAsia="zh-CN"/>
        </w:rPr>
        <w:t xml:space="preserve"> </w:t>
      </w:r>
    </w:p>
    <w:p w14:paraId="66B0AF8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eastAsia"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rPr>
        <w:t>年</w:t>
      </w:r>
      <w:r>
        <w:rPr>
          <w:rFonts w:hint="eastAsia" w:cs="Times New Roman"/>
          <w:color w:val="auto"/>
          <w:sz w:val="36"/>
          <w:szCs w:val="36"/>
          <w:highlight w:val="none"/>
          <w:u w:val="single"/>
          <w:lang w:val="en-US" w:eastAsia="zh-CN"/>
        </w:rPr>
        <w:t>6</w:t>
      </w:r>
      <w:r>
        <w:rPr>
          <w:rFonts w:hint="default" w:ascii="Times New Roman" w:hAnsi="Times New Roman" w:eastAsia="宋体" w:cs="Times New Roman"/>
          <w:color w:val="auto"/>
          <w:sz w:val="36"/>
          <w:szCs w:val="36"/>
          <w:highlight w:val="none"/>
          <w:u w:val="single"/>
        </w:rPr>
        <w:t>月</w:t>
      </w:r>
      <w:r>
        <w:rPr>
          <w:rFonts w:hint="eastAsia" w:cs="Times New Roman"/>
          <w:color w:val="auto"/>
          <w:sz w:val="36"/>
          <w:szCs w:val="36"/>
          <w:highlight w:val="none"/>
          <w:u w:val="single"/>
          <w:lang w:val="en-US" w:eastAsia="zh-CN"/>
        </w:rPr>
        <w:t xml:space="preserve"> </w:t>
      </w:r>
    </w:p>
    <w:p w14:paraId="295C9C84">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5" w:name="_Hlk57884087"/>
    </w:p>
    <w:p w14:paraId="71D5B60A">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53879605">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1AF92F74">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75539249">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5"/>
    <w:p w14:paraId="3339906E">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4E72332E">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52CAE4C7">
      <w:pP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eastAsia"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14:paraId="4AFE776A">
      <w:pPr>
        <w:pStyle w:val="19"/>
        <w:tabs>
          <w:tab w:val="right" w:leader="dot" w:pos="8844"/>
        </w:tabs>
        <w:rPr>
          <w:color w:val="auto"/>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TOC \o "1-1" \h \u </w:instrText>
      </w:r>
      <w:r>
        <w:rPr>
          <w:rFonts w:hint="default" w:ascii="Times New Roman" w:hAnsi="Times New Roman" w:eastAsia="宋体" w:cs="Times New Roman"/>
          <w:b/>
          <w:bCs/>
          <w:color w:val="auto"/>
          <w:sz w:val="24"/>
          <w:szCs w:val="24"/>
          <w:highlight w:val="none"/>
        </w:rPr>
        <w:fldChar w:fldCharType="separate"/>
      </w:r>
    </w:p>
    <w:p w14:paraId="5AF5F03D">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color w:val="auto"/>
          <w:sz w:val="24"/>
          <w:highlight w:val="none"/>
        </w:rPr>
      </w:pP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HYPERLINK \l _Toc27453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bCs/>
          <w:snapToGrid w:val="0"/>
          <w:color w:val="auto"/>
          <w:sz w:val="24"/>
          <w:szCs w:val="30"/>
          <w:highlight w:val="none"/>
        </w:rPr>
        <w:t>一、建设项目基本情况</w:t>
      </w:r>
      <w:r>
        <w:rPr>
          <w:color w:val="auto"/>
          <w:sz w:val="24"/>
          <w:highlight w:val="none"/>
        </w:rPr>
        <w:tab/>
      </w:r>
      <w:r>
        <w:rPr>
          <w:color w:val="auto"/>
          <w:sz w:val="24"/>
          <w:highlight w:val="none"/>
        </w:rPr>
        <w:fldChar w:fldCharType="begin"/>
      </w:r>
      <w:r>
        <w:rPr>
          <w:color w:val="auto"/>
          <w:sz w:val="24"/>
          <w:highlight w:val="none"/>
        </w:rPr>
        <w:instrText xml:space="preserve"> PAGEREF _Toc27453 \h </w:instrText>
      </w:r>
      <w:r>
        <w:rPr>
          <w:color w:val="auto"/>
          <w:sz w:val="24"/>
          <w:highlight w:val="none"/>
        </w:rPr>
        <w:fldChar w:fldCharType="separate"/>
      </w:r>
      <w:r>
        <w:rPr>
          <w:color w:val="auto"/>
          <w:sz w:val="24"/>
          <w:highlight w:val="none"/>
        </w:rPr>
        <w:t>1</w:t>
      </w:r>
      <w:r>
        <w:rPr>
          <w:color w:val="auto"/>
          <w:sz w:val="24"/>
          <w:highlight w:val="none"/>
        </w:rPr>
        <w:fldChar w:fldCharType="end"/>
      </w:r>
      <w:r>
        <w:rPr>
          <w:rFonts w:hint="default" w:ascii="Times New Roman" w:hAnsi="Times New Roman" w:eastAsia="宋体" w:cs="Times New Roman"/>
          <w:bCs/>
          <w:color w:val="auto"/>
          <w:sz w:val="24"/>
          <w:szCs w:val="24"/>
          <w:highlight w:val="none"/>
        </w:rPr>
        <w:fldChar w:fldCharType="end"/>
      </w:r>
    </w:p>
    <w:p w14:paraId="617FFB89">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color w:val="auto"/>
          <w:sz w:val="24"/>
          <w:highlight w:val="none"/>
        </w:rPr>
      </w:pP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HYPERLINK \l _Toc23966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bCs/>
          <w:snapToGrid w:val="0"/>
          <w:color w:val="auto"/>
          <w:sz w:val="24"/>
          <w:szCs w:val="30"/>
          <w:highlight w:val="none"/>
        </w:rPr>
        <w:t>二、建设项目工程分析</w:t>
      </w:r>
      <w:r>
        <w:rPr>
          <w:color w:val="auto"/>
          <w:sz w:val="24"/>
          <w:highlight w:val="none"/>
        </w:rPr>
        <w:tab/>
      </w:r>
      <w:r>
        <w:rPr>
          <w:color w:val="auto"/>
          <w:sz w:val="24"/>
          <w:highlight w:val="none"/>
        </w:rPr>
        <w:fldChar w:fldCharType="begin"/>
      </w:r>
      <w:r>
        <w:rPr>
          <w:color w:val="auto"/>
          <w:sz w:val="24"/>
          <w:highlight w:val="none"/>
        </w:rPr>
        <w:instrText xml:space="preserve"> PAGEREF _Toc23966 \h </w:instrText>
      </w:r>
      <w:r>
        <w:rPr>
          <w:color w:val="auto"/>
          <w:sz w:val="24"/>
          <w:highlight w:val="none"/>
        </w:rPr>
        <w:fldChar w:fldCharType="separate"/>
      </w:r>
      <w:r>
        <w:rPr>
          <w:color w:val="auto"/>
          <w:sz w:val="24"/>
          <w:highlight w:val="none"/>
        </w:rPr>
        <w:t>29</w:t>
      </w:r>
      <w:r>
        <w:rPr>
          <w:color w:val="auto"/>
          <w:sz w:val="24"/>
          <w:highlight w:val="none"/>
        </w:rPr>
        <w:fldChar w:fldCharType="end"/>
      </w:r>
      <w:r>
        <w:rPr>
          <w:rFonts w:hint="default" w:ascii="Times New Roman" w:hAnsi="Times New Roman" w:eastAsia="宋体" w:cs="Times New Roman"/>
          <w:bCs/>
          <w:color w:val="auto"/>
          <w:sz w:val="24"/>
          <w:szCs w:val="24"/>
          <w:highlight w:val="none"/>
        </w:rPr>
        <w:fldChar w:fldCharType="end"/>
      </w:r>
    </w:p>
    <w:p w14:paraId="49AB4268">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color w:val="auto"/>
          <w:sz w:val="24"/>
          <w:highlight w:val="none"/>
        </w:rPr>
      </w:pP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HYPERLINK \l _Toc6634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bCs/>
          <w:snapToGrid w:val="0"/>
          <w:color w:val="auto"/>
          <w:sz w:val="24"/>
          <w:szCs w:val="30"/>
          <w:highlight w:val="none"/>
        </w:rPr>
        <w:t>三、区域环境质量现状、环境保护目标及评价标准</w:t>
      </w:r>
      <w:r>
        <w:rPr>
          <w:color w:val="auto"/>
          <w:sz w:val="24"/>
          <w:highlight w:val="none"/>
        </w:rPr>
        <w:tab/>
      </w:r>
      <w:r>
        <w:rPr>
          <w:color w:val="auto"/>
          <w:sz w:val="24"/>
          <w:highlight w:val="none"/>
        </w:rPr>
        <w:fldChar w:fldCharType="begin"/>
      </w:r>
      <w:r>
        <w:rPr>
          <w:color w:val="auto"/>
          <w:sz w:val="24"/>
          <w:highlight w:val="none"/>
        </w:rPr>
        <w:instrText xml:space="preserve"> PAGEREF _Toc6634 \h </w:instrText>
      </w:r>
      <w:r>
        <w:rPr>
          <w:color w:val="auto"/>
          <w:sz w:val="24"/>
          <w:highlight w:val="none"/>
        </w:rPr>
        <w:fldChar w:fldCharType="separate"/>
      </w:r>
      <w:r>
        <w:rPr>
          <w:color w:val="auto"/>
          <w:sz w:val="24"/>
          <w:highlight w:val="none"/>
        </w:rPr>
        <w:t>68</w:t>
      </w:r>
      <w:r>
        <w:rPr>
          <w:color w:val="auto"/>
          <w:sz w:val="24"/>
          <w:highlight w:val="none"/>
        </w:rPr>
        <w:fldChar w:fldCharType="end"/>
      </w:r>
      <w:r>
        <w:rPr>
          <w:rFonts w:hint="default" w:ascii="Times New Roman" w:hAnsi="Times New Roman" w:eastAsia="宋体" w:cs="Times New Roman"/>
          <w:bCs/>
          <w:color w:val="auto"/>
          <w:sz w:val="24"/>
          <w:szCs w:val="24"/>
          <w:highlight w:val="none"/>
        </w:rPr>
        <w:fldChar w:fldCharType="end"/>
      </w:r>
    </w:p>
    <w:p w14:paraId="1D7A45C9">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color w:val="auto"/>
          <w:sz w:val="24"/>
          <w:highlight w:val="none"/>
        </w:rPr>
      </w:pP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HYPERLINK \l _Toc19946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bCs/>
          <w:snapToGrid w:val="0"/>
          <w:color w:val="auto"/>
          <w:sz w:val="24"/>
          <w:szCs w:val="30"/>
          <w:highlight w:val="none"/>
        </w:rPr>
        <w:t>四、主要环境影响和保护措施</w:t>
      </w:r>
      <w:r>
        <w:rPr>
          <w:color w:val="auto"/>
          <w:sz w:val="24"/>
          <w:highlight w:val="none"/>
        </w:rPr>
        <w:tab/>
      </w:r>
      <w:r>
        <w:rPr>
          <w:color w:val="auto"/>
          <w:sz w:val="24"/>
          <w:highlight w:val="none"/>
        </w:rPr>
        <w:fldChar w:fldCharType="begin"/>
      </w:r>
      <w:r>
        <w:rPr>
          <w:color w:val="auto"/>
          <w:sz w:val="24"/>
          <w:highlight w:val="none"/>
        </w:rPr>
        <w:instrText xml:space="preserve"> PAGEREF _Toc19946 \h </w:instrText>
      </w:r>
      <w:r>
        <w:rPr>
          <w:color w:val="auto"/>
          <w:sz w:val="24"/>
          <w:highlight w:val="none"/>
        </w:rPr>
        <w:fldChar w:fldCharType="separate"/>
      </w:r>
      <w:r>
        <w:rPr>
          <w:color w:val="auto"/>
          <w:sz w:val="24"/>
          <w:highlight w:val="none"/>
        </w:rPr>
        <w:t>85</w:t>
      </w:r>
      <w:r>
        <w:rPr>
          <w:color w:val="auto"/>
          <w:sz w:val="24"/>
          <w:highlight w:val="none"/>
        </w:rPr>
        <w:fldChar w:fldCharType="end"/>
      </w:r>
      <w:r>
        <w:rPr>
          <w:rFonts w:hint="default" w:ascii="Times New Roman" w:hAnsi="Times New Roman" w:eastAsia="宋体" w:cs="Times New Roman"/>
          <w:bCs/>
          <w:color w:val="auto"/>
          <w:sz w:val="24"/>
          <w:szCs w:val="24"/>
          <w:highlight w:val="none"/>
        </w:rPr>
        <w:fldChar w:fldCharType="end"/>
      </w:r>
    </w:p>
    <w:p w14:paraId="5EFEBFF7">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color w:val="auto"/>
          <w:sz w:val="24"/>
          <w:highlight w:val="none"/>
        </w:rPr>
      </w:pP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HYPERLINK \l _Toc19890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bCs/>
          <w:snapToGrid w:val="0"/>
          <w:color w:val="auto"/>
          <w:sz w:val="24"/>
          <w:szCs w:val="30"/>
          <w:highlight w:val="none"/>
        </w:rPr>
        <w:t>五、环境保护措施监督检查清单</w:t>
      </w:r>
      <w:r>
        <w:rPr>
          <w:color w:val="auto"/>
          <w:sz w:val="24"/>
          <w:highlight w:val="none"/>
        </w:rPr>
        <w:tab/>
      </w:r>
      <w:r>
        <w:rPr>
          <w:color w:val="auto"/>
          <w:sz w:val="24"/>
          <w:highlight w:val="none"/>
        </w:rPr>
        <w:fldChar w:fldCharType="begin"/>
      </w:r>
      <w:r>
        <w:rPr>
          <w:color w:val="auto"/>
          <w:sz w:val="24"/>
          <w:highlight w:val="none"/>
        </w:rPr>
        <w:instrText xml:space="preserve"> PAGEREF _Toc19890 \h </w:instrText>
      </w:r>
      <w:r>
        <w:rPr>
          <w:color w:val="auto"/>
          <w:sz w:val="24"/>
          <w:highlight w:val="none"/>
        </w:rPr>
        <w:fldChar w:fldCharType="separate"/>
      </w:r>
      <w:r>
        <w:rPr>
          <w:color w:val="auto"/>
          <w:sz w:val="24"/>
          <w:highlight w:val="none"/>
        </w:rPr>
        <w:t>133</w:t>
      </w:r>
      <w:r>
        <w:rPr>
          <w:color w:val="auto"/>
          <w:sz w:val="24"/>
          <w:highlight w:val="none"/>
        </w:rPr>
        <w:fldChar w:fldCharType="end"/>
      </w:r>
      <w:r>
        <w:rPr>
          <w:rFonts w:hint="default" w:ascii="Times New Roman" w:hAnsi="Times New Roman" w:eastAsia="宋体" w:cs="Times New Roman"/>
          <w:bCs/>
          <w:color w:val="auto"/>
          <w:sz w:val="24"/>
          <w:szCs w:val="24"/>
          <w:highlight w:val="none"/>
        </w:rPr>
        <w:fldChar w:fldCharType="end"/>
      </w:r>
    </w:p>
    <w:p w14:paraId="31AD409E">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color w:val="auto"/>
          <w:sz w:val="24"/>
          <w:highlight w:val="none"/>
        </w:rPr>
      </w:pP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HYPERLINK \l _Toc14258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bCs/>
          <w:snapToGrid w:val="0"/>
          <w:color w:val="auto"/>
          <w:sz w:val="24"/>
          <w:szCs w:val="30"/>
          <w:highlight w:val="none"/>
        </w:rPr>
        <w:t>六、结论</w:t>
      </w:r>
      <w:r>
        <w:rPr>
          <w:color w:val="auto"/>
          <w:sz w:val="24"/>
          <w:highlight w:val="none"/>
        </w:rPr>
        <w:tab/>
      </w:r>
      <w:r>
        <w:rPr>
          <w:color w:val="auto"/>
          <w:sz w:val="24"/>
          <w:highlight w:val="none"/>
        </w:rPr>
        <w:fldChar w:fldCharType="begin"/>
      </w:r>
      <w:r>
        <w:rPr>
          <w:color w:val="auto"/>
          <w:sz w:val="24"/>
          <w:highlight w:val="none"/>
        </w:rPr>
        <w:instrText xml:space="preserve"> PAGEREF _Toc14258 \h </w:instrText>
      </w:r>
      <w:r>
        <w:rPr>
          <w:color w:val="auto"/>
          <w:sz w:val="24"/>
          <w:highlight w:val="none"/>
        </w:rPr>
        <w:fldChar w:fldCharType="separate"/>
      </w:r>
      <w:r>
        <w:rPr>
          <w:color w:val="auto"/>
          <w:sz w:val="24"/>
          <w:highlight w:val="none"/>
        </w:rPr>
        <w:t>137</w:t>
      </w:r>
      <w:r>
        <w:rPr>
          <w:color w:val="auto"/>
          <w:sz w:val="24"/>
          <w:highlight w:val="none"/>
        </w:rPr>
        <w:fldChar w:fldCharType="end"/>
      </w:r>
      <w:r>
        <w:rPr>
          <w:rFonts w:hint="default" w:ascii="Times New Roman" w:hAnsi="Times New Roman" w:eastAsia="宋体" w:cs="Times New Roman"/>
          <w:bCs/>
          <w:color w:val="auto"/>
          <w:sz w:val="24"/>
          <w:szCs w:val="24"/>
          <w:highlight w:val="none"/>
        </w:rPr>
        <w:fldChar w:fldCharType="end"/>
      </w:r>
    </w:p>
    <w:p w14:paraId="155D87A4">
      <w:pPr>
        <w:pStyle w:val="19"/>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color w:val="auto"/>
          <w:highlight w:val="none"/>
        </w:rPr>
      </w:pP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HYPERLINK \l _Toc18326 </w:instrText>
      </w:r>
      <w:r>
        <w:rPr>
          <w:rFonts w:hint="default" w:ascii="Times New Roman" w:hAnsi="Times New Roman" w:eastAsia="宋体" w:cs="Times New Roman"/>
          <w:bCs/>
          <w:color w:val="auto"/>
          <w:sz w:val="24"/>
          <w:szCs w:val="24"/>
          <w:highlight w:val="none"/>
        </w:rPr>
        <w:fldChar w:fldCharType="separate"/>
      </w:r>
      <w:r>
        <w:rPr>
          <w:rFonts w:hint="eastAsia" w:ascii="Times New Roman" w:hAnsi="Times New Roman" w:eastAsia="宋体" w:cs="Times New Roman"/>
          <w:bCs/>
          <w:snapToGrid w:val="0"/>
          <w:color w:val="auto"/>
          <w:sz w:val="24"/>
          <w:szCs w:val="30"/>
          <w:highlight w:val="none"/>
        </w:rPr>
        <w:t>附表</w:t>
      </w:r>
      <w:r>
        <w:rPr>
          <w:color w:val="auto"/>
          <w:sz w:val="24"/>
          <w:highlight w:val="none"/>
        </w:rPr>
        <w:tab/>
      </w:r>
      <w:r>
        <w:rPr>
          <w:color w:val="auto"/>
          <w:sz w:val="24"/>
          <w:highlight w:val="none"/>
        </w:rPr>
        <w:fldChar w:fldCharType="begin"/>
      </w:r>
      <w:r>
        <w:rPr>
          <w:color w:val="auto"/>
          <w:sz w:val="24"/>
          <w:highlight w:val="none"/>
        </w:rPr>
        <w:instrText xml:space="preserve"> PAGEREF _Toc18326 \h </w:instrText>
      </w:r>
      <w:r>
        <w:rPr>
          <w:color w:val="auto"/>
          <w:sz w:val="24"/>
          <w:highlight w:val="none"/>
        </w:rPr>
        <w:fldChar w:fldCharType="separate"/>
      </w:r>
      <w:r>
        <w:rPr>
          <w:color w:val="auto"/>
          <w:sz w:val="24"/>
          <w:highlight w:val="none"/>
        </w:rPr>
        <w:t>138</w:t>
      </w:r>
      <w:r>
        <w:rPr>
          <w:color w:val="auto"/>
          <w:sz w:val="24"/>
          <w:highlight w:val="none"/>
        </w:rPr>
        <w:fldChar w:fldCharType="end"/>
      </w:r>
      <w:r>
        <w:rPr>
          <w:rFonts w:hint="default" w:ascii="Times New Roman" w:hAnsi="Times New Roman" w:eastAsia="宋体" w:cs="Times New Roman"/>
          <w:bCs/>
          <w:color w:val="auto"/>
          <w:sz w:val="24"/>
          <w:szCs w:val="24"/>
          <w:highlight w:val="none"/>
        </w:rPr>
        <w:fldChar w:fldCharType="end"/>
      </w:r>
    </w:p>
    <w:p w14:paraId="6023058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zCs w:val="24"/>
          <w:highlight w:val="none"/>
        </w:rPr>
        <w:fldChar w:fldCharType="end"/>
      </w:r>
      <w:r>
        <w:rPr>
          <w:rFonts w:hint="eastAsia" w:ascii="Times New Roman" w:hAnsi="Times New Roman" w:cs="Times New Roman"/>
          <w:b/>
          <w:bCs w:val="0"/>
          <w:color w:val="auto"/>
          <w:sz w:val="24"/>
          <w:szCs w:val="24"/>
          <w:highlight w:val="none"/>
          <w:lang w:val="en-US" w:eastAsia="zh-CN"/>
        </w:rPr>
        <w:t>附件：</w:t>
      </w:r>
    </w:p>
    <w:p w14:paraId="55A15B0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附件1  委托书</w:t>
      </w:r>
    </w:p>
    <w:p w14:paraId="4620C91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附件2  营业执照</w:t>
      </w:r>
    </w:p>
    <w:p w14:paraId="3344AFC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附件3  投资项目备案证</w:t>
      </w:r>
    </w:p>
    <w:p w14:paraId="1DF2B22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附件4  入园同意书</w:t>
      </w:r>
    </w:p>
    <w:p w14:paraId="1EBC211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附件5  土地使用证</w:t>
      </w:r>
    </w:p>
    <w:p w14:paraId="6F98123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附件6  引用大气、土壤质量现状检测报告</w:t>
      </w:r>
    </w:p>
    <w:p w14:paraId="0BB7DD8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附件7  引用地下水环境质量现状检测报告</w:t>
      </w:r>
    </w:p>
    <w:p w14:paraId="7F3198A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960" w:hanging="960" w:hangingChars="400"/>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附件8  《寻甸特色产业园区总体规划修编（2018-2035）环境影响报告书》审查意见的函</w:t>
      </w:r>
    </w:p>
    <w:p w14:paraId="5156DFE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附件9  排污许可证</w:t>
      </w:r>
    </w:p>
    <w:p w14:paraId="39A97AE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附件10  竣工环境保护验收检测</w:t>
      </w:r>
    </w:p>
    <w:p w14:paraId="742DE3A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附件11  2022年第四季度噪声监测报告</w:t>
      </w:r>
    </w:p>
    <w:p w14:paraId="7C06FEE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附件12  原项目环评批复</w:t>
      </w:r>
    </w:p>
    <w:p w14:paraId="5DDF7C0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附件13  原项目自主验收意见</w:t>
      </w:r>
    </w:p>
    <w:p w14:paraId="3976062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 xml:space="preserve">附件14  </w:t>
      </w:r>
      <w:r>
        <w:rPr>
          <w:rFonts w:hint="default" w:ascii="Times New Roman" w:hAnsi="Times New Roman" w:cs="Times New Roman"/>
          <w:color w:val="auto"/>
          <w:sz w:val="24"/>
          <w:szCs w:val="24"/>
          <w:highlight w:val="none"/>
          <w:lang w:val="en-US" w:eastAsia="zh-CN"/>
        </w:rPr>
        <w:t>环评技术服务合同、内审表及进度表</w:t>
      </w:r>
    </w:p>
    <w:p w14:paraId="47D2E74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 xml:space="preserve">附件15  </w:t>
      </w:r>
      <w:r>
        <w:rPr>
          <w:rFonts w:hint="eastAsia" w:cs="Times New Roman"/>
          <w:color w:val="auto"/>
          <w:sz w:val="24"/>
          <w:szCs w:val="24"/>
          <w:highlight w:val="none"/>
          <w:lang w:val="en-US" w:eastAsia="zh-CN"/>
        </w:rPr>
        <w:t>送审前公示</w:t>
      </w:r>
      <w:r>
        <w:rPr>
          <w:rFonts w:hint="eastAsia" w:ascii="Times New Roman" w:hAnsi="Times New Roman" w:cs="Times New Roman"/>
          <w:bCs/>
          <w:color w:val="auto"/>
          <w:sz w:val="24"/>
          <w:szCs w:val="24"/>
          <w:highlight w:val="none"/>
          <w:lang w:val="en-US" w:eastAsia="zh-CN"/>
        </w:rPr>
        <w:t>截图</w:t>
      </w:r>
    </w:p>
    <w:p w14:paraId="3094339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附图：</w:t>
      </w:r>
    </w:p>
    <w:p w14:paraId="342DACE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附图1  项目地理位置图</w:t>
      </w:r>
    </w:p>
    <w:p w14:paraId="1A52DF4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附图2  项目总平面布置图</w:t>
      </w:r>
    </w:p>
    <w:p w14:paraId="0D9CFD0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附图3  生产车间平面示意图</w:t>
      </w:r>
    </w:p>
    <w:p w14:paraId="269BB95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附图4  项目环境保护目标分布图</w:t>
      </w:r>
    </w:p>
    <w:p w14:paraId="74D7B1B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附图5  项目周边关系图</w:t>
      </w:r>
    </w:p>
    <w:p w14:paraId="2F585CB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附图6  项目所在地水系图</w:t>
      </w:r>
    </w:p>
    <w:p w14:paraId="1C87876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附图7  寻甸特色产业园区羊街片区用地规划图</w:t>
      </w:r>
    </w:p>
    <w:p w14:paraId="1026EAD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附图8  项目与牛栏江水系功能规划关系图</w:t>
      </w:r>
    </w:p>
    <w:p w14:paraId="3A2E90E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附图9  项目区与牛栏江（云南段）水环境保护分区位置关系图</w:t>
      </w:r>
    </w:p>
    <w:p w14:paraId="74F4587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附图10 项目与牛栏江流域（昆明段）水环境保护分区位置关系图</w:t>
      </w:r>
    </w:p>
    <w:p w14:paraId="3A8C5EA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附图11 引用大气、土壤监测点位图</w:t>
      </w:r>
    </w:p>
    <w:p w14:paraId="2918005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附图12 引用地下水监测点位图</w:t>
      </w:r>
    </w:p>
    <w:p w14:paraId="076EC411">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A37549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6" w:name="_Toc27453"/>
      <w:r>
        <w:rPr>
          <w:rFonts w:hint="default" w:ascii="Times New Roman" w:hAnsi="Times New Roman" w:eastAsia="宋体" w:cs="Times New Roman"/>
          <w:b/>
          <w:bCs/>
          <w:snapToGrid w:val="0"/>
          <w:color w:val="auto"/>
          <w:sz w:val="30"/>
          <w:szCs w:val="30"/>
          <w:highlight w:val="none"/>
        </w:rPr>
        <w:t>一、建设项目基本情况</w:t>
      </w:r>
      <w:bookmarkEnd w:id="4"/>
      <w:bookmarkEnd w:id="6"/>
    </w:p>
    <w:tbl>
      <w:tblPr>
        <w:tblStyle w:val="25"/>
        <w:tblW w:w="88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86"/>
        <w:gridCol w:w="2701"/>
        <w:gridCol w:w="1845"/>
        <w:gridCol w:w="3172"/>
      </w:tblGrid>
      <w:tr w14:paraId="06DA8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1086" w:type="dxa"/>
            <w:tcMar>
              <w:top w:w="16" w:type="dxa"/>
              <w:left w:w="16" w:type="dxa"/>
              <w:right w:w="16" w:type="dxa"/>
            </w:tcMar>
            <w:vAlign w:val="center"/>
          </w:tcPr>
          <w:p w14:paraId="7AC3F8B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718" w:type="dxa"/>
            <w:gridSpan w:val="3"/>
            <w:vAlign w:val="center"/>
          </w:tcPr>
          <w:p w14:paraId="4D17440F">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昆明日盛玻璃制造有限公司玉砂玻璃、防火玻璃</w:t>
            </w:r>
            <w:r>
              <w:rPr>
                <w:rFonts w:hint="eastAsia" w:cs="Times New Roman"/>
                <w:color w:val="auto"/>
                <w:sz w:val="24"/>
                <w:szCs w:val="24"/>
                <w:highlight w:val="none"/>
                <w:lang w:val="en-US" w:eastAsia="zh-CN"/>
              </w:rPr>
              <w:t>、钢化</w:t>
            </w:r>
            <w:r>
              <w:rPr>
                <w:rFonts w:hint="default" w:ascii="Times New Roman" w:hAnsi="Times New Roman" w:eastAsia="宋体" w:cs="Times New Roman"/>
                <w:color w:val="auto"/>
                <w:sz w:val="24"/>
                <w:szCs w:val="24"/>
                <w:highlight w:val="none"/>
                <w:lang w:val="en-US" w:eastAsia="zh-CN"/>
              </w:rPr>
              <w:t>玻璃生产线扩建项目</w:t>
            </w:r>
          </w:p>
        </w:tc>
      </w:tr>
      <w:tr w14:paraId="03678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Mar>
              <w:top w:w="16" w:type="dxa"/>
              <w:left w:w="16" w:type="dxa"/>
              <w:right w:w="16" w:type="dxa"/>
            </w:tcMar>
            <w:vAlign w:val="center"/>
          </w:tcPr>
          <w:p w14:paraId="724B7E9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718" w:type="dxa"/>
            <w:gridSpan w:val="3"/>
            <w:vAlign w:val="center"/>
          </w:tcPr>
          <w:p w14:paraId="1E59E6FA">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2112-530129-04-05-609623</w:t>
            </w:r>
          </w:p>
        </w:tc>
      </w:tr>
      <w:tr w14:paraId="63029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Mar>
              <w:top w:w="16" w:type="dxa"/>
              <w:left w:w="16" w:type="dxa"/>
              <w:right w:w="16" w:type="dxa"/>
            </w:tcMar>
            <w:vAlign w:val="center"/>
          </w:tcPr>
          <w:p w14:paraId="1EAAE1C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701" w:type="dxa"/>
            <w:vAlign w:val="center"/>
          </w:tcPr>
          <w:p w14:paraId="1C62AD3F">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颜永刚</w:t>
            </w:r>
          </w:p>
        </w:tc>
        <w:tc>
          <w:tcPr>
            <w:tcW w:w="1845" w:type="dxa"/>
            <w:vAlign w:val="center"/>
          </w:tcPr>
          <w:p w14:paraId="5F628D5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3172" w:type="dxa"/>
            <w:vAlign w:val="center"/>
          </w:tcPr>
          <w:p w14:paraId="102028FC">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152****1518</w:t>
            </w:r>
          </w:p>
        </w:tc>
      </w:tr>
      <w:tr w14:paraId="4DE4B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Mar>
              <w:top w:w="16" w:type="dxa"/>
              <w:left w:w="16" w:type="dxa"/>
              <w:right w:w="16" w:type="dxa"/>
            </w:tcMar>
            <w:vAlign w:val="center"/>
          </w:tcPr>
          <w:p w14:paraId="3522BA6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718" w:type="dxa"/>
            <w:gridSpan w:val="3"/>
            <w:vAlign w:val="center"/>
          </w:tcPr>
          <w:p w14:paraId="2A4DB961">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云南省昆明市寻甸特色产业园区羊街片区</w:t>
            </w:r>
          </w:p>
        </w:tc>
      </w:tr>
      <w:tr w14:paraId="7310C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Mar>
              <w:top w:w="16" w:type="dxa"/>
              <w:left w:w="16" w:type="dxa"/>
              <w:right w:w="16" w:type="dxa"/>
            </w:tcMar>
            <w:vAlign w:val="center"/>
          </w:tcPr>
          <w:p w14:paraId="5A0C98D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718" w:type="dxa"/>
            <w:gridSpan w:val="3"/>
            <w:vAlign w:val="center"/>
          </w:tcPr>
          <w:p w14:paraId="3D0563A5">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w:t>
            </w:r>
            <w:r>
              <w:rPr>
                <w:rFonts w:hint="eastAsia" w:cs="Times New Roman"/>
                <w:color w:val="auto"/>
                <w:sz w:val="24"/>
                <w:szCs w:val="24"/>
                <w:highlight w:val="none"/>
                <w:u w:val="single"/>
                <w:lang w:val="en-US" w:eastAsia="zh-CN"/>
              </w:rPr>
              <w:t>3</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09</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22.442</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27</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46.029</w:t>
            </w:r>
            <w:r>
              <w:rPr>
                <w:rFonts w:hint="default" w:ascii="Times New Roman" w:hAnsi="Times New Roman" w:eastAsia="宋体" w:cs="Times New Roman"/>
                <w:color w:val="auto"/>
                <w:sz w:val="24"/>
                <w:szCs w:val="24"/>
                <w:highlight w:val="none"/>
              </w:rPr>
              <w:t>秒）</w:t>
            </w:r>
          </w:p>
        </w:tc>
      </w:tr>
      <w:tr w14:paraId="55F5F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86" w:type="dxa"/>
            <w:tcMar>
              <w:top w:w="16" w:type="dxa"/>
              <w:left w:w="16" w:type="dxa"/>
              <w:right w:w="16" w:type="dxa"/>
            </w:tcMar>
            <w:vAlign w:val="center"/>
          </w:tcPr>
          <w:p w14:paraId="54ED91D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340C842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701" w:type="dxa"/>
            <w:vAlign w:val="center"/>
          </w:tcPr>
          <w:p w14:paraId="0B0F3409">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特种玻璃制造(C3042)、其他玻璃制造（C3049）</w:t>
            </w:r>
          </w:p>
        </w:tc>
        <w:tc>
          <w:tcPr>
            <w:tcW w:w="1845" w:type="dxa"/>
            <w:vAlign w:val="center"/>
          </w:tcPr>
          <w:p w14:paraId="1D7B221A">
            <w:pPr>
              <w:adjustRightInd w:val="0"/>
              <w:snapToGrid w:val="0"/>
              <w:jc w:val="center"/>
              <w:rPr>
                <w:rFonts w:hint="default" w:ascii="Times New Roman" w:hAnsi="Times New Roman" w:eastAsia="宋体" w:cs="Times New Roman"/>
                <w:color w:val="auto"/>
                <w:sz w:val="24"/>
                <w:szCs w:val="24"/>
                <w:highlight w:val="none"/>
              </w:rPr>
            </w:pPr>
            <w:bookmarkStart w:id="7" w:name="_Hlk49843745"/>
            <w:r>
              <w:rPr>
                <w:rFonts w:hint="default" w:ascii="Times New Roman" w:hAnsi="Times New Roman" w:eastAsia="宋体" w:cs="Times New Roman"/>
                <w:color w:val="auto"/>
                <w:sz w:val="24"/>
                <w:szCs w:val="24"/>
                <w:highlight w:val="none"/>
              </w:rPr>
              <w:t>建设项目</w:t>
            </w:r>
          </w:p>
          <w:p w14:paraId="770B1D3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7"/>
          </w:p>
        </w:tc>
        <w:tc>
          <w:tcPr>
            <w:tcW w:w="3172" w:type="dxa"/>
            <w:vAlign w:val="center"/>
          </w:tcPr>
          <w:p w14:paraId="226DAA42">
            <w:pPr>
              <w:adjustRightInd w:val="0"/>
              <w:snapToGrid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二十七</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非金属矿物制品业 30</w:t>
            </w:r>
          </w:p>
          <w:p w14:paraId="4DADAB00">
            <w:pPr>
              <w:adjustRightInd w:val="0"/>
              <w:snapToGrid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57 玻璃制造304</w:t>
            </w:r>
          </w:p>
          <w:p w14:paraId="667D77A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特种玻璃制造；其他玻璃制造</w:t>
            </w:r>
          </w:p>
        </w:tc>
      </w:tr>
      <w:tr w14:paraId="37702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86" w:type="dxa"/>
            <w:tcMar>
              <w:top w:w="16" w:type="dxa"/>
              <w:left w:w="16" w:type="dxa"/>
              <w:right w:w="16" w:type="dxa"/>
            </w:tcMar>
            <w:vAlign w:val="center"/>
          </w:tcPr>
          <w:p w14:paraId="1FE519B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701" w:type="dxa"/>
            <w:vAlign w:val="center"/>
          </w:tcPr>
          <w:p w14:paraId="2BC85790">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14:paraId="7F5DE329">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14:paraId="6EF1D0E3">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扩建</w:t>
            </w:r>
          </w:p>
          <w:p w14:paraId="2943B410">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845" w:type="dxa"/>
            <w:vAlign w:val="center"/>
          </w:tcPr>
          <w:p w14:paraId="26F9EB7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378FD24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172" w:type="dxa"/>
            <w:vAlign w:val="center"/>
          </w:tcPr>
          <w:p w14:paraId="4216AF1C">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14:paraId="0F298D55">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076BA761">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14:paraId="22725231">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14:paraId="6249F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86" w:type="dxa"/>
            <w:tcMar>
              <w:top w:w="16" w:type="dxa"/>
              <w:left w:w="16" w:type="dxa"/>
              <w:right w:w="16" w:type="dxa"/>
            </w:tcMar>
            <w:vAlign w:val="center"/>
          </w:tcPr>
          <w:p w14:paraId="4845A8A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项目审批（核准/备案）部门</w:t>
            </w:r>
          </w:p>
        </w:tc>
        <w:tc>
          <w:tcPr>
            <w:tcW w:w="2701" w:type="dxa"/>
            <w:vAlign w:val="center"/>
          </w:tcPr>
          <w:p w14:paraId="4974197F">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寻甸回族彝族自治县发展和改革局</w:t>
            </w:r>
          </w:p>
        </w:tc>
        <w:tc>
          <w:tcPr>
            <w:tcW w:w="1845" w:type="dxa"/>
            <w:vAlign w:val="center"/>
          </w:tcPr>
          <w:p w14:paraId="3FDA9C3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66C114F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3172" w:type="dxa"/>
            <w:vAlign w:val="center"/>
          </w:tcPr>
          <w:p w14:paraId="4801D4A0">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ascii="宋体" w:hAnsi="宋体" w:eastAsia="宋体" w:cs="宋体"/>
                <w:color w:val="auto"/>
                <w:spacing w:val="6"/>
                <w:sz w:val="23"/>
                <w:szCs w:val="23"/>
                <w:highlight w:val="none"/>
              </w:rPr>
              <w:t>项</w:t>
            </w:r>
            <w:r>
              <w:rPr>
                <w:rFonts w:ascii="宋体" w:hAnsi="宋体" w:eastAsia="宋体" w:cs="宋体"/>
                <w:color w:val="auto"/>
                <w:spacing w:val="5"/>
                <w:sz w:val="23"/>
                <w:szCs w:val="23"/>
                <w:highlight w:val="none"/>
              </w:rPr>
              <w:t>目代码：</w:t>
            </w:r>
            <w:r>
              <w:rPr>
                <w:rFonts w:ascii="宋体" w:hAnsi="宋体" w:eastAsia="宋体" w:cs="宋体"/>
                <w:color w:val="auto"/>
                <w:sz w:val="23"/>
                <w:szCs w:val="23"/>
                <w:highlight w:val="none"/>
              </w:rPr>
              <w:t xml:space="preserve">       </w:t>
            </w:r>
            <w:r>
              <w:rPr>
                <w:rFonts w:hint="default" w:ascii="Times New Roman" w:hAnsi="Times New Roman" w:eastAsia="宋体" w:cs="Times New Roman"/>
                <w:color w:val="auto"/>
                <w:sz w:val="24"/>
                <w:szCs w:val="24"/>
                <w:highlight w:val="none"/>
                <w:lang w:val="en-US" w:eastAsia="zh-CN"/>
              </w:rPr>
              <w:t>2112-530129-04-05-609623</w:t>
            </w:r>
          </w:p>
        </w:tc>
      </w:tr>
      <w:tr w14:paraId="4BC4B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6" w:type="dxa"/>
            <w:tcMar>
              <w:top w:w="16" w:type="dxa"/>
              <w:left w:w="16" w:type="dxa"/>
              <w:right w:w="16" w:type="dxa"/>
            </w:tcMar>
            <w:vAlign w:val="center"/>
          </w:tcPr>
          <w:p w14:paraId="2905744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701" w:type="dxa"/>
            <w:vAlign w:val="center"/>
          </w:tcPr>
          <w:p w14:paraId="107B303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500</w:t>
            </w:r>
          </w:p>
        </w:tc>
        <w:tc>
          <w:tcPr>
            <w:tcW w:w="1845" w:type="dxa"/>
            <w:tcMar>
              <w:top w:w="16" w:type="dxa"/>
              <w:left w:w="16" w:type="dxa"/>
              <w:right w:w="16" w:type="dxa"/>
            </w:tcMar>
            <w:vAlign w:val="center"/>
          </w:tcPr>
          <w:p w14:paraId="6AF1C2FC">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172" w:type="dxa"/>
            <w:vAlign w:val="center"/>
          </w:tcPr>
          <w:p w14:paraId="23E7511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42</w:t>
            </w:r>
          </w:p>
        </w:tc>
      </w:tr>
      <w:tr w14:paraId="39AC5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Mar>
              <w:top w:w="16" w:type="dxa"/>
              <w:left w:w="16" w:type="dxa"/>
              <w:right w:w="16" w:type="dxa"/>
            </w:tcMar>
            <w:vAlign w:val="center"/>
          </w:tcPr>
          <w:p w14:paraId="2D14312E">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701" w:type="dxa"/>
            <w:vAlign w:val="center"/>
          </w:tcPr>
          <w:p w14:paraId="60C7D36A">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8.4</w:t>
            </w:r>
          </w:p>
        </w:tc>
        <w:tc>
          <w:tcPr>
            <w:tcW w:w="1845" w:type="dxa"/>
            <w:tcMar>
              <w:top w:w="16" w:type="dxa"/>
              <w:left w:w="16" w:type="dxa"/>
              <w:right w:w="16" w:type="dxa"/>
            </w:tcMar>
            <w:vAlign w:val="center"/>
          </w:tcPr>
          <w:p w14:paraId="47D0B26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172" w:type="dxa"/>
            <w:vAlign w:val="center"/>
          </w:tcPr>
          <w:p w14:paraId="7781743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个月</w:t>
            </w:r>
          </w:p>
        </w:tc>
      </w:tr>
      <w:tr w14:paraId="1F4D46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Mar>
              <w:top w:w="16" w:type="dxa"/>
              <w:left w:w="16" w:type="dxa"/>
              <w:right w:w="16" w:type="dxa"/>
            </w:tcMar>
            <w:vAlign w:val="center"/>
          </w:tcPr>
          <w:p w14:paraId="0DE3872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701" w:type="dxa"/>
            <w:vAlign w:val="center"/>
          </w:tcPr>
          <w:p w14:paraId="2DBB14FA">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3C503EDE">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p>
        </w:tc>
        <w:tc>
          <w:tcPr>
            <w:tcW w:w="1845" w:type="dxa"/>
            <w:tcMar>
              <w:top w:w="16" w:type="dxa"/>
              <w:left w:w="16" w:type="dxa"/>
              <w:right w:w="16" w:type="dxa"/>
            </w:tcMar>
            <w:vAlign w:val="center"/>
          </w:tcPr>
          <w:p w14:paraId="0960D1A8">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3A19EF3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3172" w:type="dxa"/>
            <w:vAlign w:val="center"/>
          </w:tcPr>
          <w:p w14:paraId="34D82762">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100</w:t>
            </w:r>
          </w:p>
        </w:tc>
      </w:tr>
      <w:tr w14:paraId="01CAA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6" w:type="dxa"/>
            <w:vAlign w:val="center"/>
          </w:tcPr>
          <w:p w14:paraId="4F66754B">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7718" w:type="dxa"/>
            <w:gridSpan w:val="3"/>
            <w:vAlign w:val="center"/>
          </w:tcPr>
          <w:p w14:paraId="405138B9">
            <w:pPr>
              <w:autoSpaceDE w:val="0"/>
              <w:autoSpaceDN w:val="0"/>
              <w:adjustRightInd w:val="0"/>
              <w:snapToGrid w:val="0"/>
              <w:spacing w:line="360" w:lineRule="auto"/>
              <w:ind w:firstLine="480" w:firstLineChars="200"/>
              <w:jc w:val="both"/>
              <w:rPr>
                <w:rFonts w:ascii="Times New Roman" w:hAnsi="Times New Roman"/>
                <w:caps w:val="0"/>
                <w:smallCaps w:val="0"/>
                <w:color w:val="auto"/>
                <w:highlight w:val="none"/>
              </w:rPr>
            </w:pPr>
            <w:r>
              <w:rPr>
                <w:rFonts w:hint="eastAsia" w:ascii="Times New Roman" w:hAnsi="Times New Roman"/>
                <w:caps w:val="0"/>
                <w:smallCaps w:val="0"/>
                <w:color w:val="auto"/>
                <w:sz w:val="24"/>
                <w:szCs w:val="24"/>
                <w:highlight w:val="none"/>
                <w:lang w:eastAsia="zh-CN"/>
              </w:rPr>
              <w:t>根据《建设项目环境影响报告表编制技术指南（污染影响类）》，建设项目产生的环境影响需要深入论证的，应按照环境影响评价相关技术导则开展专项评价工作。根据建设项目排污情况及所涉及环境敏感程度，确定专项评价的类别。专项评价设置原则及项目专项评价设置情况见下表。</w:t>
            </w:r>
          </w:p>
          <w:p w14:paraId="6D4275F7">
            <w:pPr>
              <w:widowControl/>
              <w:adjustRightInd w:val="0"/>
              <w:snapToGrid w:val="0"/>
              <w:jc w:val="center"/>
              <w:rPr>
                <w:rFonts w:ascii="Times New Roman" w:hAnsi="Times New Roman"/>
                <w:b/>
                <w:caps w:val="0"/>
                <w:smallCaps w:val="0"/>
                <w:color w:val="auto"/>
                <w:sz w:val="21"/>
                <w:szCs w:val="21"/>
                <w:highlight w:val="none"/>
              </w:rPr>
            </w:pPr>
            <w:r>
              <w:rPr>
                <w:rFonts w:ascii="Times New Roman" w:hAnsi="Times New Roman"/>
                <w:b/>
                <w:caps w:val="0"/>
                <w:smallCaps w:val="0"/>
                <w:color w:val="auto"/>
                <w:sz w:val="21"/>
                <w:szCs w:val="21"/>
                <w:highlight w:val="none"/>
              </w:rPr>
              <w:t>表1-1  专项评价设置原则表</w:t>
            </w:r>
          </w:p>
          <w:tbl>
            <w:tblPr>
              <w:tblStyle w:val="25"/>
              <w:tblW w:w="7363"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2551"/>
              <w:gridCol w:w="2939"/>
              <w:gridCol w:w="750"/>
            </w:tblGrid>
            <w:tr w14:paraId="4CFA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23" w:type="dxa"/>
                  <w:noWrap w:val="0"/>
                  <w:vAlign w:val="center"/>
                </w:tcPr>
                <w:p w14:paraId="331C2D0B">
                  <w:pPr>
                    <w:widowControl/>
                    <w:adjustRightInd w:val="0"/>
                    <w:snapToGrid w:val="0"/>
                    <w:jc w:val="center"/>
                    <w:rPr>
                      <w:rFonts w:ascii="Times New Roman" w:hAnsi="Times New Roman"/>
                      <w:b/>
                      <w:caps w:val="0"/>
                      <w:smallCaps w:val="0"/>
                      <w:color w:val="auto"/>
                      <w:sz w:val="21"/>
                      <w:szCs w:val="21"/>
                      <w:highlight w:val="none"/>
                    </w:rPr>
                  </w:pPr>
                  <w:r>
                    <w:rPr>
                      <w:rFonts w:ascii="Times New Roman" w:hAnsi="Times New Roman"/>
                      <w:b/>
                      <w:caps w:val="0"/>
                      <w:smallCaps w:val="0"/>
                      <w:color w:val="auto"/>
                      <w:sz w:val="21"/>
                      <w:szCs w:val="21"/>
                      <w:highlight w:val="none"/>
                    </w:rPr>
                    <w:t>专项评价的类别</w:t>
                  </w:r>
                </w:p>
              </w:tc>
              <w:tc>
                <w:tcPr>
                  <w:tcW w:w="2551" w:type="dxa"/>
                  <w:noWrap w:val="0"/>
                  <w:vAlign w:val="center"/>
                </w:tcPr>
                <w:p w14:paraId="6E78F673">
                  <w:pPr>
                    <w:widowControl/>
                    <w:adjustRightInd w:val="0"/>
                    <w:snapToGrid w:val="0"/>
                    <w:jc w:val="center"/>
                    <w:rPr>
                      <w:rFonts w:ascii="Times New Roman" w:hAnsi="Times New Roman"/>
                      <w:b/>
                      <w:caps w:val="0"/>
                      <w:smallCaps w:val="0"/>
                      <w:color w:val="auto"/>
                      <w:sz w:val="21"/>
                      <w:szCs w:val="21"/>
                      <w:highlight w:val="none"/>
                    </w:rPr>
                  </w:pPr>
                  <w:r>
                    <w:rPr>
                      <w:rFonts w:ascii="Times New Roman" w:hAnsi="Times New Roman"/>
                      <w:b/>
                      <w:caps w:val="0"/>
                      <w:smallCaps w:val="0"/>
                      <w:color w:val="auto"/>
                      <w:sz w:val="21"/>
                      <w:szCs w:val="21"/>
                      <w:highlight w:val="none"/>
                    </w:rPr>
                    <w:t>设置原则</w:t>
                  </w:r>
                </w:p>
              </w:tc>
              <w:tc>
                <w:tcPr>
                  <w:tcW w:w="2939" w:type="dxa"/>
                  <w:noWrap w:val="0"/>
                  <w:vAlign w:val="center"/>
                </w:tcPr>
                <w:p w14:paraId="67622E51">
                  <w:pPr>
                    <w:widowControl/>
                    <w:adjustRightInd w:val="0"/>
                    <w:snapToGrid w:val="0"/>
                    <w:jc w:val="center"/>
                    <w:rPr>
                      <w:rFonts w:ascii="Times New Roman" w:hAnsi="Times New Roman"/>
                      <w:b/>
                      <w:caps w:val="0"/>
                      <w:smallCaps w:val="0"/>
                      <w:color w:val="auto"/>
                      <w:sz w:val="21"/>
                      <w:szCs w:val="21"/>
                      <w:highlight w:val="none"/>
                    </w:rPr>
                  </w:pPr>
                  <w:r>
                    <w:rPr>
                      <w:rFonts w:ascii="Times New Roman" w:hAnsi="Times New Roman"/>
                      <w:b/>
                      <w:caps w:val="0"/>
                      <w:smallCaps w:val="0"/>
                      <w:color w:val="auto"/>
                      <w:sz w:val="21"/>
                      <w:szCs w:val="21"/>
                      <w:highlight w:val="none"/>
                    </w:rPr>
                    <w:t>本项目情况</w:t>
                  </w:r>
                </w:p>
              </w:tc>
              <w:tc>
                <w:tcPr>
                  <w:tcW w:w="750" w:type="dxa"/>
                  <w:noWrap w:val="0"/>
                  <w:vAlign w:val="center"/>
                </w:tcPr>
                <w:p w14:paraId="787BD50F">
                  <w:pPr>
                    <w:widowControl/>
                    <w:adjustRightInd w:val="0"/>
                    <w:snapToGrid w:val="0"/>
                    <w:jc w:val="center"/>
                    <w:rPr>
                      <w:rFonts w:ascii="Times New Roman" w:hAnsi="Times New Roman"/>
                      <w:b/>
                      <w:caps w:val="0"/>
                      <w:smallCaps w:val="0"/>
                      <w:color w:val="auto"/>
                      <w:sz w:val="21"/>
                      <w:szCs w:val="21"/>
                      <w:highlight w:val="none"/>
                    </w:rPr>
                  </w:pPr>
                  <w:r>
                    <w:rPr>
                      <w:rFonts w:ascii="Times New Roman" w:hAnsi="Times New Roman"/>
                      <w:b/>
                      <w:caps w:val="0"/>
                      <w:smallCaps w:val="0"/>
                      <w:color w:val="auto"/>
                      <w:sz w:val="21"/>
                      <w:szCs w:val="21"/>
                      <w:highlight w:val="none"/>
                    </w:rPr>
                    <w:t>设置</w:t>
                  </w:r>
                </w:p>
                <w:p w14:paraId="43C7C68A">
                  <w:pPr>
                    <w:widowControl/>
                    <w:adjustRightInd w:val="0"/>
                    <w:snapToGrid w:val="0"/>
                    <w:jc w:val="center"/>
                    <w:rPr>
                      <w:rFonts w:ascii="Times New Roman" w:hAnsi="Times New Roman"/>
                      <w:b/>
                      <w:caps w:val="0"/>
                      <w:smallCaps w:val="0"/>
                      <w:color w:val="auto"/>
                      <w:sz w:val="21"/>
                      <w:szCs w:val="21"/>
                      <w:highlight w:val="none"/>
                    </w:rPr>
                  </w:pPr>
                  <w:r>
                    <w:rPr>
                      <w:rFonts w:ascii="Times New Roman" w:hAnsi="Times New Roman"/>
                      <w:b/>
                      <w:caps w:val="0"/>
                      <w:smallCaps w:val="0"/>
                      <w:color w:val="auto"/>
                      <w:sz w:val="21"/>
                      <w:szCs w:val="21"/>
                      <w:highlight w:val="none"/>
                    </w:rPr>
                    <w:t>与否</w:t>
                  </w:r>
                </w:p>
              </w:tc>
            </w:tr>
            <w:tr w14:paraId="59DB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123" w:type="dxa"/>
                  <w:noWrap w:val="0"/>
                  <w:vAlign w:val="center"/>
                </w:tcPr>
                <w:p w14:paraId="1DEA406F">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大气</w:t>
                  </w:r>
                </w:p>
              </w:tc>
              <w:tc>
                <w:tcPr>
                  <w:tcW w:w="2551" w:type="dxa"/>
                  <w:noWrap w:val="0"/>
                  <w:vAlign w:val="center"/>
                </w:tcPr>
                <w:p w14:paraId="6D3209B0">
                  <w:pPr>
                    <w:widowControl/>
                    <w:adjustRightInd w:val="0"/>
                    <w:snapToGrid w:val="0"/>
                    <w:jc w:val="both"/>
                    <w:rPr>
                      <w:rFonts w:hint="eastAsia" w:ascii="Times New Roman" w:hAnsi="Times New Roman" w:eastAsia="宋体"/>
                      <w:caps w:val="0"/>
                      <w:smallCaps w:val="0"/>
                      <w:color w:val="auto"/>
                      <w:sz w:val="21"/>
                      <w:szCs w:val="21"/>
                      <w:highlight w:val="none"/>
                      <w:lang w:eastAsia="zh-CN"/>
                    </w:rPr>
                  </w:pPr>
                  <w:r>
                    <w:rPr>
                      <w:rFonts w:ascii="Times New Roman" w:hAnsi="Times New Roman"/>
                      <w:caps w:val="0"/>
                      <w:smallCaps w:val="0"/>
                      <w:color w:val="auto"/>
                      <w:sz w:val="21"/>
                      <w:szCs w:val="21"/>
                      <w:highlight w:val="none"/>
                    </w:rPr>
                    <w:t>排放废气中含有有毒有害污染物、二噁英、苯并芘、氰化物氯气且厂界外500m范围内有环境空气保护目标的建设项目</w:t>
                  </w:r>
                  <w:r>
                    <w:rPr>
                      <w:rFonts w:hint="eastAsia"/>
                      <w:caps w:val="0"/>
                      <w:smallCaps w:val="0"/>
                      <w:color w:val="auto"/>
                      <w:sz w:val="21"/>
                      <w:szCs w:val="21"/>
                      <w:highlight w:val="none"/>
                      <w:lang w:eastAsia="zh-CN"/>
                    </w:rPr>
                    <w:t>。</w:t>
                  </w:r>
                </w:p>
              </w:tc>
              <w:tc>
                <w:tcPr>
                  <w:tcW w:w="2939" w:type="dxa"/>
                  <w:noWrap w:val="0"/>
                  <w:vAlign w:val="center"/>
                </w:tcPr>
                <w:p w14:paraId="283FCDE0">
                  <w:pPr>
                    <w:widowControl/>
                    <w:adjustRightInd w:val="0"/>
                    <w:snapToGrid w:val="0"/>
                    <w:jc w:val="both"/>
                    <w:rPr>
                      <w:rFonts w:ascii="Times New Roman" w:hAnsi="Times New Roman"/>
                      <w:caps w:val="0"/>
                      <w:smallCaps w:val="0"/>
                      <w:color w:val="auto"/>
                      <w:sz w:val="21"/>
                      <w:szCs w:val="21"/>
                      <w:highlight w:val="none"/>
                    </w:rPr>
                  </w:pPr>
                  <w:r>
                    <w:rPr>
                      <w:rFonts w:hint="default" w:ascii="Times New Roman" w:hAnsi="Times New Roman" w:cs="Times New Roman"/>
                      <w:i w:val="0"/>
                      <w:iCs/>
                      <w:caps w:val="0"/>
                      <w:smallCaps w:val="0"/>
                      <w:color w:val="auto"/>
                      <w:sz w:val="21"/>
                      <w:szCs w:val="21"/>
                      <w:highlight w:val="none"/>
                      <w:u w:val="none"/>
                      <w:vertAlign w:val="baseline"/>
                      <w:lang w:val="en-US" w:eastAsia="zh-CN"/>
                    </w:rPr>
                    <w:t>项目排放的废气中不包含</w:t>
                  </w:r>
                  <w:r>
                    <w:rPr>
                      <w:rFonts w:hint="default" w:ascii="Times New Roman" w:hAnsi="Times New Roman" w:eastAsia="宋体" w:cs="Times New Roman"/>
                      <w:i w:val="0"/>
                      <w:iCs/>
                      <w:caps w:val="0"/>
                      <w:smallCaps w:val="0"/>
                      <w:color w:val="auto"/>
                      <w:sz w:val="21"/>
                      <w:szCs w:val="21"/>
                      <w:highlight w:val="none"/>
                      <w:u w:val="none"/>
                    </w:rPr>
                    <w:t>二噁英、苯并[a]芘、氰化物、氯气</w:t>
                  </w:r>
                  <w:r>
                    <w:rPr>
                      <w:rFonts w:hint="default" w:ascii="Times New Roman" w:hAnsi="Times New Roman" w:cs="Times New Roman"/>
                      <w:i w:val="0"/>
                      <w:iCs/>
                      <w:caps w:val="0"/>
                      <w:smallCaps w:val="0"/>
                      <w:color w:val="auto"/>
                      <w:sz w:val="21"/>
                      <w:szCs w:val="21"/>
                      <w:highlight w:val="none"/>
                      <w:u w:val="none"/>
                      <w:lang w:eastAsia="zh-CN"/>
                    </w:rPr>
                    <w:t>，也不包含</w:t>
                  </w:r>
                  <w:r>
                    <w:rPr>
                      <w:rFonts w:hint="default" w:ascii="Times New Roman" w:hAnsi="Times New Roman" w:eastAsia="宋体" w:cs="Times New Roman"/>
                      <w:i w:val="0"/>
                      <w:iCs/>
                      <w:caps w:val="0"/>
                      <w:smallCaps w:val="0"/>
                      <w:color w:val="auto"/>
                      <w:sz w:val="21"/>
                      <w:szCs w:val="21"/>
                      <w:highlight w:val="none"/>
                      <w:u w:val="none"/>
                    </w:rPr>
                    <w:t>《有毒有害大气污染物名录》</w:t>
                  </w:r>
                  <w:r>
                    <w:rPr>
                      <w:rFonts w:hint="default" w:ascii="Times New Roman" w:hAnsi="Times New Roman" w:eastAsia="宋体" w:cs="Times New Roman"/>
                      <w:i w:val="0"/>
                      <w:iCs/>
                      <w:caps w:val="0"/>
                      <w:smallCaps w:val="0"/>
                      <w:color w:val="auto"/>
                      <w:sz w:val="21"/>
                      <w:szCs w:val="21"/>
                      <w:highlight w:val="none"/>
                      <w:u w:val="none"/>
                      <w:lang w:eastAsia="zh-CN"/>
                    </w:rPr>
                    <w:t>中的有毒有害污染物。</w:t>
                  </w:r>
                  <w:r>
                    <w:rPr>
                      <w:rFonts w:hint="default" w:ascii="Times New Roman" w:hAnsi="Times New Roman" w:cs="Times New Roman"/>
                      <w:i w:val="0"/>
                      <w:iCs/>
                      <w:caps w:val="0"/>
                      <w:smallCaps w:val="0"/>
                      <w:color w:val="auto"/>
                      <w:sz w:val="21"/>
                      <w:szCs w:val="21"/>
                      <w:highlight w:val="none"/>
                      <w:u w:val="none"/>
                      <w:lang w:eastAsia="zh-CN"/>
                    </w:rPr>
                    <w:t>故本项目不设置大气专项评价。</w:t>
                  </w:r>
                </w:p>
              </w:tc>
              <w:tc>
                <w:tcPr>
                  <w:tcW w:w="750" w:type="dxa"/>
                  <w:noWrap w:val="0"/>
                  <w:vAlign w:val="center"/>
                </w:tcPr>
                <w:p w14:paraId="3BB18C5A">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否</w:t>
                  </w:r>
                </w:p>
              </w:tc>
            </w:tr>
            <w:tr w14:paraId="1ED9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123" w:type="dxa"/>
                  <w:noWrap w:val="0"/>
                  <w:vAlign w:val="center"/>
                </w:tcPr>
                <w:p w14:paraId="469E539F">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地表水</w:t>
                  </w:r>
                </w:p>
              </w:tc>
              <w:tc>
                <w:tcPr>
                  <w:tcW w:w="2551" w:type="dxa"/>
                  <w:noWrap w:val="0"/>
                  <w:vAlign w:val="center"/>
                </w:tcPr>
                <w:p w14:paraId="70ADCA87">
                  <w:pPr>
                    <w:widowControl/>
                    <w:adjustRightInd w:val="0"/>
                    <w:snapToGrid w:val="0"/>
                    <w:jc w:val="both"/>
                    <w:rPr>
                      <w:rFonts w:hint="eastAsia" w:ascii="Times New Roman" w:hAnsi="Times New Roman" w:eastAsia="宋体"/>
                      <w:caps w:val="0"/>
                      <w:smallCaps w:val="0"/>
                      <w:color w:val="auto"/>
                      <w:sz w:val="21"/>
                      <w:szCs w:val="21"/>
                      <w:highlight w:val="none"/>
                      <w:lang w:eastAsia="zh-CN"/>
                    </w:rPr>
                  </w:pPr>
                  <w:r>
                    <w:rPr>
                      <w:rFonts w:ascii="Times New Roman" w:hAnsi="Times New Roman"/>
                      <w:caps w:val="0"/>
                      <w:smallCaps w:val="0"/>
                      <w:color w:val="auto"/>
                      <w:sz w:val="21"/>
                      <w:szCs w:val="21"/>
                      <w:highlight w:val="none"/>
                    </w:rPr>
                    <w:t>新增工业废水直排建设项目（槽罐车外运污水处理厂的除外）；新增废水直排的污水集中处理厂</w:t>
                  </w:r>
                  <w:r>
                    <w:rPr>
                      <w:rFonts w:hint="eastAsia"/>
                      <w:caps w:val="0"/>
                      <w:smallCaps w:val="0"/>
                      <w:color w:val="auto"/>
                      <w:sz w:val="21"/>
                      <w:szCs w:val="21"/>
                      <w:highlight w:val="none"/>
                      <w:lang w:eastAsia="zh-CN"/>
                    </w:rPr>
                    <w:t>。</w:t>
                  </w:r>
                </w:p>
              </w:tc>
              <w:tc>
                <w:tcPr>
                  <w:tcW w:w="2939" w:type="dxa"/>
                  <w:noWrap w:val="0"/>
                  <w:vAlign w:val="center"/>
                </w:tcPr>
                <w:p w14:paraId="6B9AB022">
                  <w:pPr>
                    <w:pStyle w:val="69"/>
                    <w:spacing w:line="244" w:lineRule="auto"/>
                    <w:ind w:right="89"/>
                    <w:jc w:val="both"/>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cs="Times New Roman"/>
                      <w:color w:val="auto"/>
                      <w:kern w:val="0"/>
                      <w:sz w:val="21"/>
                      <w:szCs w:val="21"/>
                      <w:highlight w:val="none"/>
                      <w:vertAlign w:val="baseline"/>
                      <w:lang w:val="en-US" w:eastAsia="zh-CN"/>
                    </w:rPr>
                    <w:t>项目生活污水经</w:t>
                  </w:r>
                  <w:r>
                    <w:rPr>
                      <w:rFonts w:hint="eastAsia" w:cs="Times New Roman"/>
                      <w:color w:val="auto"/>
                      <w:kern w:val="0"/>
                      <w:sz w:val="21"/>
                      <w:szCs w:val="21"/>
                      <w:highlight w:val="none"/>
                      <w:vertAlign w:val="baseline"/>
                      <w:lang w:val="en-US" w:eastAsia="zh-CN"/>
                    </w:rPr>
                    <w:t>原项目自建生活污水处理设施</w:t>
                  </w:r>
                  <w:r>
                    <w:rPr>
                      <w:rFonts w:hint="eastAsia" w:ascii="Times New Roman" w:hAnsi="Times New Roman" w:cs="Times New Roman"/>
                      <w:color w:val="auto"/>
                      <w:kern w:val="0"/>
                      <w:sz w:val="21"/>
                      <w:szCs w:val="21"/>
                      <w:highlight w:val="none"/>
                      <w:vertAlign w:val="baseline"/>
                      <w:lang w:val="en-US" w:eastAsia="zh-CN"/>
                    </w:rPr>
                    <w:t>处理达《城市污水再生利用 城市杂用水水质》（GB/T18920-2020）中城市绿化、道路广场浇洒、消防、建筑施工标准后回用于项目区绿化和道路广场浇洒，不外排；生产废水经收集后统一进入调节池、生产废水处理设施处理达《城市污水再生利用 工业用水水质》（GB/T 19923-2005）中的洗涤用水标准后回用于水洗补水，不外排。</w:t>
                  </w:r>
                </w:p>
              </w:tc>
              <w:tc>
                <w:tcPr>
                  <w:tcW w:w="750" w:type="dxa"/>
                  <w:noWrap w:val="0"/>
                  <w:vAlign w:val="center"/>
                </w:tcPr>
                <w:p w14:paraId="40520367">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否</w:t>
                  </w:r>
                </w:p>
              </w:tc>
            </w:tr>
            <w:tr w14:paraId="385C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3" w:type="dxa"/>
                  <w:noWrap w:val="0"/>
                  <w:vAlign w:val="center"/>
                </w:tcPr>
                <w:p w14:paraId="4E65FDE8">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环境</w:t>
                  </w:r>
                </w:p>
                <w:p w14:paraId="4A70D0A0">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风险</w:t>
                  </w:r>
                </w:p>
              </w:tc>
              <w:tc>
                <w:tcPr>
                  <w:tcW w:w="2551" w:type="dxa"/>
                  <w:noWrap w:val="0"/>
                  <w:vAlign w:val="center"/>
                </w:tcPr>
                <w:p w14:paraId="1CE6B201">
                  <w:pPr>
                    <w:widowControl/>
                    <w:adjustRightInd w:val="0"/>
                    <w:snapToGrid w:val="0"/>
                    <w:jc w:val="both"/>
                    <w:rPr>
                      <w:rFonts w:hint="eastAsia" w:ascii="Times New Roman" w:hAnsi="Times New Roman" w:eastAsia="宋体"/>
                      <w:caps w:val="0"/>
                      <w:smallCaps w:val="0"/>
                      <w:color w:val="auto"/>
                      <w:sz w:val="21"/>
                      <w:szCs w:val="21"/>
                      <w:highlight w:val="none"/>
                      <w:lang w:eastAsia="zh-CN"/>
                    </w:rPr>
                  </w:pPr>
                  <w:r>
                    <w:rPr>
                      <w:rFonts w:ascii="Times New Roman" w:hAnsi="Times New Roman"/>
                      <w:caps w:val="0"/>
                      <w:smallCaps w:val="0"/>
                      <w:color w:val="auto"/>
                      <w:sz w:val="21"/>
                      <w:szCs w:val="21"/>
                      <w:highlight w:val="none"/>
                    </w:rPr>
                    <w:t>有毒有害和易燃易爆危险物质存储量超过临界量的建设项目</w:t>
                  </w:r>
                  <w:r>
                    <w:rPr>
                      <w:rFonts w:hint="eastAsia"/>
                      <w:caps w:val="0"/>
                      <w:smallCaps w:val="0"/>
                      <w:color w:val="auto"/>
                      <w:sz w:val="21"/>
                      <w:szCs w:val="21"/>
                      <w:highlight w:val="none"/>
                      <w:lang w:eastAsia="zh-CN"/>
                    </w:rPr>
                    <w:t>。</w:t>
                  </w:r>
                </w:p>
              </w:tc>
              <w:tc>
                <w:tcPr>
                  <w:tcW w:w="2939" w:type="dxa"/>
                  <w:noWrap w:val="0"/>
                  <w:vAlign w:val="center"/>
                </w:tcPr>
                <w:p w14:paraId="63869081">
                  <w:pPr>
                    <w:widowControl/>
                    <w:adjustRightInd w:val="0"/>
                    <w:snapToGrid w:val="0"/>
                    <w:jc w:val="both"/>
                    <w:rPr>
                      <w:rFonts w:ascii="Times New Roman" w:hAnsi="Times New Roman"/>
                      <w:caps w:val="0"/>
                      <w:smallCaps w:val="0"/>
                      <w:color w:val="auto"/>
                      <w:sz w:val="21"/>
                      <w:szCs w:val="21"/>
                      <w:highlight w:val="none"/>
                    </w:rPr>
                  </w:pPr>
                  <w:r>
                    <w:rPr>
                      <w:rFonts w:hint="default" w:ascii="Times New Roman" w:hAnsi="Times New Roman"/>
                      <w:caps w:val="0"/>
                      <w:smallCaps w:val="0"/>
                      <w:color w:val="auto"/>
                      <w:sz w:val="21"/>
                      <w:szCs w:val="21"/>
                      <w:highlight w:val="none"/>
                      <w:lang w:val="en-US" w:eastAsia="zh-CN"/>
                    </w:rPr>
                    <w:t>项目涉</w:t>
                  </w:r>
                  <w:r>
                    <w:rPr>
                      <w:rFonts w:hint="eastAsia" w:ascii="Times New Roman" w:hAnsi="Times New Roman"/>
                      <w:caps w:val="0"/>
                      <w:smallCaps w:val="0"/>
                      <w:color w:val="auto"/>
                      <w:sz w:val="21"/>
                      <w:szCs w:val="21"/>
                      <w:highlight w:val="none"/>
                      <w:lang w:val="en-US" w:eastAsia="zh-CN"/>
                    </w:rPr>
                    <w:t>及</w:t>
                  </w:r>
                  <w:r>
                    <w:rPr>
                      <w:rFonts w:hint="default" w:ascii="Times New Roman" w:hAnsi="Times New Roman"/>
                      <w:caps w:val="0"/>
                      <w:smallCaps w:val="0"/>
                      <w:color w:val="auto"/>
                      <w:sz w:val="21"/>
                      <w:szCs w:val="21"/>
                      <w:highlight w:val="none"/>
                      <w:lang w:val="en-US" w:eastAsia="zh-CN"/>
                    </w:rPr>
                    <w:t>有毒有害和易燃易爆危险物质</w:t>
                  </w:r>
                  <w:r>
                    <w:rPr>
                      <w:rFonts w:hint="eastAsia" w:ascii="Times New Roman" w:hAnsi="Times New Roman"/>
                      <w:caps w:val="0"/>
                      <w:smallCaps w:val="0"/>
                      <w:color w:val="auto"/>
                      <w:sz w:val="21"/>
                      <w:szCs w:val="21"/>
                      <w:highlight w:val="none"/>
                      <w:lang w:val="en-US" w:eastAsia="zh-CN"/>
                    </w:rPr>
                    <w:t>暂存量未超过临界量</w:t>
                  </w:r>
                  <w:r>
                    <w:rPr>
                      <w:rFonts w:hint="default" w:ascii="Times New Roman" w:hAnsi="Times New Roman"/>
                      <w:caps w:val="0"/>
                      <w:smallCaps w:val="0"/>
                      <w:color w:val="auto"/>
                      <w:sz w:val="21"/>
                      <w:szCs w:val="21"/>
                      <w:highlight w:val="none"/>
                      <w:lang w:val="en-US" w:eastAsia="zh-CN"/>
                    </w:rPr>
                    <w:t>。</w:t>
                  </w:r>
                </w:p>
              </w:tc>
              <w:tc>
                <w:tcPr>
                  <w:tcW w:w="750" w:type="dxa"/>
                  <w:noWrap w:val="0"/>
                  <w:vAlign w:val="center"/>
                </w:tcPr>
                <w:p w14:paraId="6E732423">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否</w:t>
                  </w:r>
                </w:p>
              </w:tc>
            </w:tr>
            <w:tr w14:paraId="0FA0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123" w:type="dxa"/>
                  <w:noWrap w:val="0"/>
                  <w:vAlign w:val="center"/>
                </w:tcPr>
                <w:p w14:paraId="7447290A">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生态</w:t>
                  </w:r>
                </w:p>
              </w:tc>
              <w:tc>
                <w:tcPr>
                  <w:tcW w:w="2551" w:type="dxa"/>
                  <w:noWrap w:val="0"/>
                  <w:vAlign w:val="center"/>
                </w:tcPr>
                <w:p w14:paraId="21F8EDCA">
                  <w:pPr>
                    <w:widowControl/>
                    <w:adjustRightInd w:val="0"/>
                    <w:snapToGrid w:val="0"/>
                    <w:jc w:val="both"/>
                    <w:rPr>
                      <w:rFonts w:hint="eastAsia" w:ascii="Times New Roman" w:hAnsi="Times New Roman" w:eastAsia="宋体"/>
                      <w:caps w:val="0"/>
                      <w:smallCaps w:val="0"/>
                      <w:color w:val="auto"/>
                      <w:sz w:val="21"/>
                      <w:szCs w:val="21"/>
                      <w:highlight w:val="none"/>
                      <w:lang w:eastAsia="zh-CN"/>
                    </w:rPr>
                  </w:pPr>
                  <w:r>
                    <w:rPr>
                      <w:rFonts w:ascii="Times New Roman" w:hAnsi="Times New Roman"/>
                      <w:caps w:val="0"/>
                      <w:smallCaps w:val="0"/>
                      <w:color w:val="auto"/>
                      <w:sz w:val="21"/>
                      <w:szCs w:val="21"/>
                      <w:highlight w:val="none"/>
                    </w:rPr>
                    <w:t>取水口下游500m范围有重要水生生物的自然产卵场、索饵场、越冬场和回游通道的新增</w:t>
                  </w:r>
                  <w:r>
                    <w:rPr>
                      <w:rFonts w:hint="eastAsia"/>
                      <w:caps w:val="0"/>
                      <w:smallCaps w:val="0"/>
                      <w:color w:val="auto"/>
                      <w:sz w:val="21"/>
                      <w:szCs w:val="21"/>
                      <w:highlight w:val="none"/>
                      <w:lang w:eastAsia="zh-CN"/>
                    </w:rPr>
                    <w:t>河道</w:t>
                  </w:r>
                  <w:r>
                    <w:rPr>
                      <w:rFonts w:ascii="Times New Roman" w:hAnsi="Times New Roman"/>
                      <w:caps w:val="0"/>
                      <w:smallCaps w:val="0"/>
                      <w:color w:val="auto"/>
                      <w:sz w:val="21"/>
                      <w:szCs w:val="21"/>
                      <w:highlight w:val="none"/>
                    </w:rPr>
                    <w:t>的污染类建设项目</w:t>
                  </w:r>
                  <w:r>
                    <w:rPr>
                      <w:rFonts w:hint="eastAsia"/>
                      <w:caps w:val="0"/>
                      <w:smallCaps w:val="0"/>
                      <w:color w:val="auto"/>
                      <w:sz w:val="21"/>
                      <w:szCs w:val="21"/>
                      <w:highlight w:val="none"/>
                      <w:lang w:eastAsia="zh-CN"/>
                    </w:rPr>
                    <w:t>。</w:t>
                  </w:r>
                </w:p>
              </w:tc>
              <w:tc>
                <w:tcPr>
                  <w:tcW w:w="2939" w:type="dxa"/>
                  <w:noWrap w:val="0"/>
                  <w:vAlign w:val="center"/>
                </w:tcPr>
                <w:p w14:paraId="10BFFBE0">
                  <w:pPr>
                    <w:widowControl/>
                    <w:adjustRightInd w:val="0"/>
                    <w:snapToGrid w:val="0"/>
                    <w:jc w:val="both"/>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caps w:val="0"/>
                      <w:smallCaps w:val="0"/>
                      <w:color w:val="auto"/>
                      <w:sz w:val="21"/>
                      <w:szCs w:val="21"/>
                      <w:highlight w:val="none"/>
                      <w:lang w:eastAsia="zh-CN"/>
                    </w:rPr>
                    <w:t>项目供水由市政供水管网供给，不向河道取水。</w:t>
                  </w:r>
                </w:p>
              </w:tc>
              <w:tc>
                <w:tcPr>
                  <w:tcW w:w="750" w:type="dxa"/>
                  <w:noWrap w:val="0"/>
                  <w:vAlign w:val="center"/>
                </w:tcPr>
                <w:p w14:paraId="407947D7">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否</w:t>
                  </w:r>
                </w:p>
              </w:tc>
            </w:tr>
            <w:tr w14:paraId="5B69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23" w:type="dxa"/>
                  <w:noWrap w:val="0"/>
                  <w:vAlign w:val="center"/>
                </w:tcPr>
                <w:p w14:paraId="77CA759E">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海洋</w:t>
                  </w:r>
                </w:p>
              </w:tc>
              <w:tc>
                <w:tcPr>
                  <w:tcW w:w="2551" w:type="dxa"/>
                  <w:noWrap w:val="0"/>
                  <w:vAlign w:val="center"/>
                </w:tcPr>
                <w:p w14:paraId="3CC16F23">
                  <w:pPr>
                    <w:widowControl/>
                    <w:adjustRightInd w:val="0"/>
                    <w:snapToGrid w:val="0"/>
                    <w:jc w:val="both"/>
                    <w:rPr>
                      <w:rFonts w:hint="eastAsia" w:ascii="Times New Roman" w:hAnsi="Times New Roman" w:eastAsia="宋体"/>
                      <w:caps w:val="0"/>
                      <w:smallCaps w:val="0"/>
                      <w:color w:val="auto"/>
                      <w:sz w:val="21"/>
                      <w:szCs w:val="21"/>
                      <w:highlight w:val="none"/>
                      <w:lang w:eastAsia="zh-CN"/>
                    </w:rPr>
                  </w:pPr>
                  <w:r>
                    <w:rPr>
                      <w:rFonts w:ascii="Times New Roman" w:hAnsi="Times New Roman"/>
                      <w:caps w:val="0"/>
                      <w:smallCaps w:val="0"/>
                      <w:color w:val="auto"/>
                      <w:sz w:val="21"/>
                      <w:szCs w:val="21"/>
                      <w:highlight w:val="none"/>
                    </w:rPr>
                    <w:t>直接向海洋排放污染物的海洋工程建设项目</w:t>
                  </w:r>
                  <w:r>
                    <w:rPr>
                      <w:rFonts w:hint="eastAsia"/>
                      <w:caps w:val="0"/>
                      <w:smallCaps w:val="0"/>
                      <w:color w:val="auto"/>
                      <w:sz w:val="21"/>
                      <w:szCs w:val="21"/>
                      <w:highlight w:val="none"/>
                      <w:lang w:eastAsia="zh-CN"/>
                    </w:rPr>
                    <w:t>。</w:t>
                  </w:r>
                </w:p>
              </w:tc>
              <w:tc>
                <w:tcPr>
                  <w:tcW w:w="2939" w:type="dxa"/>
                  <w:noWrap w:val="0"/>
                  <w:vAlign w:val="center"/>
                </w:tcPr>
                <w:p w14:paraId="0591D8DD">
                  <w:pPr>
                    <w:widowControl/>
                    <w:adjustRightInd w:val="0"/>
                    <w:snapToGrid w:val="0"/>
                    <w:jc w:val="both"/>
                    <w:rPr>
                      <w:rFonts w:hint="eastAsia" w:ascii="Times New Roman" w:hAnsi="Times New Roman" w:eastAsia="宋体"/>
                      <w:caps w:val="0"/>
                      <w:smallCaps w:val="0"/>
                      <w:color w:val="auto"/>
                      <w:sz w:val="21"/>
                      <w:szCs w:val="21"/>
                      <w:highlight w:val="none"/>
                      <w:lang w:eastAsia="zh-CN"/>
                    </w:rPr>
                  </w:pPr>
                  <w:r>
                    <w:rPr>
                      <w:rFonts w:ascii="Times New Roman" w:hAnsi="Times New Roman"/>
                      <w:caps w:val="0"/>
                      <w:smallCaps w:val="0"/>
                      <w:color w:val="auto"/>
                      <w:sz w:val="21"/>
                      <w:szCs w:val="21"/>
                      <w:highlight w:val="none"/>
                    </w:rPr>
                    <w:t>本项目</w:t>
                  </w:r>
                  <w:r>
                    <w:rPr>
                      <w:rFonts w:hint="eastAsia" w:ascii="Times New Roman" w:hAnsi="Times New Roman"/>
                      <w:caps w:val="0"/>
                      <w:smallCaps w:val="0"/>
                      <w:color w:val="auto"/>
                      <w:sz w:val="21"/>
                      <w:szCs w:val="21"/>
                      <w:highlight w:val="none"/>
                      <w:lang w:eastAsia="zh-CN"/>
                    </w:rPr>
                    <w:t>不属于海洋工程建设项目，</w:t>
                  </w:r>
                  <w:r>
                    <w:rPr>
                      <w:rFonts w:hint="default" w:ascii="Times New Roman" w:hAnsi="Times New Roman" w:eastAsia="宋体" w:cs="Times New Roman"/>
                      <w:color w:val="auto"/>
                      <w:kern w:val="0"/>
                      <w:sz w:val="21"/>
                      <w:szCs w:val="21"/>
                      <w:highlight w:val="none"/>
                      <w:vertAlign w:val="baseline"/>
                      <w:lang w:val="en-US" w:eastAsia="zh-CN"/>
                    </w:rPr>
                    <w:t>不向海洋排放污染物。</w:t>
                  </w:r>
                </w:p>
              </w:tc>
              <w:tc>
                <w:tcPr>
                  <w:tcW w:w="750" w:type="dxa"/>
                  <w:noWrap w:val="0"/>
                  <w:vAlign w:val="center"/>
                </w:tcPr>
                <w:p w14:paraId="3A786834">
                  <w:pPr>
                    <w:widowControl/>
                    <w:adjustRightInd w:val="0"/>
                    <w:snapToGrid w:val="0"/>
                    <w:jc w:val="center"/>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否</w:t>
                  </w:r>
                </w:p>
              </w:tc>
            </w:tr>
          </w:tbl>
          <w:p w14:paraId="1DE5CF8E">
            <w:pPr>
              <w:autoSpaceDE w:val="0"/>
              <w:autoSpaceDN w:val="0"/>
              <w:adjustRightInd w:val="0"/>
              <w:snapToGrid w:val="0"/>
              <w:ind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ascii="Times New Roman" w:hAnsi="Times New Roman"/>
                <w:caps w:val="0"/>
                <w:smallCaps w:val="0"/>
                <w:color w:val="auto"/>
                <w:sz w:val="24"/>
                <w:highlight w:val="none"/>
              </w:rPr>
              <w:t>综上</w:t>
            </w:r>
            <w:r>
              <w:rPr>
                <w:rFonts w:hint="eastAsia" w:ascii="Times New Roman" w:hAnsi="Times New Roman"/>
                <w:caps w:val="0"/>
                <w:smallCaps w:val="0"/>
                <w:color w:val="auto"/>
                <w:sz w:val="24"/>
                <w:highlight w:val="none"/>
                <w:lang w:eastAsia="zh-CN"/>
              </w:rPr>
              <w:t>分析，项目不设置专项评价。</w:t>
            </w:r>
          </w:p>
        </w:tc>
      </w:tr>
      <w:tr w14:paraId="2240C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vAlign w:val="center"/>
          </w:tcPr>
          <w:p w14:paraId="150F4648">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7718" w:type="dxa"/>
            <w:gridSpan w:val="3"/>
            <w:vAlign w:val="center"/>
          </w:tcPr>
          <w:p w14:paraId="6E5B74A9">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b/>
                <w:bCs/>
                <w:color w:val="auto"/>
                <w:sz w:val="24"/>
                <w:highlight w:val="none"/>
                <w:lang w:val="en-US" w:eastAsia="zh-CN"/>
              </w:rPr>
            </w:pPr>
            <w:r>
              <w:rPr>
                <w:rFonts w:hint="default"/>
                <w:b/>
                <w:bCs/>
                <w:color w:val="auto"/>
                <w:sz w:val="24"/>
                <w:highlight w:val="none"/>
                <w:lang w:val="en-US" w:eastAsia="zh-CN"/>
              </w:rPr>
              <w:t>1 、规划相关文件</w:t>
            </w:r>
          </w:p>
          <w:p w14:paraId="60E6464F">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sz w:val="24"/>
                <w:highlight w:val="none"/>
                <w:lang w:val="en-US" w:eastAsia="zh-CN"/>
              </w:rPr>
            </w:pPr>
            <w:r>
              <w:rPr>
                <w:rFonts w:hint="default"/>
                <w:b/>
                <w:bCs/>
                <w:color w:val="auto"/>
                <w:sz w:val="24"/>
                <w:highlight w:val="none"/>
                <w:lang w:val="en-US" w:eastAsia="zh-CN"/>
              </w:rPr>
              <w:t>规划名称：</w:t>
            </w:r>
            <w:r>
              <w:rPr>
                <w:rFonts w:hint="default"/>
                <w:color w:val="auto"/>
                <w:sz w:val="24"/>
                <w:highlight w:val="none"/>
                <w:lang w:val="en-US" w:eastAsia="zh-CN"/>
              </w:rPr>
              <w:t>《寻甸特色产业园区总体规划修编 (2018—2035 年) 》</w:t>
            </w:r>
          </w:p>
          <w:p w14:paraId="078744D2">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sz w:val="24"/>
                <w:highlight w:val="none"/>
                <w:lang w:val="en-US" w:eastAsia="zh-CN"/>
              </w:rPr>
            </w:pPr>
            <w:r>
              <w:rPr>
                <w:rFonts w:hint="default"/>
                <w:b/>
                <w:bCs/>
                <w:color w:val="auto"/>
                <w:sz w:val="24"/>
                <w:highlight w:val="none"/>
                <w:lang w:val="en-US" w:eastAsia="zh-CN"/>
              </w:rPr>
              <w:t>审批机关：</w:t>
            </w:r>
            <w:r>
              <w:rPr>
                <w:rFonts w:hint="default"/>
                <w:color w:val="auto"/>
                <w:sz w:val="24"/>
                <w:highlight w:val="none"/>
                <w:lang w:val="en-US" w:eastAsia="zh-CN"/>
              </w:rPr>
              <w:t>云南省工业和信息化委</w:t>
            </w:r>
          </w:p>
        </w:tc>
      </w:tr>
      <w:tr w14:paraId="346B3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vAlign w:val="center"/>
          </w:tcPr>
          <w:p w14:paraId="1D8B949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14:paraId="56E85CAF">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4"/>
                <w:szCs w:val="24"/>
                <w:highlight w:val="none"/>
              </w:rPr>
              <w:t>评价情况</w:t>
            </w:r>
          </w:p>
        </w:tc>
        <w:tc>
          <w:tcPr>
            <w:tcW w:w="7718" w:type="dxa"/>
            <w:gridSpan w:val="3"/>
            <w:vAlign w:val="center"/>
          </w:tcPr>
          <w:p w14:paraId="6713AAB9">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 、规划环评相关文件</w:t>
            </w:r>
          </w:p>
          <w:p w14:paraId="17370B66">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相关规划名称：</w:t>
            </w:r>
            <w:r>
              <w:rPr>
                <w:rFonts w:hint="default" w:ascii="Times New Roman" w:hAnsi="Times New Roman" w:cs="Times New Roman"/>
                <w:b w:val="0"/>
                <w:bCs/>
                <w:color w:val="auto"/>
                <w:sz w:val="24"/>
                <w:szCs w:val="24"/>
                <w:highlight w:val="none"/>
                <w:lang w:val="en-US" w:eastAsia="zh-CN"/>
              </w:rPr>
              <w:t>《寻甸特色产业园区总体规划 (修编)  (2018-203</w:t>
            </w:r>
            <w:r>
              <w:rPr>
                <w:rFonts w:hint="eastAsia" w:ascii="Times New Roman" w:hAnsi="Times New Roman"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lang w:val="en-US" w:eastAsia="zh-CN"/>
              </w:rPr>
              <w:t>年) 环境影响报告书》  (2020年6月；寻甸特色产业园区管理委员会) ；</w:t>
            </w:r>
          </w:p>
          <w:p w14:paraId="646B9DDF">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审批机关：</w:t>
            </w:r>
            <w:r>
              <w:rPr>
                <w:rFonts w:hint="default" w:ascii="Times New Roman" w:hAnsi="Times New Roman" w:cs="Times New Roman"/>
                <w:b w:val="0"/>
                <w:bCs/>
                <w:color w:val="auto"/>
                <w:sz w:val="24"/>
                <w:szCs w:val="24"/>
                <w:highlight w:val="none"/>
                <w:lang w:val="en-US" w:eastAsia="zh-CN"/>
              </w:rPr>
              <w:t>云南省生态环境厅；</w:t>
            </w:r>
          </w:p>
          <w:p w14:paraId="3C358B9A">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审批文件名称及文号：</w:t>
            </w:r>
            <w:r>
              <w:rPr>
                <w:rFonts w:hint="default" w:ascii="Times New Roman" w:hAnsi="Times New Roman" w:cs="Times New Roman"/>
                <w:b w:val="0"/>
                <w:bCs/>
                <w:color w:val="auto"/>
                <w:sz w:val="24"/>
                <w:szCs w:val="24"/>
                <w:highlight w:val="none"/>
                <w:lang w:val="en-US" w:eastAsia="zh-CN"/>
              </w:rPr>
              <w:t>云南省生态环境厅关于《寻甸特色产业园区总体规划 (修编)  (2018-2035年) 环境影响报告书》审查意见的函 (云环函【2020】261号)</w:t>
            </w:r>
          </w:p>
        </w:tc>
      </w:tr>
      <w:tr w14:paraId="57693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5" w:hRule="atLeast"/>
          <w:jc w:val="center"/>
        </w:trPr>
        <w:tc>
          <w:tcPr>
            <w:tcW w:w="1086" w:type="dxa"/>
            <w:vAlign w:val="center"/>
          </w:tcPr>
          <w:p w14:paraId="5F91C0D8">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7718" w:type="dxa"/>
            <w:gridSpan w:val="3"/>
            <w:vAlign w:val="center"/>
          </w:tcPr>
          <w:p w14:paraId="50ECDCAF">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1</w:t>
            </w:r>
            <w:r>
              <w:rPr>
                <w:rFonts w:hint="eastAsia" w:cs="Times New Roman"/>
                <w:b/>
                <w:bCs/>
                <w:color w:val="auto"/>
                <w:sz w:val="24"/>
                <w:highlight w:val="none"/>
                <w:lang w:val="zh-CN"/>
              </w:rPr>
              <w:t>、</w:t>
            </w:r>
            <w:r>
              <w:rPr>
                <w:rFonts w:hint="default" w:ascii="Times New Roman" w:hAnsi="Times New Roman" w:eastAsia="宋体" w:cs="Times New Roman"/>
                <w:b/>
                <w:bCs/>
                <w:color w:val="auto"/>
                <w:sz w:val="24"/>
                <w:highlight w:val="none"/>
                <w:lang w:val="zh-CN"/>
              </w:rPr>
              <w:t>与《寻甸特色产业园区总体规划</w:t>
            </w:r>
            <w:r>
              <w:rPr>
                <w:rFonts w:hint="eastAsia" w:cs="Times New Roman"/>
                <w:b/>
                <w:bCs/>
                <w:color w:val="auto"/>
                <w:sz w:val="24"/>
                <w:highlight w:val="none"/>
                <w:lang w:val="zh-CN"/>
              </w:rPr>
              <w:t>（</w:t>
            </w:r>
            <w:r>
              <w:rPr>
                <w:rFonts w:hint="default" w:ascii="Times New Roman" w:hAnsi="Times New Roman" w:eastAsia="宋体" w:cs="Times New Roman"/>
                <w:b/>
                <w:bCs/>
                <w:color w:val="auto"/>
                <w:sz w:val="24"/>
                <w:highlight w:val="none"/>
                <w:lang w:val="zh-CN"/>
              </w:rPr>
              <w:t>修编</w:t>
            </w:r>
            <w:r>
              <w:rPr>
                <w:rFonts w:hint="eastAsia" w:cs="Times New Roman"/>
                <w:b/>
                <w:bCs/>
                <w:color w:val="auto"/>
                <w:sz w:val="24"/>
                <w:highlight w:val="none"/>
                <w:lang w:val="zh-CN"/>
              </w:rPr>
              <w:t>）（</w:t>
            </w:r>
            <w:r>
              <w:rPr>
                <w:rFonts w:hint="default" w:ascii="Times New Roman" w:hAnsi="Times New Roman" w:eastAsia="宋体" w:cs="Times New Roman"/>
                <w:b/>
                <w:bCs/>
                <w:color w:val="auto"/>
                <w:sz w:val="24"/>
                <w:highlight w:val="none"/>
                <w:lang w:val="zh-CN"/>
              </w:rPr>
              <w:t>2018-2035年</w:t>
            </w:r>
            <w:r>
              <w:rPr>
                <w:rFonts w:hint="eastAsia" w:cs="Times New Roman"/>
                <w:b/>
                <w:bCs/>
                <w:color w:val="auto"/>
                <w:sz w:val="24"/>
                <w:highlight w:val="none"/>
                <w:lang w:val="zh-CN"/>
              </w:rPr>
              <w:t>）</w:t>
            </w:r>
            <w:r>
              <w:rPr>
                <w:rFonts w:hint="default" w:ascii="Times New Roman" w:hAnsi="Times New Roman" w:eastAsia="宋体" w:cs="Times New Roman"/>
                <w:b/>
                <w:bCs/>
                <w:color w:val="auto"/>
                <w:sz w:val="24"/>
                <w:highlight w:val="none"/>
                <w:lang w:val="zh-CN"/>
              </w:rPr>
              <w:t>》相符性分析</w:t>
            </w:r>
          </w:p>
          <w:p w14:paraId="17B0EB64">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14:paraId="239C6C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中共云南省政府《云南省人民政府关于推动产业园区转型升级的意见》、《云南省牛栏江保护条例》和《牛栏江流域（云南段）水环境保护规划》的要求，以保护生态环境为前提，发展县域工业经济；云南省融入国家</w:t>
            </w:r>
            <w:r>
              <w:rPr>
                <w:rFonts w:hint="eastAsia" w:cs="Times New Roman"/>
                <w:color w:val="auto"/>
                <w:sz w:val="24"/>
                <w:szCs w:val="24"/>
                <w:highlight w:val="none"/>
                <w:lang w:val="zh-CN"/>
              </w:rPr>
              <w:t>“一带一路”倡议</w:t>
            </w:r>
            <w:r>
              <w:rPr>
                <w:rFonts w:hint="default" w:ascii="Times New Roman" w:hAnsi="Times New Roman" w:eastAsia="宋体" w:cs="Times New Roman"/>
                <w:color w:val="auto"/>
                <w:sz w:val="24"/>
                <w:szCs w:val="24"/>
                <w:highlight w:val="none"/>
                <w:lang w:val="zh-CN"/>
              </w:rPr>
              <w:t>，实施“一核两翼三轴两区”工业发展格局，为了与《寻甸县国民经济“十三五”发展规划纲要》相符合，寻甸县委、县政府决定对原有的两个规划进行修编，由寻甸特色产业园区管理委员会委托昆明开发规划设计院在《寻甸特色产业园区总体规划（2006-2020）》和《寻甸特色产业园区装备制造园专项规划（2009-2025）》的基础上编制了《寻甸特色产业园区总体规划（修编）（2018-2035年）》。</w:t>
            </w:r>
          </w:p>
          <w:p w14:paraId="3DB00D1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14:paraId="564C797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1）规划空间结构</w:t>
            </w:r>
          </w:p>
          <w:p w14:paraId="688AEA3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结合云南省对工业园区的“瘦身强体”，集中精力做好核心区的发展要求，寻甸特色产业园区规划为“一园两片区”的空间结构：</w:t>
            </w:r>
          </w:p>
          <w:p w14:paraId="344CE1C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一园</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即寻甸特色产业园区</w:t>
            </w:r>
            <w:r>
              <w:rPr>
                <w:rFonts w:hint="default" w:ascii="Times New Roman" w:hAnsi="Times New Roman" w:eastAsia="宋体" w:cs="Times New Roman"/>
                <w:b w:val="0"/>
                <w:bCs w:val="0"/>
                <w:color w:val="auto"/>
                <w:sz w:val="24"/>
                <w:szCs w:val="24"/>
                <w:highlight w:val="none"/>
                <w:lang w:eastAsia="zh-CN"/>
              </w:rPr>
              <w:t>；</w:t>
            </w:r>
          </w:p>
          <w:p w14:paraId="2C1DB39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两片区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金所片区、羊街片区。</w:t>
            </w:r>
          </w:p>
          <w:p w14:paraId="41129E8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2）规划范围</w:t>
            </w:r>
          </w:p>
          <w:p w14:paraId="7D06044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寻甸特色产业园区规划总用地面积为18.23平方公里</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1822.84hm</w:t>
            </w:r>
            <w:r>
              <w:rPr>
                <w:rFonts w:hint="default" w:ascii="Times New Roman" w:hAnsi="Times New Roman" w:eastAsia="宋体" w:cs="Times New Roman"/>
                <w:b w:val="0"/>
                <w:bCs w:val="0"/>
                <w:color w:val="auto"/>
                <w:sz w:val="24"/>
                <w:szCs w:val="24"/>
                <w:highlight w:val="none"/>
                <w:vertAlign w:val="superscript"/>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，包括两个片区，</w:t>
            </w:r>
            <w:r>
              <w:rPr>
                <w:rFonts w:hint="default" w:ascii="Times New Roman" w:hAnsi="Times New Roman" w:eastAsia="宋体" w:cs="Times New Roman"/>
                <w:color w:val="auto"/>
                <w:sz w:val="24"/>
                <w:szCs w:val="24"/>
                <w:highlight w:val="none"/>
              </w:rPr>
              <w:t>具体范围如下</w:t>
            </w:r>
            <w:r>
              <w:rPr>
                <w:rFonts w:hint="eastAsia" w:ascii="Times New Roman" w:hAnsi="Times New Roman" w:cs="Times New Roman"/>
                <w:color w:val="auto"/>
                <w:sz w:val="24"/>
                <w:szCs w:val="24"/>
                <w:highlight w:val="none"/>
                <w:lang w:eastAsia="zh-CN"/>
              </w:rPr>
              <w:t>：</w:t>
            </w:r>
          </w:p>
          <w:p w14:paraId="3D553AC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①金所片区</w:t>
            </w:r>
          </w:p>
          <w:p w14:paraId="386E282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规划范围</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位于金所街道办事处北侧，东至渝昆高速，南至金所收费站及金柯线一带，西至谓所村，北至种羊场围栏，规划占地面积9.59平方公里。</w:t>
            </w:r>
          </w:p>
          <w:p w14:paraId="3371948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功能定位</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以服务现状企业、发展新型建材、现代家居制造、新型能源产业为主。</w:t>
            </w:r>
          </w:p>
          <w:p w14:paraId="26FD2BA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②羊街片区</w:t>
            </w:r>
          </w:p>
          <w:p w14:paraId="61E14C5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规划范围</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位于羊街镇东北侧，规划区东至丰乐村一带，南至观音山，西邻渝昆高速，北至狮子山脚下，规划占地面积8.64平方公里。</w:t>
            </w:r>
          </w:p>
          <w:p w14:paraId="4C4DCF4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rPr>
              <w:t>功能定位</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以先进装备制造和家居制造产业为主。</w:t>
            </w:r>
          </w:p>
          <w:p w14:paraId="6214F4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3）园区总体定位</w:t>
            </w:r>
          </w:p>
          <w:p w14:paraId="40E472A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rPr>
              <w:t>云南省</w:t>
            </w:r>
            <w:r>
              <w:rPr>
                <w:rFonts w:hint="default" w:ascii="Times New Roman" w:hAnsi="Times New Roman" w:eastAsia="宋体" w:cs="Times New Roman"/>
                <w:color w:val="auto"/>
                <w:sz w:val="24"/>
                <w:szCs w:val="24"/>
                <w:highlight w:val="none"/>
              </w:rPr>
              <w:t>重要的新能源及有关配套先进装备制造基地，是以先进装备制造为主导、特色</w:t>
            </w:r>
            <w:r>
              <w:rPr>
                <w:rFonts w:hint="default" w:ascii="Times New Roman" w:hAnsi="Times New Roman" w:eastAsia="宋体" w:cs="Times New Roman"/>
                <w:b w:val="0"/>
                <w:bCs w:val="0"/>
                <w:color w:val="auto"/>
                <w:sz w:val="24"/>
                <w:szCs w:val="24"/>
                <w:highlight w:val="none"/>
              </w:rPr>
              <w:t>消费品制造为辅助的现代化特色产业园区。</w:t>
            </w:r>
          </w:p>
          <w:p w14:paraId="0ED5199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）规划功能布局</w:t>
            </w:r>
            <w:r>
              <w:rPr>
                <w:rFonts w:hint="default" w:ascii="Times New Roman" w:hAnsi="Times New Roman" w:eastAsia="宋体" w:cs="Times New Roman"/>
                <w:b w:val="0"/>
                <w:bCs w:val="0"/>
                <w:color w:val="auto"/>
                <w:sz w:val="24"/>
                <w:szCs w:val="24"/>
                <w:highlight w:val="none"/>
                <w:lang w:val="en-US" w:eastAsia="zh-CN"/>
              </w:rPr>
              <w:t>及产业发展方向</w:t>
            </w:r>
          </w:p>
          <w:p w14:paraId="72EA635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金所片区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以现状煤、磷、盐化工产业和新型建材、现代家居制造产业为主。依照产业功能分为现状产业区、新型建材、现代家居制造产业区，规划一个综合配套服务中心。</w:t>
            </w:r>
          </w:p>
          <w:p w14:paraId="252A4F4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羊街片区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羊街片区规划分为三个区，分别为先进装备制造区、家居制造区和一个配套服务区。</w:t>
            </w:r>
          </w:p>
          <w:p w14:paraId="2CE45C6E">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14:paraId="61137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zh-CN"/>
              </w:rPr>
            </w:pPr>
            <w:r>
              <w:rPr>
                <w:rFonts w:hint="default" w:ascii="Times New Roman" w:hAnsi="Times New Roman" w:cs="Times New Roman"/>
                <w:color w:val="auto"/>
                <w:sz w:val="24"/>
                <w:szCs w:val="24"/>
                <w:highlight w:val="none"/>
                <w:lang w:val="en-US" w:eastAsia="zh-CN"/>
              </w:rPr>
              <w:t>本项目位于</w:t>
            </w:r>
            <w:r>
              <w:rPr>
                <w:rFonts w:hint="default" w:ascii="Times New Roman" w:hAnsi="Times New Roman" w:eastAsia="宋体" w:cs="Times New Roman"/>
                <w:color w:val="auto"/>
                <w:sz w:val="24"/>
                <w:szCs w:val="24"/>
                <w:highlight w:val="none"/>
                <w:lang w:val="en-US"/>
              </w:rPr>
              <w:t>云南省昆明市寻甸特色产业园区羊街片区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zh-CN"/>
              </w:rPr>
              <w:t>为</w:t>
            </w:r>
            <w:r>
              <w:rPr>
                <w:rFonts w:hint="eastAsia" w:cs="Times New Roman"/>
                <w:color w:val="auto"/>
                <w:sz w:val="24"/>
                <w:highlight w:val="none"/>
                <w:lang w:val="zh-CN"/>
              </w:rPr>
              <w:t>玻璃</w:t>
            </w:r>
            <w:r>
              <w:rPr>
                <w:rFonts w:hint="eastAsia" w:cs="Times New Roman"/>
                <w:color w:val="auto"/>
                <w:sz w:val="24"/>
                <w:highlight w:val="none"/>
                <w:lang w:val="zh-CN" w:eastAsia="zh-CN"/>
              </w:rPr>
              <w:t>生产加工</w:t>
            </w:r>
            <w:r>
              <w:rPr>
                <w:rFonts w:hint="default" w:ascii="Times New Roman" w:hAnsi="Times New Roman" w:eastAsia="宋体" w:cs="Times New Roman"/>
                <w:color w:val="auto"/>
                <w:sz w:val="24"/>
                <w:highlight w:val="none"/>
                <w:lang w:val="zh-CN"/>
              </w:rPr>
              <w:t>项目</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与</w:t>
            </w:r>
            <w:r>
              <w:rPr>
                <w:rFonts w:hint="eastAsia" w:cs="Times New Roman"/>
                <w:color w:val="auto"/>
                <w:sz w:val="24"/>
                <w:highlight w:val="none"/>
                <w:lang w:val="zh-CN"/>
              </w:rPr>
              <w:t>园区产业定位不冲突。</w:t>
            </w:r>
            <w:r>
              <w:rPr>
                <w:rFonts w:hint="default" w:ascii="Times New Roman" w:hAnsi="Times New Roman" w:eastAsia="宋体" w:cs="Times New Roman"/>
                <w:color w:val="auto"/>
                <w:sz w:val="24"/>
                <w:highlight w:val="none"/>
                <w:lang w:val="zh-CN"/>
              </w:rPr>
              <w:t>根据与《寻甸特色产业园区总体规划(修编) (2018-2035年) 》的羊街片区规划叠图分析，项目用地规划为工业用地。</w:t>
            </w:r>
            <w:r>
              <w:rPr>
                <w:rFonts w:hint="eastAsia" w:cs="Times New Roman"/>
                <w:color w:val="auto"/>
                <w:sz w:val="24"/>
                <w:highlight w:val="none"/>
                <w:lang w:val="zh-CN"/>
              </w:rPr>
              <w:t>同时，该项目已于</w:t>
            </w:r>
            <w:r>
              <w:rPr>
                <w:rFonts w:hint="default" w:ascii="Times New Roman" w:hAnsi="Times New Roman" w:eastAsia="宋体" w:cs="Times New Roman"/>
                <w:color w:val="auto"/>
                <w:sz w:val="24"/>
                <w:highlight w:val="none"/>
                <w:lang w:val="zh-CN"/>
              </w:rPr>
              <w:t>2023年</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rPr>
              <w:t>月</w:t>
            </w:r>
            <w:r>
              <w:rPr>
                <w:rFonts w:hint="eastAsia" w:cs="Times New Roman"/>
                <w:color w:val="auto"/>
                <w:sz w:val="24"/>
                <w:highlight w:val="none"/>
                <w:lang w:val="en-US" w:eastAsia="zh-CN"/>
              </w:rPr>
              <w:t>17</w:t>
            </w:r>
            <w:r>
              <w:rPr>
                <w:rFonts w:hint="default" w:ascii="Times New Roman" w:hAnsi="Times New Roman" w:eastAsia="宋体" w:cs="Times New Roman"/>
                <w:color w:val="auto"/>
                <w:sz w:val="24"/>
                <w:highlight w:val="none"/>
                <w:lang w:val="zh-CN"/>
              </w:rPr>
              <w:t xml:space="preserve">日取得寻甸特色产业园区管委会出具的项目入园申请同意书 </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见附件4</w:t>
            </w:r>
            <w:r>
              <w:rPr>
                <w:rFonts w:hint="eastAsia" w:cs="Times New Roman"/>
                <w:color w:val="auto"/>
                <w:sz w:val="24"/>
                <w:highlight w:val="none"/>
                <w:lang w:val="zh-CN" w:eastAsia="zh-CN"/>
              </w:rPr>
              <w:t>）</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同意书</w:t>
            </w:r>
            <w:r>
              <w:rPr>
                <w:rFonts w:hint="eastAsia" w:cs="Times New Roman"/>
                <w:color w:val="auto"/>
                <w:sz w:val="24"/>
                <w:highlight w:val="none"/>
                <w:lang w:val="zh-CN"/>
              </w:rPr>
              <w:t>中</w:t>
            </w:r>
            <w:r>
              <w:rPr>
                <w:rFonts w:hint="default" w:ascii="Times New Roman" w:hAnsi="Times New Roman" w:eastAsia="宋体" w:cs="Times New Roman"/>
                <w:color w:val="auto"/>
                <w:sz w:val="24"/>
                <w:highlight w:val="none"/>
                <w:lang w:val="zh-CN"/>
              </w:rPr>
              <w:t>明确“项目符合园区产业发展，同意项目入驻寻甸特色产业园区羊街片区” 。</w:t>
            </w:r>
          </w:p>
          <w:p w14:paraId="7486B181">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综上分析，项目建设符合《寻甸特色产业园区总体规划(修编) (2018-2035年)》</w:t>
            </w:r>
            <w:r>
              <w:rPr>
                <w:rFonts w:hint="default" w:ascii="Times New Roman" w:hAnsi="Times New Roman" w:eastAsia="宋体" w:cs="Times New Roman"/>
                <w:color w:val="auto"/>
                <w:sz w:val="24"/>
                <w:szCs w:val="24"/>
                <w:highlight w:val="none"/>
                <w:lang w:val="en-US" w:eastAsia="zh-CN"/>
              </w:rPr>
              <w:t>中的相关要求</w:t>
            </w:r>
            <w:r>
              <w:rPr>
                <w:rFonts w:hint="default" w:ascii="Times New Roman" w:hAnsi="Times New Roman" w:eastAsia="宋体" w:cs="Times New Roman"/>
                <w:color w:val="auto"/>
                <w:sz w:val="24"/>
                <w:highlight w:val="none"/>
                <w:lang w:val="zh-CN"/>
              </w:rPr>
              <w:t>。</w:t>
            </w:r>
          </w:p>
          <w:p w14:paraId="178C9CA7">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2</w:t>
            </w:r>
            <w:r>
              <w:rPr>
                <w:rFonts w:hint="eastAsia"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zh-CN" w:eastAsia="zh-CN"/>
              </w:rPr>
              <w:t>与《寻甸特色产业园区总体规划 (修编)  (2018-2035年) 环境影响报告书》及其审查意见 (云环函【2020】261号) 符合性分析</w:t>
            </w:r>
          </w:p>
          <w:p w14:paraId="51A29070">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根据《寻甸特色产业园区总体规划</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修编</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2018-2035年</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环境影 响报告书》及其审查意见，项目与《寻甸特色产业园区总体规划环境影响报告书》符合性分析详见表 1-2。</w:t>
            </w:r>
          </w:p>
          <w:p w14:paraId="6B385F5E">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highlight w:val="none"/>
                <w:lang w:val="zh-CN" w:eastAsia="zh-CN"/>
              </w:rPr>
            </w:pPr>
          </w:p>
          <w:p w14:paraId="14B2FE3B">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highlight w:val="none"/>
                <w:lang w:val="zh-CN" w:eastAsia="zh-CN"/>
              </w:rPr>
            </w:pPr>
          </w:p>
          <w:p w14:paraId="3F056ECD">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color w:val="auto"/>
                <w:sz w:val="24"/>
                <w:highlight w:val="none"/>
                <w:lang w:val="zh-CN" w:eastAsia="zh-CN"/>
              </w:rPr>
            </w:pPr>
          </w:p>
          <w:p w14:paraId="6734858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黑体"/>
                <w:b/>
                <w:bCs/>
                <w:color w:val="auto"/>
                <w:highlight w:val="none"/>
              </w:rPr>
            </w:pPr>
            <w:r>
              <w:rPr>
                <w:rFonts w:hint="eastAsia" w:ascii="Times New Roman" w:hAnsi="Times New Roman" w:eastAsia="宋体" w:cs="黑体"/>
                <w:b/>
                <w:bCs/>
                <w:color w:val="auto"/>
                <w:highlight w:val="none"/>
              </w:rPr>
              <w:t>表</w:t>
            </w:r>
            <w:r>
              <w:rPr>
                <w:rFonts w:hint="eastAsia" w:ascii="Times New Roman" w:hAnsi="Times New Roman" w:eastAsia="宋体" w:cs="黑体"/>
                <w:b/>
                <w:bCs/>
                <w:color w:val="auto"/>
                <w:highlight w:val="none"/>
                <w:lang w:val="en-US" w:eastAsia="zh-CN"/>
              </w:rPr>
              <w:t>1</w:t>
            </w:r>
            <w:r>
              <w:rPr>
                <w:rFonts w:hint="eastAsia" w:ascii="Times New Roman" w:hAnsi="Times New Roman" w:eastAsia="宋体" w:cs="黑体"/>
                <w:b/>
                <w:bCs/>
                <w:color w:val="auto"/>
                <w:highlight w:val="none"/>
              </w:rPr>
              <w:t>-</w:t>
            </w:r>
            <w:r>
              <w:rPr>
                <w:rFonts w:hint="eastAsia" w:cs="黑体"/>
                <w:b/>
                <w:bCs/>
                <w:color w:val="auto"/>
                <w:highlight w:val="none"/>
                <w:lang w:val="en-US" w:eastAsia="zh-CN"/>
              </w:rPr>
              <w:t>2</w:t>
            </w:r>
            <w:r>
              <w:rPr>
                <w:rFonts w:hint="eastAsia" w:ascii="Times New Roman" w:hAnsi="Times New Roman" w:eastAsia="宋体" w:cs="黑体"/>
                <w:b/>
                <w:bCs/>
                <w:color w:val="auto"/>
                <w:highlight w:val="none"/>
                <w:lang w:val="en-US" w:eastAsia="zh-CN"/>
              </w:rPr>
              <w:t xml:space="preserve"> </w:t>
            </w:r>
            <w:r>
              <w:rPr>
                <w:rFonts w:hint="eastAsia" w:ascii="Times New Roman" w:hAnsi="Times New Roman" w:eastAsia="宋体" w:cs="黑体"/>
                <w:b/>
                <w:bCs/>
                <w:color w:val="auto"/>
                <w:highlight w:val="none"/>
              </w:rPr>
              <w:t xml:space="preserve"> 项目与规划环评相符性对比分析表</w:t>
            </w:r>
          </w:p>
          <w:tbl>
            <w:tblPr>
              <w:tblStyle w:val="25"/>
              <w:tblW w:w="7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3437"/>
              <w:gridCol w:w="2700"/>
              <w:gridCol w:w="716"/>
            </w:tblGrid>
            <w:tr w14:paraId="2495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14:paraId="764E56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2282" w:type="pct"/>
                  <w:vAlign w:val="center"/>
                </w:tcPr>
                <w:p w14:paraId="09634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1792" w:type="pct"/>
                  <w:vAlign w:val="center"/>
                </w:tcPr>
                <w:p w14:paraId="435336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475" w:type="pct"/>
                  <w:vAlign w:val="center"/>
                </w:tcPr>
                <w:p w14:paraId="2CAF6C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13C9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14:paraId="2101AE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性质定位</w:t>
                  </w:r>
                </w:p>
              </w:tc>
              <w:tc>
                <w:tcPr>
                  <w:tcW w:w="2282" w:type="pct"/>
                  <w:vAlign w:val="center"/>
                </w:tcPr>
                <w:p w14:paraId="552EB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以现状煤、磷、盐化工产业和新型建材、现代家居制造产业为主</w:t>
                  </w:r>
                  <w:r>
                    <w:rPr>
                      <w:rFonts w:hint="eastAsia" w:cs="Times New Roman"/>
                      <w:color w:val="auto"/>
                      <w:sz w:val="21"/>
                      <w:szCs w:val="21"/>
                      <w:highlight w:val="none"/>
                      <w:lang w:eastAsia="zh-CN"/>
                    </w:rPr>
                    <w:t>。</w:t>
                  </w:r>
                </w:p>
              </w:tc>
              <w:tc>
                <w:tcPr>
                  <w:tcW w:w="1792" w:type="pct"/>
                  <w:vAlign w:val="center"/>
                </w:tcPr>
                <w:p w14:paraId="3B182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eastAsia"/>
                      <w:color w:val="auto"/>
                      <w:sz w:val="21"/>
                      <w:szCs w:val="21"/>
                      <w:highlight w:val="none"/>
                      <w:lang w:eastAsia="zh-CN"/>
                    </w:rPr>
                    <w:t>本</w:t>
                  </w:r>
                  <w:r>
                    <w:rPr>
                      <w:rFonts w:hint="eastAsia"/>
                      <w:color w:val="auto"/>
                      <w:sz w:val="21"/>
                      <w:szCs w:val="21"/>
                      <w:highlight w:val="none"/>
                    </w:rPr>
                    <w:t>项目</w:t>
                  </w:r>
                  <w:r>
                    <w:rPr>
                      <w:rFonts w:hint="eastAsia"/>
                      <w:color w:val="auto"/>
                      <w:sz w:val="21"/>
                      <w:szCs w:val="21"/>
                      <w:highlight w:val="none"/>
                      <w:lang w:eastAsia="zh-CN"/>
                    </w:rPr>
                    <w:t>为玻璃生产加工项目，与园区规划定位不冲突，</w:t>
                  </w:r>
                  <w:r>
                    <w:rPr>
                      <w:rFonts w:hint="eastAsia"/>
                      <w:color w:val="auto"/>
                      <w:sz w:val="21"/>
                      <w:szCs w:val="21"/>
                      <w:highlight w:val="none"/>
                    </w:rPr>
                    <w:t>符合园区的规划定位，</w:t>
                  </w:r>
                  <w:r>
                    <w:rPr>
                      <w:rFonts w:hint="eastAsia"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已取得入园同意书。</w:t>
                  </w:r>
                </w:p>
              </w:tc>
              <w:tc>
                <w:tcPr>
                  <w:tcW w:w="475" w:type="pct"/>
                  <w:vAlign w:val="center"/>
                </w:tcPr>
                <w:p w14:paraId="7A07A2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3D8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14:paraId="7A353C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2282" w:type="pct"/>
                  <w:vAlign w:val="center"/>
                </w:tcPr>
                <w:p w14:paraId="6E5DA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减缓措施：</w:t>
                  </w:r>
                </w:p>
                <w:p w14:paraId="5CADC7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推行清洁能源，建议考虑集中供热，实施循环经济，并对大气污染物实行总量控制</w:t>
                  </w:r>
                  <w:r>
                    <w:rPr>
                      <w:rFonts w:hint="eastAsia" w:cs="Times New Roman"/>
                      <w:color w:val="auto"/>
                      <w:sz w:val="21"/>
                      <w:szCs w:val="21"/>
                      <w:highlight w:val="none"/>
                      <w:lang w:eastAsia="zh-CN"/>
                    </w:rPr>
                    <w:t>。</w:t>
                  </w:r>
                </w:p>
              </w:tc>
              <w:tc>
                <w:tcPr>
                  <w:tcW w:w="1792" w:type="pct"/>
                  <w:vAlign w:val="center"/>
                </w:tcPr>
                <w:p w14:paraId="4E9B05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项目</w:t>
                  </w:r>
                  <w:r>
                    <w:rPr>
                      <w:rFonts w:hint="eastAsia" w:cs="Times New Roman"/>
                      <w:color w:val="auto"/>
                      <w:sz w:val="21"/>
                      <w:szCs w:val="21"/>
                      <w:highlight w:val="none"/>
                      <w:lang w:val="en-US" w:eastAsia="zh-CN"/>
                    </w:rPr>
                    <w:t>仅</w:t>
                  </w:r>
                  <w:r>
                    <w:rPr>
                      <w:rFonts w:hint="eastAsia" w:cs="Times New Roman"/>
                      <w:color w:val="auto"/>
                      <w:sz w:val="21"/>
                      <w:szCs w:val="21"/>
                      <w:highlight w:val="none"/>
                      <w:lang w:eastAsia="zh-CN"/>
                    </w:rPr>
                    <w:t>使用电</w:t>
                  </w:r>
                  <w:r>
                    <w:rPr>
                      <w:rFonts w:hint="eastAsia" w:cs="Times New Roman"/>
                      <w:color w:val="auto"/>
                      <w:sz w:val="21"/>
                      <w:szCs w:val="21"/>
                      <w:highlight w:val="none"/>
                      <w:lang w:val="en-US" w:eastAsia="zh-CN"/>
                    </w:rPr>
                    <w:t>能</w:t>
                  </w:r>
                  <w:r>
                    <w:rPr>
                      <w:rFonts w:hint="eastAsia" w:cs="Times New Roman"/>
                      <w:color w:val="auto"/>
                      <w:sz w:val="21"/>
                      <w:szCs w:val="21"/>
                      <w:highlight w:val="none"/>
                      <w:lang w:eastAsia="zh-CN"/>
                    </w:rPr>
                    <w:t>，产生的</w:t>
                  </w:r>
                  <w:r>
                    <w:rPr>
                      <w:rFonts w:hint="default" w:ascii="Times New Roman" w:hAnsi="Times New Roman" w:eastAsia="宋体" w:cs="Times New Roman"/>
                      <w:color w:val="auto"/>
                      <w:sz w:val="21"/>
                      <w:szCs w:val="21"/>
                      <w:highlight w:val="none"/>
                    </w:rPr>
                    <w:t>废气主要是</w:t>
                  </w:r>
                  <w:r>
                    <w:rPr>
                      <w:rFonts w:hint="eastAsia" w:cs="Times New Roman"/>
                      <w:color w:val="auto"/>
                      <w:sz w:val="21"/>
                      <w:szCs w:val="21"/>
                      <w:highlight w:val="none"/>
                      <w:lang w:eastAsia="zh-CN"/>
                    </w:rPr>
                    <w:t>颗粒物、氟化物、硫酸雾和</w:t>
                  </w:r>
                  <w:r>
                    <w:rPr>
                      <w:rFonts w:hint="eastAsia" w:cs="Times New Roman"/>
                      <w:color w:val="auto"/>
                      <w:sz w:val="21"/>
                      <w:szCs w:val="21"/>
                      <w:highlight w:val="none"/>
                      <w:lang w:val="zh-CN" w:eastAsia="zh-CN"/>
                    </w:rPr>
                    <w:t>氯化氢</w:t>
                  </w:r>
                  <w:r>
                    <w:rPr>
                      <w:rFonts w:hint="default" w:ascii="Times New Roman" w:hAnsi="Times New Roman" w:eastAsia="宋体" w:cs="Times New Roman"/>
                      <w:color w:val="auto"/>
                      <w:sz w:val="21"/>
                      <w:szCs w:val="21"/>
                      <w:highlight w:val="none"/>
                    </w:rPr>
                    <w:t>，经处理后均可达标排放。</w:t>
                  </w:r>
                </w:p>
              </w:tc>
              <w:tc>
                <w:tcPr>
                  <w:tcW w:w="475" w:type="pct"/>
                  <w:vAlign w:val="center"/>
                </w:tcPr>
                <w:p w14:paraId="3FBC33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9CC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14:paraId="10D55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2282" w:type="pct"/>
                  <w:vAlign w:val="center"/>
                </w:tcPr>
                <w:p w14:paraId="075A0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减缓措施：</w:t>
                  </w:r>
                </w:p>
                <w:p w14:paraId="1DCD4C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规划修编》实施对水环境的影响分析，规划建设覆盖规划区范围的“雨污分流”排水体制。园区雨水经过雨水管网收集后汇入附近地表水体；后期入驻企业，要求企业自建污水处理设施，生产废水处理后循环回用不外排，生活污水处理达到《污水排入城市下水道水质标准》(GB/T31962-2015)A等级限值要求后，进入金所、羊街集镇污水处理厂，部分深度处理达标后回用于工业用水、绿化、道路、广场浇洒等，不能回用部分达到《城镇污水处理厂污染物排放标准》(GB18918-2002)一级A标准后再外排。</w:t>
                  </w:r>
                </w:p>
              </w:tc>
              <w:tc>
                <w:tcPr>
                  <w:tcW w:w="1792" w:type="pct"/>
                  <w:vAlign w:val="center"/>
                </w:tcPr>
                <w:p w14:paraId="68A9E5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项目实施雨污分流，雨水经</w:t>
                  </w:r>
                  <w:r>
                    <w:rPr>
                      <w:rFonts w:hint="eastAsia" w:cs="Times New Roman"/>
                      <w:color w:val="auto"/>
                      <w:sz w:val="21"/>
                      <w:szCs w:val="21"/>
                      <w:highlight w:val="none"/>
                      <w:lang w:eastAsia="zh-CN"/>
                    </w:rPr>
                    <w:t>雨</w:t>
                  </w:r>
                  <w:r>
                    <w:rPr>
                      <w:rFonts w:hint="default" w:ascii="Times New Roman" w:hAnsi="Times New Roman" w:eastAsia="宋体" w:cs="Times New Roman"/>
                      <w:color w:val="auto"/>
                      <w:sz w:val="21"/>
                      <w:szCs w:val="21"/>
                      <w:highlight w:val="none"/>
                    </w:rPr>
                    <w:t>水沟</w:t>
                  </w:r>
                  <w:r>
                    <w:rPr>
                      <w:rFonts w:hint="eastAsia" w:cs="Times New Roman"/>
                      <w:color w:val="auto"/>
                      <w:sz w:val="21"/>
                      <w:szCs w:val="21"/>
                      <w:highlight w:val="none"/>
                      <w:lang w:eastAsia="zh-CN"/>
                    </w:rPr>
                    <w:t>收集后</w:t>
                  </w:r>
                  <w:r>
                    <w:rPr>
                      <w:rFonts w:hint="default" w:ascii="Times New Roman" w:hAnsi="Times New Roman" w:eastAsia="宋体" w:cs="Times New Roman"/>
                      <w:color w:val="auto"/>
                      <w:sz w:val="21"/>
                      <w:szCs w:val="21"/>
                      <w:highlight w:val="none"/>
                    </w:rPr>
                    <w:t>排入</w:t>
                  </w:r>
                  <w:r>
                    <w:rPr>
                      <w:rFonts w:hint="eastAsia" w:cs="Times New Roman"/>
                      <w:color w:val="auto"/>
                      <w:sz w:val="21"/>
                      <w:szCs w:val="21"/>
                      <w:highlight w:val="none"/>
                      <w:lang w:eastAsia="zh-CN"/>
                    </w:rPr>
                    <w:t>园区</w:t>
                  </w:r>
                  <w:r>
                    <w:rPr>
                      <w:rFonts w:hint="default" w:ascii="Times New Roman" w:hAnsi="Times New Roman" w:eastAsia="宋体" w:cs="Times New Roman"/>
                      <w:color w:val="auto"/>
                      <w:sz w:val="21"/>
                      <w:szCs w:val="21"/>
                      <w:highlight w:val="none"/>
                    </w:rPr>
                    <w:t>雨水管网；</w:t>
                  </w:r>
                  <w:r>
                    <w:rPr>
                      <w:rFonts w:hint="eastAsia" w:cs="Times New Roman"/>
                      <w:color w:val="auto"/>
                      <w:sz w:val="21"/>
                      <w:szCs w:val="21"/>
                      <w:highlight w:val="none"/>
                      <w:lang w:val="en-US" w:eastAsia="zh-CN"/>
                    </w:rPr>
                    <w:t>生活污水</w:t>
                  </w:r>
                  <w:r>
                    <w:rPr>
                      <w:rFonts w:hint="eastAsia" w:cs="Times New Roman"/>
                      <w:color w:val="auto"/>
                      <w:sz w:val="21"/>
                      <w:szCs w:val="21"/>
                      <w:highlight w:val="none"/>
                      <w:lang w:eastAsia="zh-CN"/>
                    </w:rPr>
                    <w:t>经原项目自建生活</w:t>
                  </w:r>
                  <w:r>
                    <w:rPr>
                      <w:rFonts w:hint="default" w:ascii="Times New Roman" w:hAnsi="Times New Roman" w:eastAsia="宋体" w:cs="Times New Roman"/>
                      <w:color w:val="auto"/>
                      <w:sz w:val="21"/>
                      <w:szCs w:val="21"/>
                      <w:highlight w:val="none"/>
                    </w:rPr>
                    <w:t>污水处理</w:t>
                  </w:r>
                  <w:r>
                    <w:rPr>
                      <w:rFonts w:hint="eastAsia" w:cs="Times New Roman"/>
                      <w:color w:val="auto"/>
                      <w:sz w:val="21"/>
                      <w:szCs w:val="21"/>
                      <w:highlight w:val="none"/>
                      <w:lang w:val="en-US" w:eastAsia="zh-CN"/>
                    </w:rPr>
                    <w:t>设施处理达《城市污水再生利用 城市杂用水水质》（GB/T18920-2020）中城市绿化、道路广场浇洒、消防、建筑施工标准后，回用于项目区绿化及道路广场浇洒，不外排</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生产废水经收集后统一进入调节池、生产废水处理设施处理达《城市污水再生利用 工业用水水质》（GB/T 19923-2005）中的洗涤用水标准后回用于水洗补水，不外排。</w:t>
                  </w:r>
                  <w:r>
                    <w:rPr>
                      <w:rFonts w:hint="default" w:ascii="Times New Roman" w:hAnsi="Times New Roman" w:eastAsia="宋体" w:cs="Times New Roman"/>
                      <w:color w:val="auto"/>
                      <w:sz w:val="21"/>
                      <w:szCs w:val="21"/>
                      <w:highlight w:val="none"/>
                    </w:rPr>
                    <w:t>项目废水对区域地表水影响较小。</w:t>
                  </w:r>
                </w:p>
              </w:tc>
              <w:tc>
                <w:tcPr>
                  <w:tcW w:w="475" w:type="pct"/>
                  <w:vAlign w:val="center"/>
                </w:tcPr>
                <w:p w14:paraId="1E0905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C07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14:paraId="356541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2282" w:type="pct"/>
                  <w:vAlign w:val="center"/>
                </w:tcPr>
                <w:p w14:paraId="15FAA6FA">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减缓措施：</w:t>
                  </w:r>
                </w:p>
                <w:p w14:paraId="3776101D">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规划实施后对声环境的影响分析，提出规划区应合理布局各企业位置，尽量远离居民点，加强园区内企业噪声环境管理，在村庄及居住区等噪声敏感目标与工业企业之间留出足够的退让距离，并在工业用地与居住区域之间设置绿化带以减小噪声影响；园区主要交通干道两侧与居住区之间应保持35m以上的退让距离，并在道路两侧布置绿化隔离带，从噪声传播途径中减小交通噪声对沿线敏感目标的影响。</w:t>
                  </w:r>
                </w:p>
              </w:tc>
              <w:tc>
                <w:tcPr>
                  <w:tcW w:w="1792" w:type="pct"/>
                  <w:vAlign w:val="center"/>
                </w:tcPr>
                <w:p w14:paraId="687B62EE">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项目产噪设备采取安装减震垫进行降噪</w:t>
                  </w:r>
                  <w:r>
                    <w:rPr>
                      <w:rFonts w:hint="eastAsia"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rPr>
                    <w:t>，且各设备均位于厂房内。根据预测结果，在采取噪声防治措施后，项目噪声可以</w:t>
                  </w:r>
                  <w:r>
                    <w:rPr>
                      <w:rFonts w:hint="eastAsia" w:cs="Times New Roman"/>
                      <w:color w:val="auto"/>
                      <w:sz w:val="21"/>
                      <w:szCs w:val="21"/>
                      <w:highlight w:val="none"/>
                      <w:lang w:eastAsia="zh-CN"/>
                    </w:rPr>
                    <w:t>达到</w:t>
                  </w:r>
                  <w:r>
                    <w:rPr>
                      <w:rFonts w:hint="default" w:ascii="Times New Roman" w:hAnsi="Times New Roman" w:eastAsia="宋体" w:cs="Times New Roman"/>
                      <w:color w:val="auto"/>
                      <w:sz w:val="21"/>
                      <w:szCs w:val="21"/>
                      <w:highlight w:val="none"/>
                    </w:rPr>
                    <w:t>《工业企业厂界环境噪声排放标准》（GB12348-2008）3类要求。项目周边200m范围</w:t>
                  </w:r>
                  <w:r>
                    <w:rPr>
                      <w:rFonts w:hint="eastAsia" w:cs="Times New Roman"/>
                      <w:color w:val="auto"/>
                      <w:sz w:val="21"/>
                      <w:szCs w:val="21"/>
                      <w:highlight w:val="none"/>
                      <w:lang w:val="en-US" w:eastAsia="zh-CN"/>
                    </w:rPr>
                    <w:t>内</w:t>
                  </w:r>
                  <w:r>
                    <w:rPr>
                      <w:rFonts w:hint="default" w:ascii="Times New Roman" w:hAnsi="Times New Roman" w:eastAsia="宋体" w:cs="Times New Roman"/>
                      <w:color w:val="auto"/>
                      <w:sz w:val="21"/>
                      <w:szCs w:val="21"/>
                      <w:highlight w:val="none"/>
                    </w:rPr>
                    <w:t>无声环境敏感目标，不会降低区域声环境质量现状。</w:t>
                  </w:r>
                </w:p>
              </w:tc>
              <w:tc>
                <w:tcPr>
                  <w:tcW w:w="475" w:type="pct"/>
                  <w:vAlign w:val="center"/>
                </w:tcPr>
                <w:p w14:paraId="3DDC07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5ED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14:paraId="02FAEA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固体废弃物</w:t>
                  </w:r>
                </w:p>
              </w:tc>
              <w:tc>
                <w:tcPr>
                  <w:tcW w:w="2282" w:type="pct"/>
                  <w:vAlign w:val="center"/>
                </w:tcPr>
                <w:p w14:paraId="35EC7502">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减缓措施：</w:t>
                  </w:r>
                </w:p>
                <w:p w14:paraId="2C82B57F">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设置合理的产业链，实行循环经济，生活垃圾交由环卫部门统一处置；对于园区产生的危险废物，企业应委托有资质的单位进行处置，各企业要设置危险废物临时贮存场所，危险废物临时贮存设施要严格按照GB18597-2001《危险废物贮存污染控制标准》进行建设和管理；一般工业固体废物通过综合利用后，剩余部分根据规范处置要求进行相应处置。</w:t>
                  </w:r>
                </w:p>
              </w:tc>
              <w:tc>
                <w:tcPr>
                  <w:tcW w:w="1792" w:type="pct"/>
                  <w:vAlign w:val="center"/>
                </w:tcPr>
                <w:p w14:paraId="7BBEFCF6">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项目生活垃圾委托环卫部门清运；危险废物分类收集后暂存于</w:t>
                  </w:r>
                  <w:r>
                    <w:rPr>
                      <w:rFonts w:hint="eastAsia" w:cs="Times New Roman"/>
                      <w:color w:val="auto"/>
                      <w:sz w:val="21"/>
                      <w:szCs w:val="21"/>
                      <w:highlight w:val="none"/>
                      <w:lang w:eastAsia="zh-CN"/>
                    </w:rPr>
                    <w:t>危险废物</w:t>
                  </w:r>
                  <w:r>
                    <w:rPr>
                      <w:rFonts w:hint="default" w:ascii="Times New Roman" w:hAnsi="Times New Roman" w:eastAsia="宋体" w:cs="Times New Roman"/>
                      <w:color w:val="auto"/>
                      <w:sz w:val="21"/>
                      <w:szCs w:val="21"/>
                      <w:highlight w:val="none"/>
                    </w:rPr>
                    <w:t>暂存间，</w:t>
                  </w:r>
                  <w:r>
                    <w:rPr>
                      <w:rFonts w:hint="eastAsia" w:cs="Times New Roman"/>
                      <w:color w:val="auto"/>
                      <w:sz w:val="21"/>
                      <w:szCs w:val="21"/>
                      <w:highlight w:val="none"/>
                      <w:lang w:eastAsia="zh-CN"/>
                    </w:rPr>
                    <w:t>定期</w:t>
                  </w:r>
                  <w:r>
                    <w:rPr>
                      <w:rFonts w:hint="default" w:ascii="Times New Roman" w:hAnsi="Times New Roman" w:eastAsia="宋体" w:cs="Times New Roman"/>
                      <w:color w:val="auto"/>
                      <w:sz w:val="21"/>
                      <w:szCs w:val="21"/>
                      <w:highlight w:val="none"/>
                    </w:rPr>
                    <w:t>委托有资质的单位进行</w:t>
                  </w:r>
                  <w:r>
                    <w:rPr>
                      <w:rFonts w:hint="eastAsia"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危险废物</w:t>
                  </w:r>
                  <w:r>
                    <w:rPr>
                      <w:rFonts w:hint="default" w:ascii="Times New Roman" w:hAnsi="Times New Roman" w:eastAsia="宋体" w:cs="Times New Roman"/>
                      <w:color w:val="auto"/>
                      <w:sz w:val="21"/>
                      <w:szCs w:val="21"/>
                      <w:highlight w:val="none"/>
                    </w:rPr>
                    <w:t>暂存间严格按照《危险废物贮存污染控制标准》（GB18597-20</w:t>
                  </w:r>
                  <w:r>
                    <w:rPr>
                      <w:rFonts w:hint="eastAsia"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）的要求进行建设。环评已根据固体废弃物评价指南进行固废的影响评价</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项目各类固废均100%合理处置。</w:t>
                  </w:r>
                </w:p>
              </w:tc>
              <w:tc>
                <w:tcPr>
                  <w:tcW w:w="475" w:type="pct"/>
                  <w:vAlign w:val="center"/>
                </w:tcPr>
                <w:p w14:paraId="76EE98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4D1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14:paraId="271D80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2282" w:type="pct"/>
                  <w:vAlign w:val="center"/>
                </w:tcPr>
                <w:p w14:paraId="32C6AC36">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减缓措施：</w:t>
                  </w:r>
                </w:p>
                <w:p w14:paraId="27901373">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根据对规划实施后对生态环境的影响分析，本评价提出规划区建设中绿化率不低于总体规划中要求，尽量保留现有的主干防护林，园区外围种植绿化带等措施。</w:t>
                  </w:r>
                </w:p>
              </w:tc>
              <w:tc>
                <w:tcPr>
                  <w:tcW w:w="1792" w:type="pct"/>
                  <w:vAlign w:val="center"/>
                </w:tcPr>
                <w:p w14:paraId="7BC28CFC">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lang w:val="en-US" w:eastAsia="zh-CN"/>
                    </w:rPr>
                    <w:t>本项目不新增占地，仅在原项目生产车间内新增生产线及产能。</w:t>
                  </w:r>
                  <w:r>
                    <w:rPr>
                      <w:rFonts w:hint="eastAsia" w:cs="Times New Roman"/>
                      <w:color w:val="auto"/>
                      <w:sz w:val="21"/>
                      <w:szCs w:val="21"/>
                      <w:highlight w:val="none"/>
                      <w:lang w:val="en-US" w:eastAsia="zh-CN"/>
                    </w:rPr>
                    <w:t>原项目已建绿化面积</w:t>
                  </w:r>
                  <w:r>
                    <w:rPr>
                      <w:rFonts w:hint="eastAsia"/>
                      <w:color w:val="auto"/>
                      <w:kern w:val="0"/>
                      <w:sz w:val="21"/>
                      <w:szCs w:val="21"/>
                      <w:highlight w:val="none"/>
                      <w:lang w:val="en-US" w:eastAsia="zh-CN"/>
                    </w:rPr>
                    <w:t>176</w:t>
                  </w:r>
                  <w:r>
                    <w:rPr>
                      <w:rFonts w:hint="default" w:ascii="Times New Roman" w:hAnsi="Times New Roman"/>
                      <w:color w:val="auto"/>
                      <w:kern w:val="0"/>
                      <w:sz w:val="21"/>
                      <w:szCs w:val="21"/>
                      <w:highlight w:val="none"/>
                    </w:rPr>
                    <w:t>m</w:t>
                  </w:r>
                  <w:r>
                    <w:rPr>
                      <w:rFonts w:hint="default" w:ascii="Times New Roman" w:hAnsi="Times New Roman"/>
                      <w:color w:val="auto"/>
                      <w:kern w:val="0"/>
                      <w:sz w:val="21"/>
                      <w:szCs w:val="21"/>
                      <w:highlight w:val="none"/>
                      <w:vertAlign w:val="superscript"/>
                    </w:rPr>
                    <w:t>2</w:t>
                  </w:r>
                  <w:r>
                    <w:rPr>
                      <w:rFonts w:hint="eastAsia" w:ascii="Times New Roman" w:hAnsi="Times New Roman"/>
                      <w:color w:val="auto"/>
                      <w:kern w:val="0"/>
                      <w:sz w:val="21"/>
                      <w:szCs w:val="21"/>
                      <w:highlight w:val="none"/>
                      <w:vertAlign w:val="baseline"/>
                      <w:lang w:eastAsia="zh-CN"/>
                    </w:rPr>
                    <w:t>。</w:t>
                  </w:r>
                </w:p>
              </w:tc>
              <w:tc>
                <w:tcPr>
                  <w:tcW w:w="475" w:type="pct"/>
                  <w:vAlign w:val="center"/>
                </w:tcPr>
                <w:p w14:paraId="44D57B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45B920D0">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综上所述</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项目建设与《寻甸特色产业园区总体规划</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修编</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2018-2035年</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环境影响报告书》中的要求相符。</w:t>
            </w:r>
          </w:p>
          <w:p w14:paraId="1DE128B7">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color w:val="auto"/>
                <w:highlight w:val="none"/>
              </w:rPr>
            </w:pPr>
            <w:r>
              <w:rPr>
                <w:rFonts w:hint="default" w:ascii="Times New Roman" w:hAnsi="Times New Roman" w:eastAsia="宋体" w:cs="Times New Roman"/>
                <w:color w:val="auto"/>
                <w:sz w:val="24"/>
                <w:highlight w:val="none"/>
                <w:lang w:val="zh-CN" w:eastAsia="zh-CN"/>
              </w:rPr>
              <w:t xml:space="preserve">项目与云南省生态环境厅关于《寻甸特色产业园区总体规划 </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修编</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2018-2035年</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环境影响报告书》审查意见的函 (云环函【2020】261 号) 相符性分析见下表。</w:t>
            </w:r>
          </w:p>
          <w:p w14:paraId="7A21AF65">
            <w:pPr>
              <w:keepNext w:val="0"/>
              <w:keepLines w:val="0"/>
              <w:suppressLineNumbers w:val="0"/>
              <w:adjustRightInd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kern w:val="0"/>
                <w:sz w:val="21"/>
                <w:szCs w:val="21"/>
                <w:highlight w:val="none"/>
              </w:rPr>
              <w:t>表</w:t>
            </w:r>
            <w:r>
              <w:rPr>
                <w:rFonts w:hint="eastAsia" w:ascii="Times New Roman" w:hAnsi="Times New Roman" w:eastAsia="宋体" w:cs="Times New Roman"/>
                <w:b/>
                <w:color w:val="auto"/>
                <w:kern w:val="0"/>
                <w:sz w:val="21"/>
                <w:szCs w:val="21"/>
                <w:highlight w:val="none"/>
                <w:lang w:val="en-US" w:eastAsia="zh-CN"/>
              </w:rPr>
              <w:t>1</w:t>
            </w:r>
            <w:r>
              <w:rPr>
                <w:rFonts w:hint="default" w:ascii="Times New Roman" w:hAnsi="Times New Roman" w:eastAsia="宋体" w:cs="Times New Roman"/>
                <w:b/>
                <w:color w:val="auto"/>
                <w:kern w:val="0"/>
                <w:sz w:val="21"/>
                <w:szCs w:val="21"/>
                <w:highlight w:val="none"/>
              </w:rPr>
              <w:t>-</w:t>
            </w:r>
            <w:r>
              <w:rPr>
                <w:rFonts w:hint="eastAsia"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rPr>
              <w:t xml:space="preserve"> </w:t>
            </w:r>
            <w:r>
              <w:rPr>
                <w:rFonts w:hint="eastAsia" w:ascii="Times New Roman" w:hAnsi="Times New Roman" w:eastAsia="宋体" w:cs="Times New Roman"/>
                <w:b/>
                <w:color w:val="auto"/>
                <w:kern w:val="0"/>
                <w:sz w:val="21"/>
                <w:szCs w:val="21"/>
                <w:highlight w:val="none"/>
                <w:lang w:val="en-US" w:eastAsia="zh-CN"/>
              </w:rPr>
              <w:t xml:space="preserve"> </w:t>
            </w:r>
            <w:r>
              <w:rPr>
                <w:rFonts w:hint="default" w:ascii="Times New Roman" w:hAnsi="Times New Roman" w:eastAsia="宋体" w:cs="Times New Roman"/>
                <w:b/>
                <w:color w:val="auto"/>
                <w:kern w:val="0"/>
                <w:sz w:val="21"/>
                <w:szCs w:val="21"/>
                <w:highlight w:val="none"/>
              </w:rPr>
              <w:t>与审查意见相符性分析</w:t>
            </w:r>
          </w:p>
          <w:tbl>
            <w:tblPr>
              <w:tblStyle w:val="25"/>
              <w:tblW w:w="7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9"/>
              <w:gridCol w:w="2561"/>
              <w:gridCol w:w="675"/>
            </w:tblGrid>
            <w:tr w14:paraId="6206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858" w:type="pct"/>
                  <w:noWrap w:val="0"/>
                  <w:vAlign w:val="center"/>
                </w:tcPr>
                <w:p w14:paraId="0457CD02">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审查意见提出要求</w:t>
                  </w:r>
                </w:p>
              </w:tc>
              <w:tc>
                <w:tcPr>
                  <w:tcW w:w="1694" w:type="pct"/>
                  <w:noWrap w:val="0"/>
                  <w:vAlign w:val="center"/>
                </w:tcPr>
                <w:p w14:paraId="3DA8ADD5">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本项目情况</w:t>
                  </w:r>
                </w:p>
              </w:tc>
              <w:tc>
                <w:tcPr>
                  <w:tcW w:w="446" w:type="pct"/>
                  <w:noWrap w:val="0"/>
                  <w:vAlign w:val="center"/>
                </w:tcPr>
                <w:p w14:paraId="37B99DF9">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相符性</w:t>
                  </w:r>
                </w:p>
              </w:tc>
            </w:tr>
            <w:tr w14:paraId="568A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2858" w:type="pct"/>
                  <w:noWrap w:val="0"/>
                  <w:vAlign w:val="center"/>
                </w:tcPr>
                <w:p w14:paraId="6B935E14">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严守环境质量底线，严格入园项目环境管理。根据国家和云南省有关大气、水、土壤污染防治行动计划相关要求，采取有效措施减少主要污染物、</w:t>
                  </w:r>
                  <w:r>
                    <w:rPr>
                      <w:rFonts w:hint="eastAsia" w:cs="Times New Roman"/>
                      <w:color w:val="auto"/>
                      <w:sz w:val="21"/>
                      <w:szCs w:val="21"/>
                      <w:highlight w:val="none"/>
                      <w:lang w:eastAsia="zh-CN"/>
                    </w:rPr>
                    <w:t>TVOC</w:t>
                  </w:r>
                  <w:r>
                    <w:rPr>
                      <w:rFonts w:hint="default" w:ascii="Times New Roman" w:hAnsi="Times New Roman" w:eastAsia="宋体" w:cs="Times New Roman"/>
                      <w:color w:val="auto"/>
                      <w:sz w:val="21"/>
                      <w:szCs w:val="21"/>
                      <w:highlight w:val="none"/>
                    </w:rPr>
                    <w:t>和臭气异味等特征污染物的排放总量，确保实现区域环境质量改善目标。南磷集团处理达标后的废水和先锋化工清净下水由既有管道排至功山河，应当符合污染物排放标准和化学需氧量、氨氮、总磷等重点水污染物排放总量控制指标。园区应当建设污水集中和分散处理设施，工业污水处理达标后，在园区内综合回用，实现工业污水零排放。积极与地方政府沟通协调，强化片区环境综合整治，加强园区生活污水的收集处理，提高污水回用率，有效改善区域水环境质量。规划区金所片区地表水、地下水存在连通关系，区域地下水为岩溶地质构造，是规划区与牛栏江相连的通道，须强化园区地下水污染防控措施。入园企业禁止抽取地下水。加强金所片区现有企业大气污染防治，先锋化工应认真落实异味整治方案，并加强监测监控，切实消除臭气对周围村庄和县城的影响。引进项目应符合国家产业政策和园区规划，并从生产工艺、设备、单位产品能耗、物耗、污染物排放和资源利用等方面，进一步提高清洁生产水平。</w:t>
                  </w:r>
                </w:p>
              </w:tc>
              <w:tc>
                <w:tcPr>
                  <w:tcW w:w="1694" w:type="pct"/>
                  <w:noWrap w:val="0"/>
                  <w:vAlign w:val="center"/>
                </w:tcPr>
                <w:p w14:paraId="0EE2FFDE">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zh-CN" w:eastAsia="zh-CN"/>
                    </w:rPr>
                    <w:t>本项目硫酸稀释、蒙砂液配制与蒙砂过程共同置于封闭生产车间内，生产车间保持负压状态，并在上方设置集气管道，</w:t>
                  </w:r>
                  <w:r>
                    <w:rPr>
                      <w:rFonts w:hint="default" w:ascii="Times New Roman" w:hAnsi="Times New Roman" w:cs="Times New Roman"/>
                      <w:color w:val="auto"/>
                      <w:sz w:val="21"/>
                      <w:szCs w:val="21"/>
                      <w:highlight w:val="none"/>
                      <w:lang w:val="zh-CN" w:eastAsia="zh-CN"/>
                    </w:rPr>
                    <w:t>硫酸挥发废气、配料废气</w:t>
                  </w:r>
                  <w:r>
                    <w:rPr>
                      <w:rFonts w:hint="eastAsia" w:cs="Times New Roman"/>
                      <w:color w:val="auto"/>
                      <w:sz w:val="21"/>
                      <w:szCs w:val="21"/>
                      <w:highlight w:val="none"/>
                      <w:lang w:val="zh-CN" w:eastAsia="zh-CN"/>
                    </w:rPr>
                    <w:t>和蒙砂</w:t>
                  </w:r>
                  <w:r>
                    <w:rPr>
                      <w:rFonts w:hint="default" w:ascii="Times New Roman" w:hAnsi="Times New Roman" w:cs="Times New Roman"/>
                      <w:color w:val="auto"/>
                      <w:sz w:val="21"/>
                      <w:szCs w:val="21"/>
                      <w:highlight w:val="none"/>
                      <w:lang w:val="zh-CN" w:eastAsia="zh-CN"/>
                    </w:rPr>
                    <w:t>废气由</w:t>
                  </w:r>
                  <w:r>
                    <w:rPr>
                      <w:rFonts w:hint="eastAsia" w:cs="Times New Roman"/>
                      <w:color w:val="auto"/>
                      <w:sz w:val="21"/>
                      <w:szCs w:val="21"/>
                      <w:highlight w:val="none"/>
                      <w:lang w:val="zh-CN" w:eastAsia="zh-CN"/>
                    </w:rPr>
                    <w:t>封</w:t>
                  </w:r>
                  <w:r>
                    <w:rPr>
                      <w:rFonts w:hint="default" w:ascii="Times New Roman" w:hAnsi="Times New Roman" w:cs="Times New Roman"/>
                      <w:color w:val="auto"/>
                      <w:sz w:val="21"/>
                      <w:szCs w:val="21"/>
                      <w:highlight w:val="none"/>
                      <w:lang w:val="zh-CN" w:eastAsia="zh-CN"/>
                    </w:rPr>
                    <w:t>闭生产</w:t>
                  </w:r>
                  <w:r>
                    <w:rPr>
                      <w:rFonts w:hint="eastAsia" w:cs="Times New Roman"/>
                      <w:color w:val="auto"/>
                      <w:sz w:val="21"/>
                      <w:szCs w:val="21"/>
                      <w:highlight w:val="none"/>
                      <w:lang w:val="zh-CN" w:eastAsia="zh-CN"/>
                    </w:rPr>
                    <w:t>车间</w:t>
                  </w:r>
                  <w:r>
                    <w:rPr>
                      <w:rFonts w:hint="default" w:ascii="Times New Roman" w:hAnsi="Times New Roman" w:cs="Times New Roman"/>
                      <w:color w:val="auto"/>
                      <w:sz w:val="21"/>
                      <w:szCs w:val="21"/>
                      <w:highlight w:val="none"/>
                      <w:lang w:val="en-US" w:eastAsia="zh-CN"/>
                    </w:rPr>
                    <w:t>集气管道</w:t>
                  </w:r>
                  <w:r>
                    <w:rPr>
                      <w:rFonts w:hint="default" w:ascii="Times New Roman" w:hAnsi="Times New Roman" w:cs="Times New Roman"/>
                      <w:color w:val="auto"/>
                      <w:sz w:val="21"/>
                      <w:szCs w:val="21"/>
                      <w:highlight w:val="none"/>
                      <w:lang w:val="zh-CN" w:eastAsia="zh-CN"/>
                    </w:rPr>
                    <w:t>收集后，</w:t>
                  </w:r>
                  <w:r>
                    <w:rPr>
                      <w:rFonts w:hint="eastAsia" w:ascii="Times New Roman" w:hAnsi="Times New Roman" w:cs="Times New Roman"/>
                      <w:color w:val="auto"/>
                      <w:sz w:val="21"/>
                      <w:szCs w:val="21"/>
                      <w:highlight w:val="none"/>
                      <w:lang w:val="zh-CN" w:eastAsia="zh-CN"/>
                    </w:rPr>
                    <w:t>通过</w:t>
                  </w:r>
                  <w:r>
                    <w:rPr>
                      <w:rFonts w:hint="default" w:ascii="Times New Roman" w:hAnsi="Times New Roman" w:cs="Times New Roman"/>
                      <w:color w:val="auto"/>
                      <w:sz w:val="21"/>
                      <w:szCs w:val="21"/>
                      <w:highlight w:val="none"/>
                      <w:lang w:val="zh-CN" w:eastAsia="zh-CN"/>
                    </w:rPr>
                    <w:t>一套碱液喷淋洗涤塔废气治理设施处理，</w:t>
                  </w:r>
                  <w:r>
                    <w:rPr>
                      <w:rFonts w:hint="eastAsia" w:cs="Times New Roman"/>
                      <w:color w:val="auto"/>
                      <w:sz w:val="21"/>
                      <w:szCs w:val="21"/>
                      <w:highlight w:val="none"/>
                      <w:lang w:val="zh-CN" w:eastAsia="zh-CN"/>
                    </w:rPr>
                    <w:t>后</w:t>
                  </w:r>
                  <w:r>
                    <w:rPr>
                      <w:rFonts w:hint="default" w:ascii="Times New Roman" w:hAnsi="Times New Roman" w:cs="Times New Roman"/>
                      <w:color w:val="auto"/>
                      <w:sz w:val="21"/>
                      <w:szCs w:val="21"/>
                      <w:highlight w:val="none"/>
                      <w:lang w:val="zh-CN" w:eastAsia="zh-CN"/>
                    </w:rPr>
                    <w:t>经15m高排气筒（</w:t>
                  </w: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z w:val="21"/>
                      <w:szCs w:val="21"/>
                      <w:highlight w:val="none"/>
                      <w:lang w:val="zh-CN" w:eastAsia="zh-CN"/>
                    </w:rPr>
                    <w:t>）排放</w:t>
                  </w:r>
                  <w:r>
                    <w:rPr>
                      <w:rFonts w:hint="default" w:ascii="Times New Roman" w:hAnsi="Times New Roman" w:cs="Times New Roman"/>
                      <w:color w:val="auto"/>
                      <w:sz w:val="21"/>
                      <w:szCs w:val="21"/>
                      <w:highlight w:val="none"/>
                      <w:lang w:eastAsia="zh-CN"/>
                    </w:rPr>
                    <w:t>。</w:t>
                  </w:r>
                  <w:r>
                    <w:rPr>
                      <w:rFonts w:hint="eastAsia" w:cs="Times New Roman"/>
                      <w:b w:val="0"/>
                      <w:bCs w:val="0"/>
                      <w:color w:val="auto"/>
                      <w:sz w:val="21"/>
                      <w:szCs w:val="21"/>
                      <w:highlight w:val="none"/>
                      <w:lang w:val="en-US" w:eastAsia="zh-CN"/>
                    </w:rPr>
                    <w:t>项目采取的环保措施</w:t>
                  </w:r>
                  <w:r>
                    <w:rPr>
                      <w:rFonts w:hint="default" w:ascii="Times New Roman" w:hAnsi="Times New Roman" w:eastAsia="宋体" w:cs="Times New Roman"/>
                      <w:b w:val="0"/>
                      <w:bCs w:val="0"/>
                      <w:color w:val="auto"/>
                      <w:sz w:val="21"/>
                      <w:szCs w:val="21"/>
                      <w:highlight w:val="none"/>
                      <w:lang w:val="en-US" w:eastAsia="zh-CN"/>
                    </w:rPr>
                    <w:t>可</w:t>
                  </w:r>
                  <w:r>
                    <w:rPr>
                      <w:rFonts w:hint="default" w:ascii="Times New Roman" w:hAnsi="Times New Roman" w:eastAsia="宋体" w:cs="Times New Roman"/>
                      <w:color w:val="auto"/>
                      <w:sz w:val="21"/>
                      <w:szCs w:val="21"/>
                      <w:highlight w:val="none"/>
                    </w:rPr>
                    <w:t>有效减少主要污染物</w:t>
                  </w:r>
                  <w:r>
                    <w:rPr>
                      <w:rFonts w:hint="eastAsia" w:cs="Times New Roman"/>
                      <w:color w:val="auto"/>
                      <w:sz w:val="21"/>
                      <w:szCs w:val="21"/>
                      <w:highlight w:val="none"/>
                      <w:lang w:eastAsia="zh-CN"/>
                    </w:rPr>
                    <w:t>颗粒物、氟化物、</w:t>
                  </w:r>
                  <w:r>
                    <w:rPr>
                      <w:rFonts w:hint="eastAsia" w:cs="Times New Roman"/>
                      <w:b w:val="0"/>
                      <w:bCs w:val="0"/>
                      <w:color w:val="auto"/>
                      <w:sz w:val="21"/>
                      <w:szCs w:val="21"/>
                      <w:highlight w:val="none"/>
                      <w:lang w:val="en-US" w:eastAsia="zh-CN"/>
                    </w:rPr>
                    <w:t>硫酸雾和氯化氢</w:t>
                  </w:r>
                  <w:r>
                    <w:rPr>
                      <w:rFonts w:hint="default" w:ascii="Times New Roman" w:hAnsi="Times New Roman" w:eastAsia="宋体" w:cs="Times New Roman"/>
                      <w:color w:val="auto"/>
                      <w:sz w:val="21"/>
                      <w:szCs w:val="21"/>
                      <w:highlight w:val="none"/>
                    </w:rPr>
                    <w:t>等特</w:t>
                  </w:r>
                  <w:r>
                    <w:rPr>
                      <w:rFonts w:hint="default" w:ascii="Times New Roman" w:hAnsi="Times New Roman" w:eastAsia="宋体" w:cs="Times New Roman"/>
                      <w:color w:val="auto"/>
                      <w:sz w:val="21"/>
                      <w:szCs w:val="21"/>
                      <w:highlight w:val="none"/>
                      <w:lang w:val="en-US" w:eastAsia="zh-CN"/>
                    </w:rPr>
                    <w:t>征污染物的排放总量，符合国家和云南省有关大气、水、土壤污染防治行动计划相关要求。</w:t>
                  </w:r>
                </w:p>
              </w:tc>
              <w:tc>
                <w:tcPr>
                  <w:tcW w:w="446" w:type="pct"/>
                  <w:noWrap w:val="0"/>
                  <w:vAlign w:val="center"/>
                </w:tcPr>
                <w:p w14:paraId="5AA80587">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相符</w:t>
                  </w:r>
                </w:p>
              </w:tc>
            </w:tr>
            <w:tr w14:paraId="1E74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58" w:type="pct"/>
                  <w:noWrap w:val="0"/>
                  <w:vAlign w:val="center"/>
                </w:tcPr>
                <w:p w14:paraId="2434D3CD">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rPr>
                    <w:t>建立健全区域环境风险防范和生态安全保障体系。加强区内重要环境风险源管控，统筹区内污染防治、生态恢复与建设、环境风险防范、环境管理等工作。强化园区危险化学品储运的环境风险管理和金所片区煤、磷、盐化工企业环境风险管控，建立相应的应急联动机制，确保环境安全。</w:t>
                  </w:r>
                </w:p>
              </w:tc>
              <w:tc>
                <w:tcPr>
                  <w:tcW w:w="1694" w:type="pct"/>
                  <w:noWrap w:val="0"/>
                  <w:vAlign w:val="center"/>
                </w:tcPr>
                <w:p w14:paraId="574271C5">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本项目</w:t>
                  </w:r>
                  <w:r>
                    <w:rPr>
                      <w:rFonts w:hint="eastAsia" w:cs="Times New Roman"/>
                      <w:b w:val="0"/>
                      <w:bCs w:val="0"/>
                      <w:color w:val="auto"/>
                      <w:sz w:val="21"/>
                      <w:szCs w:val="21"/>
                      <w:highlight w:val="none"/>
                      <w:lang w:eastAsia="zh-CN"/>
                    </w:rPr>
                    <w:t>强化了</w:t>
                  </w:r>
                  <w:r>
                    <w:rPr>
                      <w:rFonts w:hint="default" w:ascii="Times New Roman" w:hAnsi="Times New Roman" w:eastAsia="宋体" w:cs="Times New Roman"/>
                      <w:color w:val="auto"/>
                      <w:sz w:val="21"/>
                      <w:szCs w:val="21"/>
                      <w:highlight w:val="none"/>
                    </w:rPr>
                    <w:t>危险化学品储运</w:t>
                  </w:r>
                  <w:r>
                    <w:rPr>
                      <w:rFonts w:hint="eastAsia" w:cs="Times New Roman"/>
                      <w:color w:val="auto"/>
                      <w:sz w:val="21"/>
                      <w:szCs w:val="21"/>
                      <w:highlight w:val="none"/>
                      <w:lang w:eastAsia="zh-CN"/>
                    </w:rPr>
                    <w:t>的环境风险管理</w:t>
                  </w:r>
                  <w:r>
                    <w:rPr>
                      <w:rFonts w:hint="default" w:ascii="Times New Roman" w:hAnsi="Times New Roman" w:eastAsia="宋体" w:cs="Times New Roman"/>
                      <w:color w:val="auto"/>
                      <w:sz w:val="21"/>
                      <w:szCs w:val="21"/>
                      <w:highlight w:val="none"/>
                      <w:lang w:eastAsia="zh-CN"/>
                    </w:rPr>
                    <w:t>，环境风险一般，在采取相应的措施后，环境风险能</w:t>
                  </w:r>
                  <w:r>
                    <w:rPr>
                      <w:rFonts w:hint="eastAsia" w:cs="Times New Roman"/>
                      <w:color w:val="auto"/>
                      <w:sz w:val="21"/>
                      <w:szCs w:val="21"/>
                      <w:highlight w:val="none"/>
                      <w:lang w:eastAsia="zh-CN"/>
                    </w:rPr>
                    <w:t>达到</w:t>
                  </w:r>
                  <w:r>
                    <w:rPr>
                      <w:rFonts w:hint="default" w:ascii="Times New Roman" w:hAnsi="Times New Roman" w:eastAsia="宋体" w:cs="Times New Roman"/>
                      <w:color w:val="auto"/>
                      <w:sz w:val="21"/>
                      <w:szCs w:val="21"/>
                      <w:highlight w:val="none"/>
                      <w:lang w:eastAsia="zh-CN"/>
                    </w:rPr>
                    <w:t>可接受水平。</w:t>
                  </w:r>
                </w:p>
              </w:tc>
              <w:tc>
                <w:tcPr>
                  <w:tcW w:w="446" w:type="pct"/>
                  <w:noWrap w:val="0"/>
                  <w:vAlign w:val="center"/>
                </w:tcPr>
                <w:p w14:paraId="4466D8A3">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相符</w:t>
                  </w:r>
                </w:p>
              </w:tc>
            </w:tr>
            <w:tr w14:paraId="2950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858" w:type="pct"/>
                  <w:noWrap w:val="0"/>
                  <w:vAlign w:val="center"/>
                </w:tcPr>
                <w:p w14:paraId="0C99030A">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rPr>
                    <w:t>拟入园建设项目，应结合规划环评提出的指导意见做好环境影响评价工作，落实规划环评提出的要求，加强与规划环评的联动，重点开展工程分析、污染物允许排放量测算和环保措施的可行性论证等内容，强化环境监测和环境保护相关措施的落实。规划环评中环境协调性分析、环境现状、污染源调查等资料可供建设项目环评引用，建设项目相应环境影响评价内容可结合实际情况予以简化。</w:t>
                  </w:r>
                </w:p>
              </w:tc>
              <w:tc>
                <w:tcPr>
                  <w:tcW w:w="1694" w:type="pct"/>
                  <w:noWrap w:val="0"/>
                  <w:vAlign w:val="center"/>
                </w:tcPr>
                <w:p w14:paraId="29790369">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本次评价</w:t>
                  </w:r>
                  <w:r>
                    <w:rPr>
                      <w:rFonts w:hint="default" w:ascii="Times New Roman" w:hAnsi="Times New Roman" w:eastAsia="宋体" w:cs="Times New Roman"/>
                      <w:color w:val="auto"/>
                      <w:sz w:val="21"/>
                      <w:szCs w:val="21"/>
                      <w:highlight w:val="none"/>
                    </w:rPr>
                    <w:t>结合</w:t>
                  </w:r>
                  <w:r>
                    <w:rPr>
                      <w:rFonts w:hint="default" w:ascii="Times New Roman" w:hAnsi="Times New Roman" w:eastAsia="宋体" w:cs="Times New Roman"/>
                      <w:color w:val="auto"/>
                      <w:sz w:val="21"/>
                      <w:szCs w:val="21"/>
                      <w:highlight w:val="none"/>
                      <w:lang w:eastAsia="zh-CN"/>
                    </w:rPr>
                    <w:t>了</w:t>
                  </w:r>
                  <w:r>
                    <w:rPr>
                      <w:rFonts w:hint="default" w:ascii="Times New Roman" w:hAnsi="Times New Roman" w:eastAsia="宋体" w:cs="Times New Roman"/>
                      <w:color w:val="auto"/>
                      <w:sz w:val="21"/>
                      <w:szCs w:val="21"/>
                      <w:highlight w:val="none"/>
                    </w:rPr>
                    <w:t>规划环评提出的指导意见，落实</w:t>
                  </w:r>
                  <w:r>
                    <w:rPr>
                      <w:rFonts w:hint="default" w:ascii="Times New Roman" w:hAnsi="Times New Roman" w:eastAsia="宋体" w:cs="Times New Roman"/>
                      <w:color w:val="auto"/>
                      <w:sz w:val="21"/>
                      <w:szCs w:val="21"/>
                      <w:highlight w:val="none"/>
                      <w:lang w:eastAsia="zh-CN"/>
                    </w:rPr>
                    <w:t>了</w:t>
                  </w:r>
                  <w:r>
                    <w:rPr>
                      <w:rFonts w:hint="default" w:ascii="Times New Roman" w:hAnsi="Times New Roman" w:eastAsia="宋体" w:cs="Times New Roman"/>
                      <w:color w:val="auto"/>
                      <w:sz w:val="21"/>
                      <w:szCs w:val="21"/>
                      <w:highlight w:val="none"/>
                    </w:rPr>
                    <w:t>规划环评提出的要求，加强与规划环评的联动，重点开展</w:t>
                  </w:r>
                  <w:r>
                    <w:rPr>
                      <w:rFonts w:hint="default" w:ascii="Times New Roman" w:hAnsi="Times New Roman" w:eastAsia="宋体" w:cs="Times New Roman"/>
                      <w:color w:val="auto"/>
                      <w:sz w:val="21"/>
                      <w:szCs w:val="21"/>
                      <w:highlight w:val="none"/>
                      <w:lang w:eastAsia="zh-CN"/>
                    </w:rPr>
                    <w:t>了</w:t>
                  </w:r>
                  <w:r>
                    <w:rPr>
                      <w:rFonts w:hint="default" w:ascii="Times New Roman" w:hAnsi="Times New Roman" w:eastAsia="宋体" w:cs="Times New Roman"/>
                      <w:color w:val="auto"/>
                      <w:sz w:val="21"/>
                      <w:szCs w:val="21"/>
                      <w:highlight w:val="none"/>
                    </w:rPr>
                    <w:t>工程分析、污染物允许排放量测算和环保措施的可行性论证等内容，强化环境监测和环境保护相关措施的落实。</w:t>
                  </w:r>
                </w:p>
              </w:tc>
              <w:tc>
                <w:tcPr>
                  <w:tcW w:w="446" w:type="pct"/>
                  <w:noWrap w:val="0"/>
                  <w:vAlign w:val="center"/>
                </w:tcPr>
                <w:p w14:paraId="669F488E">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相符</w:t>
                  </w:r>
                </w:p>
              </w:tc>
            </w:tr>
          </w:tbl>
          <w:p w14:paraId="4D7D2260">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由上表可知，项目与规划环评的审查意见相符。</w:t>
            </w:r>
          </w:p>
          <w:p w14:paraId="124BD5E6">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综上所述</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项目建设与《寻甸特色产业园区总体规划</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修编</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2018-2035年</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环境影响报告书》规划环评及审查意见相符。</w:t>
            </w:r>
          </w:p>
          <w:p w14:paraId="5B0EEC53">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3</w:t>
            </w:r>
            <w:r>
              <w:rPr>
                <w:rFonts w:hint="eastAsia"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zh-CN" w:eastAsia="zh-CN"/>
              </w:rPr>
              <w:t>与《寻甸特色产业园区总体规划</w:t>
            </w:r>
            <w:r>
              <w:rPr>
                <w:rFonts w:hint="eastAsia"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zh-CN" w:eastAsia="zh-CN"/>
              </w:rPr>
              <w:t>修编</w:t>
            </w:r>
            <w:r>
              <w:rPr>
                <w:rFonts w:hint="eastAsia"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zh-CN" w:eastAsia="zh-CN"/>
              </w:rPr>
              <w:t>2018-2035年</w:t>
            </w:r>
            <w:r>
              <w:rPr>
                <w:rFonts w:hint="eastAsia"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zh-CN" w:eastAsia="zh-CN"/>
              </w:rPr>
              <w:t>环境</w:t>
            </w:r>
            <w:r>
              <w:rPr>
                <w:rFonts w:hint="eastAsia" w:cs="Times New Roman"/>
                <w:b/>
                <w:bCs/>
                <w:color w:val="auto"/>
                <w:sz w:val="24"/>
                <w:highlight w:val="none"/>
                <w:lang w:val="zh-CN" w:eastAsia="zh-CN"/>
              </w:rPr>
              <w:t>影</w:t>
            </w:r>
            <w:r>
              <w:rPr>
                <w:rFonts w:hint="default" w:ascii="Times New Roman" w:hAnsi="Times New Roman" w:eastAsia="宋体" w:cs="Times New Roman"/>
                <w:b/>
                <w:bCs/>
                <w:color w:val="auto"/>
                <w:sz w:val="24"/>
                <w:highlight w:val="none"/>
                <w:lang w:val="zh-CN" w:eastAsia="zh-CN"/>
              </w:rPr>
              <w:t>响报告书》中环境准入条件符合性分析</w:t>
            </w:r>
          </w:p>
          <w:p w14:paraId="60A5F214">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ascii="宋体" w:hAnsi="宋体" w:eastAsia="宋体" w:cs="宋体"/>
                <w:color w:val="auto"/>
                <w:spacing w:val="4"/>
                <w:sz w:val="20"/>
                <w:szCs w:val="20"/>
                <w:highlight w:val="none"/>
                <w14:textOutline w14:w="3795" w14:cap="sq" w14:cmpd="sng">
                  <w14:solidFill>
                    <w14:srgbClr w14:val="000000"/>
                  </w14:solidFill>
                  <w14:prstDash w14:val="solid"/>
                  <w14:bevel/>
                </w14:textOutline>
              </w:rPr>
            </w:pPr>
            <w:r>
              <w:rPr>
                <w:rFonts w:hint="default" w:ascii="Times New Roman" w:hAnsi="Times New Roman" w:eastAsia="宋体" w:cs="Times New Roman"/>
                <w:color w:val="auto"/>
                <w:sz w:val="24"/>
                <w:highlight w:val="none"/>
                <w:lang w:val="zh-CN" w:eastAsia="zh-CN"/>
              </w:rPr>
              <w:t>根据《寻甸特色产业园区总体规划</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修编</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2018-2035年</w:t>
            </w:r>
            <w:r>
              <w:rPr>
                <w:rFonts w:hint="eastAsia"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环境影响报告书》，园区准入负面清单及对照情况如下：</w:t>
            </w:r>
          </w:p>
          <w:p w14:paraId="43A6D6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准入负面清单对照情况表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668"/>
              <w:gridCol w:w="3092"/>
              <w:gridCol w:w="2559"/>
              <w:gridCol w:w="662"/>
            </w:tblGrid>
            <w:tr w14:paraId="1472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849" w:type="pct"/>
                  <w:gridSpan w:val="3"/>
                  <w:noWrap w:val="0"/>
                  <w:vAlign w:val="center"/>
                </w:tcPr>
                <w:p w14:paraId="77063200">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1708" w:type="pct"/>
                  <w:noWrap w:val="0"/>
                  <w:vAlign w:val="center"/>
                </w:tcPr>
                <w:p w14:paraId="799FDECF">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41" w:type="pct"/>
                  <w:noWrap w:val="0"/>
                  <w:vAlign w:val="center"/>
                </w:tcPr>
                <w:p w14:paraId="262CCCB4">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31DB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9" w:type="pct"/>
                  <w:vMerge w:val="restart"/>
                  <w:noWrap w:val="0"/>
                  <w:vAlign w:val="center"/>
                </w:tcPr>
                <w:p w14:paraId="68646167">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总体要求</w:t>
                  </w:r>
                </w:p>
              </w:tc>
              <w:tc>
                <w:tcPr>
                  <w:tcW w:w="445" w:type="pct"/>
                  <w:noWrap w:val="0"/>
                  <w:vAlign w:val="center"/>
                </w:tcPr>
                <w:p w14:paraId="0640FBB3">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禁入行业</w:t>
                  </w:r>
                </w:p>
              </w:tc>
              <w:tc>
                <w:tcPr>
                  <w:tcW w:w="2064" w:type="pct"/>
                  <w:noWrap w:val="0"/>
                  <w:vAlign w:val="center"/>
                </w:tcPr>
                <w:p w14:paraId="3946295A">
                  <w:pPr>
                    <w:keepNext w:val="0"/>
                    <w:keepLines w:val="0"/>
                    <w:numPr>
                      <w:ilvl w:val="0"/>
                      <w:numId w:val="0"/>
                    </w:numPr>
                    <w:suppressLineNumbers w:val="0"/>
                    <w:adjustRightInd w:val="0"/>
                    <w:snapToGrid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eastAsia="zh-CN"/>
                    </w:rPr>
                    <w:t>）《产业结构调整指导目录(2011年本)》(2013年修正) (或更新)中禁止、限制类的行业。</w:t>
                  </w:r>
                </w:p>
                <w:p w14:paraId="2C97C466">
                  <w:pPr>
                    <w:keepNext w:val="0"/>
                    <w:keepLines w:val="0"/>
                    <w:numPr>
                      <w:ilvl w:val="0"/>
                      <w:numId w:val="0"/>
                    </w:numPr>
                    <w:suppressLineNumbers w:val="0"/>
                    <w:adjustRightInd w:val="0"/>
                    <w:snapToGrid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eastAsia="zh-CN"/>
                    </w:rPr>
                    <w:t>）《外商投资产业指导目录 (2017 年修订)》中禁止类。</w:t>
                  </w:r>
                </w:p>
                <w:p w14:paraId="605E7C79">
                  <w:pPr>
                    <w:keepNext w:val="0"/>
                    <w:keepLines w:val="0"/>
                    <w:numPr>
                      <w:ilvl w:val="0"/>
                      <w:numId w:val="0"/>
                    </w:numPr>
                    <w:suppressLineNumbers w:val="0"/>
                    <w:adjustRightInd w:val="0"/>
                    <w:snapToGrid w:val="0"/>
                    <w:spacing w:before="0" w:beforeAutospacing="0" w:after="0" w:afterAutospacing="0" w:line="240" w:lineRule="auto"/>
                    <w:ind w:left="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）生产《环境保护综合名录(2017年版)》中“高污染、环境风险”产品。</w:t>
                  </w:r>
                </w:p>
                <w:p w14:paraId="76A28A95">
                  <w:pPr>
                    <w:keepNext w:val="0"/>
                    <w:keepLines w:val="0"/>
                    <w:numPr>
                      <w:ilvl w:val="0"/>
                      <w:numId w:val="0"/>
                    </w:numPr>
                    <w:suppressLineNumbers w:val="0"/>
                    <w:adjustRightInd w:val="0"/>
                    <w:snapToGrid w:val="0"/>
                    <w:spacing w:before="0" w:beforeAutospacing="0" w:after="0" w:afterAutospacing="0" w:line="240" w:lineRule="auto"/>
                    <w:ind w:left="0" w:leftChars="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eastAsia="zh-CN"/>
                    </w:rPr>
                    <w:t>）禁止引入其他不在园区产业定位、不符合园区环保要求项目，如化工、造纸制浆、印染、染料、制革、电镀、医药、食品、水泥、炼焦、炼硫、炼砷、炼油、电镀、农药、氮肥、有色金属等项目。</w:t>
                  </w:r>
                </w:p>
                <w:p w14:paraId="0B61BD60">
                  <w:pPr>
                    <w:keepNext w:val="0"/>
                    <w:keepLines w:val="0"/>
                    <w:numPr>
                      <w:ilvl w:val="0"/>
                      <w:numId w:val="0"/>
                    </w:numPr>
                    <w:suppressLineNumbers w:val="0"/>
                    <w:adjustRightInd w:val="0"/>
                    <w:snapToGrid w:val="0"/>
                    <w:spacing w:before="0" w:beforeAutospacing="0" w:after="0" w:afterAutospacing="0" w:line="240" w:lineRule="auto"/>
                    <w:ind w:left="0" w:leftChars="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eastAsia="zh-CN"/>
                    </w:rPr>
                    <w:t>）禁止引入造纸、印染、食品饮料、农副产品加工等需水量大，生产废水不能实现循环回用不外排的企业。</w:t>
                  </w:r>
                </w:p>
                <w:p w14:paraId="7651AEFB">
                  <w:pPr>
                    <w:keepNext w:val="0"/>
                    <w:keepLines w:val="0"/>
                    <w:numPr>
                      <w:ilvl w:val="0"/>
                      <w:numId w:val="0"/>
                    </w:numPr>
                    <w:suppressLineNumbers w:val="0"/>
                    <w:adjustRightInd w:val="0"/>
                    <w:snapToGrid w:val="0"/>
                    <w:spacing w:before="0" w:beforeAutospacing="0" w:after="0" w:afterAutospacing="0" w:line="240" w:lineRule="auto"/>
                    <w:ind w:left="0" w:leftChars="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lang w:eastAsia="zh-CN"/>
                    </w:rPr>
                    <w:t>）污水成分复杂或废水、废液按现有技术无法</w:t>
                  </w:r>
                  <w:r>
                    <w:rPr>
                      <w:rFonts w:hint="eastAsia" w:cs="Times New Roman"/>
                      <w:b w:val="0"/>
                      <w:bCs w:val="0"/>
                      <w:color w:val="auto"/>
                      <w:sz w:val="21"/>
                      <w:szCs w:val="21"/>
                      <w:highlight w:val="none"/>
                      <w:lang w:val="en-US" w:eastAsia="zh-CN"/>
                    </w:rPr>
                    <w:t>妥</w:t>
                  </w:r>
                  <w:r>
                    <w:rPr>
                      <w:rFonts w:hint="default" w:ascii="Times New Roman" w:hAnsi="Times New Roman" w:eastAsia="宋体" w:cs="Times New Roman"/>
                      <w:b w:val="0"/>
                      <w:bCs w:val="0"/>
                      <w:color w:val="auto"/>
                      <w:sz w:val="21"/>
                      <w:szCs w:val="21"/>
                      <w:highlight w:val="none"/>
                      <w:lang w:eastAsia="zh-CN"/>
                    </w:rPr>
                    <w:t>善处置的产业。</w:t>
                  </w:r>
                </w:p>
                <w:p w14:paraId="1883F839">
                  <w:pPr>
                    <w:keepNext w:val="0"/>
                    <w:keepLines w:val="0"/>
                    <w:numPr>
                      <w:ilvl w:val="0"/>
                      <w:numId w:val="0"/>
                    </w:numPr>
                    <w:suppressLineNumbers w:val="0"/>
                    <w:adjustRightInd w:val="0"/>
                    <w:snapToGrid w:val="0"/>
                    <w:spacing w:before="0" w:beforeAutospacing="0" w:after="0" w:afterAutospacing="0" w:line="240" w:lineRule="auto"/>
                    <w:ind w:left="0" w:leftChars="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(7)物耗、能耗相对较高，产生的大气污染类型复杂、环境风险较大的产业、项目或工艺；且产生的大气污染物无法自身治理或妥善处置或处理成本较高的产生。</w:t>
                  </w:r>
                </w:p>
                <w:p w14:paraId="68914A3B">
                  <w:pPr>
                    <w:keepNext w:val="0"/>
                    <w:keepLines w:val="0"/>
                    <w:numPr>
                      <w:ilvl w:val="0"/>
                      <w:numId w:val="0"/>
                    </w:numPr>
                    <w:suppressLineNumbers w:val="0"/>
                    <w:adjustRightInd w:val="0"/>
                    <w:snapToGrid w:val="0"/>
                    <w:spacing w:before="0" w:beforeAutospacing="0" w:after="0" w:afterAutospacing="0" w:line="240" w:lineRule="auto"/>
                    <w:ind w:left="0" w:leftChars="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(8)不能严格按“三同时”要求建厂的企业，无法满足卫生防护距离、大气环境防护距离的企业。</w:t>
                  </w:r>
                </w:p>
                <w:p w14:paraId="3EAAB534">
                  <w:pPr>
                    <w:keepNext w:val="0"/>
                    <w:keepLines w:val="0"/>
                    <w:numPr>
                      <w:ilvl w:val="0"/>
                      <w:numId w:val="0"/>
                    </w:numPr>
                    <w:suppressLineNumbers w:val="0"/>
                    <w:adjustRightInd w:val="0"/>
                    <w:snapToGrid w:val="0"/>
                    <w:spacing w:before="0" w:beforeAutospacing="0" w:after="0" w:afterAutospacing="0" w:line="240" w:lineRule="auto"/>
                    <w:ind w:left="0" w:leftChars="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(9)与《云南省牛栏江保护条例》存在冲突的项目。</w:t>
                  </w:r>
                </w:p>
                <w:p w14:paraId="2A1EE0F1">
                  <w:pPr>
                    <w:keepNext w:val="0"/>
                    <w:keepLines w:val="0"/>
                    <w:numPr>
                      <w:ilvl w:val="0"/>
                      <w:numId w:val="0"/>
                    </w:numPr>
                    <w:suppressLineNumbers w:val="0"/>
                    <w:adjustRightInd w:val="0"/>
                    <w:snapToGrid w:val="0"/>
                    <w:spacing w:before="0" w:beforeAutospacing="0" w:after="0" w:afterAutospacing="0" w:line="240" w:lineRule="auto"/>
                    <w:ind w:left="0" w:leftChars="0" w:right="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tc>
              <w:tc>
                <w:tcPr>
                  <w:tcW w:w="1708" w:type="pct"/>
                  <w:noWrap w:val="0"/>
                  <w:vAlign w:val="center"/>
                </w:tcPr>
                <w:p w14:paraId="3C559432">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1</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本项目属于</w:t>
                  </w:r>
                  <w:r>
                    <w:rPr>
                      <w:rFonts w:hint="eastAsia"/>
                      <w:color w:val="auto"/>
                      <w:sz w:val="21"/>
                      <w:szCs w:val="21"/>
                      <w:highlight w:val="none"/>
                      <w:lang w:eastAsia="zh-CN"/>
                    </w:rPr>
                    <w:t>玻璃生产加工</w:t>
                  </w:r>
                  <w:r>
                    <w:rPr>
                      <w:rFonts w:hint="default" w:ascii="Times New Roman" w:hAnsi="Times New Roman" w:eastAsia="宋体" w:cs="Times New Roman"/>
                      <w:b w:val="0"/>
                      <w:bCs w:val="0"/>
                      <w:color w:val="auto"/>
                      <w:sz w:val="21"/>
                      <w:szCs w:val="21"/>
                      <w:highlight w:val="none"/>
                      <w:lang w:eastAsia="zh-CN"/>
                    </w:rPr>
                    <w:t>项目，根据《产业结构调整指导目录（2019年本）（</w:t>
                  </w:r>
                  <w:r>
                    <w:rPr>
                      <w:rFonts w:hint="default" w:ascii="Times New Roman" w:hAnsi="Times New Roman" w:eastAsia="宋体" w:cs="Times New Roman"/>
                      <w:b w:val="0"/>
                      <w:bCs w:val="0"/>
                      <w:color w:val="auto"/>
                      <w:sz w:val="21"/>
                      <w:szCs w:val="21"/>
                      <w:highlight w:val="none"/>
                      <w:lang w:val="en-US" w:eastAsia="zh-CN"/>
                    </w:rPr>
                    <w:t>2021修订版</w:t>
                  </w:r>
                  <w:r>
                    <w:rPr>
                      <w:rFonts w:hint="default" w:ascii="Times New Roman" w:hAnsi="Times New Roman" w:eastAsia="宋体" w:cs="Times New Roman"/>
                      <w:b w:val="0"/>
                      <w:bCs w:val="0"/>
                      <w:color w:val="auto"/>
                      <w:sz w:val="21"/>
                      <w:szCs w:val="21"/>
                      <w:highlight w:val="none"/>
                      <w:lang w:eastAsia="zh-CN"/>
                    </w:rPr>
                    <w:t>）》</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项目不属于鼓励类、限制类和淘汰类</w:t>
                  </w:r>
                  <w:r>
                    <w:rPr>
                      <w:rFonts w:hint="eastAsia" w:cs="Times New Roman"/>
                      <w:b w:val="0"/>
                      <w:bCs w:val="0"/>
                      <w:color w:val="auto"/>
                      <w:sz w:val="21"/>
                      <w:szCs w:val="21"/>
                      <w:highlight w:val="none"/>
                      <w:lang w:eastAsia="zh-CN"/>
                    </w:rPr>
                    <w:t>，为允许类</w:t>
                  </w:r>
                  <w:r>
                    <w:rPr>
                      <w:rFonts w:hint="default" w:ascii="Times New Roman" w:hAnsi="Times New Roman" w:eastAsia="宋体" w:cs="Times New Roman"/>
                      <w:b w:val="0"/>
                      <w:bCs w:val="0"/>
                      <w:color w:val="auto"/>
                      <w:sz w:val="21"/>
                      <w:szCs w:val="21"/>
                      <w:highlight w:val="none"/>
                      <w:lang w:eastAsia="zh-CN"/>
                    </w:rPr>
                    <w:t>；</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2</w:t>
                  </w:r>
                  <w:r>
                    <w:rPr>
                      <w:rFonts w:hint="eastAsia" w:cs="Times New Roman"/>
                      <w:b w:val="0"/>
                      <w:bCs w:val="0"/>
                      <w:color w:val="auto"/>
                      <w:sz w:val="21"/>
                      <w:szCs w:val="21"/>
                      <w:highlight w:val="none"/>
                      <w:lang w:eastAsia="zh-CN"/>
                    </w:rPr>
                    <w:t>）经对照，本项目</w:t>
                  </w:r>
                  <w:r>
                    <w:rPr>
                      <w:rFonts w:hint="default" w:ascii="Times New Roman" w:hAnsi="Times New Roman" w:eastAsia="宋体" w:cs="Times New Roman"/>
                      <w:b w:val="0"/>
                      <w:bCs w:val="0"/>
                      <w:color w:val="auto"/>
                      <w:sz w:val="21"/>
                      <w:szCs w:val="21"/>
                      <w:highlight w:val="none"/>
                      <w:lang w:eastAsia="zh-CN"/>
                    </w:rPr>
                    <w:t>属于《</w:t>
                  </w:r>
                  <w:r>
                    <w:rPr>
                      <w:rFonts w:hint="eastAsia" w:cs="Times New Roman"/>
                      <w:b w:val="0"/>
                      <w:bCs w:val="0"/>
                      <w:color w:val="auto"/>
                      <w:sz w:val="21"/>
                      <w:szCs w:val="21"/>
                      <w:highlight w:val="none"/>
                      <w:lang w:eastAsia="zh-CN"/>
                    </w:rPr>
                    <w:t>鼓励</w:t>
                  </w:r>
                  <w:r>
                    <w:rPr>
                      <w:rFonts w:hint="default" w:ascii="Times New Roman" w:hAnsi="Times New Roman" w:eastAsia="宋体" w:cs="Times New Roman"/>
                      <w:b w:val="0"/>
                      <w:bCs w:val="0"/>
                      <w:color w:val="auto"/>
                      <w:sz w:val="21"/>
                      <w:szCs w:val="21"/>
                      <w:highlight w:val="none"/>
                      <w:lang w:eastAsia="zh-CN"/>
                    </w:rPr>
                    <w:t>外商投资产业目录 (20</w:t>
                  </w:r>
                  <w:r>
                    <w:rPr>
                      <w:rFonts w:hint="eastAsia" w:cs="Times New Roman"/>
                      <w:b w:val="0"/>
                      <w:bCs w:val="0"/>
                      <w:color w:val="auto"/>
                      <w:sz w:val="21"/>
                      <w:szCs w:val="21"/>
                      <w:highlight w:val="none"/>
                      <w:lang w:val="en-US" w:eastAsia="zh-CN"/>
                    </w:rPr>
                    <w:t>22</w:t>
                  </w:r>
                  <w:r>
                    <w:rPr>
                      <w:rFonts w:hint="default" w:ascii="Times New Roman" w:hAnsi="Times New Roman" w:eastAsia="宋体" w:cs="Times New Roman"/>
                      <w:b w:val="0"/>
                      <w:bCs w:val="0"/>
                      <w:color w:val="auto"/>
                      <w:sz w:val="21"/>
                      <w:szCs w:val="21"/>
                      <w:highlight w:val="none"/>
                      <w:lang w:eastAsia="zh-CN"/>
                    </w:rPr>
                    <w:t> 年</w:t>
                  </w:r>
                  <w:r>
                    <w:rPr>
                      <w:rFonts w:hint="eastAsia" w:cs="Times New Roman"/>
                      <w:b w:val="0"/>
                      <w:bCs w:val="0"/>
                      <w:color w:val="auto"/>
                      <w:sz w:val="21"/>
                      <w:szCs w:val="21"/>
                      <w:highlight w:val="none"/>
                      <w:lang w:eastAsia="zh-CN"/>
                    </w:rPr>
                    <w:t>版</w:t>
                  </w:r>
                  <w:r>
                    <w:rPr>
                      <w:rFonts w:hint="default" w:ascii="Times New Roman" w:hAnsi="Times New Roman" w:eastAsia="宋体" w:cs="Times New Roman"/>
                      <w:b w:val="0"/>
                      <w:bCs w:val="0"/>
                      <w:color w:val="auto"/>
                      <w:sz w:val="21"/>
                      <w:szCs w:val="21"/>
                      <w:highlight w:val="none"/>
                      <w:lang w:eastAsia="zh-CN"/>
                    </w:rPr>
                    <w:t>)》</w:t>
                  </w:r>
                  <w:r>
                    <w:rPr>
                      <w:rFonts w:hint="eastAsia" w:cs="Times New Roman"/>
                      <w:b w:val="0"/>
                      <w:bCs w:val="0"/>
                      <w:color w:val="auto"/>
                      <w:sz w:val="21"/>
                      <w:szCs w:val="21"/>
                      <w:highlight w:val="none"/>
                      <w:lang w:eastAsia="zh-CN"/>
                    </w:rPr>
                    <w:t>中全国鼓励外商投资类项目</w:t>
                  </w:r>
                  <w:r>
                    <w:rPr>
                      <w:rFonts w:hint="default" w:ascii="Times New Roman" w:hAnsi="Times New Roman" w:eastAsia="宋体" w:cs="Times New Roman"/>
                      <w:b w:val="0"/>
                      <w:bCs w:val="0"/>
                      <w:color w:val="auto"/>
                      <w:sz w:val="21"/>
                      <w:szCs w:val="21"/>
                      <w:highlight w:val="none"/>
                      <w:lang w:eastAsia="zh-CN"/>
                    </w:rPr>
                    <w:t>；</w:t>
                  </w:r>
                </w:p>
                <w:p w14:paraId="054195ED">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3</w:t>
                  </w:r>
                  <w:r>
                    <w:rPr>
                      <w:rFonts w:hint="eastAsia" w:cs="Times New Roman"/>
                      <w:b w:val="0"/>
                      <w:bCs w:val="0"/>
                      <w:color w:val="auto"/>
                      <w:sz w:val="21"/>
                      <w:szCs w:val="21"/>
                      <w:highlight w:val="none"/>
                      <w:lang w:eastAsia="zh-CN"/>
                    </w:rPr>
                    <w:t>）经对照，本项目</w:t>
                  </w:r>
                  <w:r>
                    <w:rPr>
                      <w:rFonts w:hint="default" w:ascii="Times New Roman" w:hAnsi="Times New Roman" w:eastAsia="宋体" w:cs="Times New Roman"/>
                      <w:b w:val="0"/>
                      <w:bCs w:val="0"/>
                      <w:color w:val="auto"/>
                      <w:sz w:val="21"/>
                      <w:szCs w:val="21"/>
                      <w:highlight w:val="none"/>
                      <w:lang w:eastAsia="zh-CN"/>
                    </w:rPr>
                    <w:t>不属于《环境保护综合名录(2017年版)》中“高污染、环境风险”产品；</w:t>
                  </w:r>
                </w:p>
                <w:p w14:paraId="1DC5EEFE">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4</w:t>
                  </w:r>
                  <w:r>
                    <w:rPr>
                      <w:rFonts w:hint="eastAsia" w:cs="Times New Roman"/>
                      <w:b w:val="0"/>
                      <w:bCs w:val="0"/>
                      <w:color w:val="auto"/>
                      <w:sz w:val="21"/>
                      <w:szCs w:val="21"/>
                      <w:highlight w:val="none"/>
                      <w:lang w:eastAsia="zh-CN"/>
                    </w:rPr>
                    <w:t>）本项目为</w:t>
                  </w:r>
                  <w:r>
                    <w:rPr>
                      <w:rFonts w:hint="eastAsia" w:cs="Times New Roman"/>
                      <w:b w:val="0"/>
                      <w:bCs w:val="0"/>
                      <w:color w:val="auto"/>
                      <w:sz w:val="21"/>
                      <w:szCs w:val="21"/>
                      <w:highlight w:val="none"/>
                      <w:lang w:val="zh-CN" w:eastAsia="zh-CN"/>
                    </w:rPr>
                    <w:t>玻璃生产加工项目</w:t>
                  </w:r>
                  <w:r>
                    <w:rPr>
                      <w:rFonts w:hint="eastAsia" w:cs="Times New Roman"/>
                      <w:b w:val="0"/>
                      <w:bCs w:val="0"/>
                      <w:color w:val="auto"/>
                      <w:sz w:val="21"/>
                      <w:szCs w:val="21"/>
                      <w:highlight w:val="none"/>
                      <w:lang w:val="en-US" w:eastAsia="zh-CN"/>
                    </w:rPr>
                    <w:t>，与</w:t>
                  </w:r>
                  <w:r>
                    <w:rPr>
                      <w:rFonts w:hint="eastAsia" w:cs="Times New Roman"/>
                      <w:b w:val="0"/>
                      <w:bCs w:val="0"/>
                      <w:color w:val="auto"/>
                      <w:sz w:val="21"/>
                      <w:szCs w:val="21"/>
                      <w:highlight w:val="none"/>
                      <w:lang w:val="zh-CN" w:eastAsia="zh-CN"/>
                    </w:rPr>
                    <w:t>园区产业定位不冲突，项目用地规划为工业用地。同时，该项目已于2023年</w:t>
                  </w:r>
                  <w:r>
                    <w:rPr>
                      <w:rFonts w:hint="eastAsia" w:cs="Times New Roman"/>
                      <w:b w:val="0"/>
                      <w:bCs w:val="0"/>
                      <w:color w:val="auto"/>
                      <w:sz w:val="21"/>
                      <w:szCs w:val="21"/>
                      <w:highlight w:val="none"/>
                      <w:lang w:val="en-US" w:eastAsia="zh-CN"/>
                    </w:rPr>
                    <w:t>2</w:t>
                  </w:r>
                  <w:r>
                    <w:rPr>
                      <w:rFonts w:hint="eastAsia" w:cs="Times New Roman"/>
                      <w:b w:val="0"/>
                      <w:bCs w:val="0"/>
                      <w:color w:val="auto"/>
                      <w:sz w:val="21"/>
                      <w:szCs w:val="21"/>
                      <w:highlight w:val="none"/>
                      <w:lang w:val="zh-CN" w:eastAsia="zh-CN"/>
                    </w:rPr>
                    <w:t>月</w:t>
                  </w:r>
                  <w:r>
                    <w:rPr>
                      <w:rFonts w:hint="eastAsia" w:cs="Times New Roman"/>
                      <w:b w:val="0"/>
                      <w:bCs w:val="0"/>
                      <w:color w:val="auto"/>
                      <w:sz w:val="21"/>
                      <w:szCs w:val="21"/>
                      <w:highlight w:val="none"/>
                      <w:lang w:val="en-US" w:eastAsia="zh-CN"/>
                    </w:rPr>
                    <w:t>17</w:t>
                  </w:r>
                  <w:r>
                    <w:rPr>
                      <w:rFonts w:hint="eastAsia" w:cs="Times New Roman"/>
                      <w:b w:val="0"/>
                      <w:bCs w:val="0"/>
                      <w:color w:val="auto"/>
                      <w:sz w:val="21"/>
                      <w:szCs w:val="21"/>
                      <w:highlight w:val="none"/>
                      <w:lang w:val="zh-CN" w:eastAsia="zh-CN"/>
                    </w:rPr>
                    <w:t>日取得寻甸特色产业园区管委会出具的项目入园申请同意书 ，同意书中明确“项目符合园区产业发展，同意项目入驻寻甸特色产业园区羊街片区”；</w:t>
                  </w:r>
                  <w:r>
                    <w:rPr>
                      <w:rFonts w:hint="default"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造纸制浆、印染、染料、制革、电镀、医药、食品、水泥、炼焦、炼硫、炼砷、炼油、电镀、农药、氮肥、有色金属等其他不在园区产业定位、不符合园区环保要求项目；</w:t>
                  </w:r>
                </w:p>
                <w:p w14:paraId="4ED5CE3D">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5</w:t>
                  </w:r>
                  <w:r>
                    <w:rPr>
                      <w:rFonts w:hint="eastAsia" w:cs="Times New Roman"/>
                      <w:b w:val="0"/>
                      <w:bCs w:val="0"/>
                      <w:color w:val="auto"/>
                      <w:sz w:val="21"/>
                      <w:szCs w:val="21"/>
                      <w:highlight w:val="none"/>
                      <w:lang w:eastAsia="zh-CN"/>
                    </w:rPr>
                    <w:t>）本项目</w:t>
                  </w:r>
                  <w:r>
                    <w:rPr>
                      <w:rFonts w:hint="default" w:ascii="Times New Roman" w:hAnsi="Times New Roman" w:eastAsia="宋体" w:cs="Times New Roman"/>
                      <w:b w:val="0"/>
                      <w:bCs w:val="0"/>
                      <w:color w:val="auto"/>
                      <w:sz w:val="21"/>
                      <w:szCs w:val="21"/>
                      <w:highlight w:val="none"/>
                      <w:lang w:eastAsia="zh-CN"/>
                    </w:rPr>
                    <w:t>不属于造纸、印染、食品饮料、农副产品加工等需水量大</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生产废水不能实现循环回用不外排的企业。</w:t>
                  </w:r>
                  <w:r>
                    <w:rPr>
                      <w:rFonts w:hint="eastAsia" w:cs="Times New Roman"/>
                      <w:b w:val="0"/>
                      <w:bCs w:val="0"/>
                      <w:color w:val="auto"/>
                      <w:sz w:val="21"/>
                      <w:szCs w:val="21"/>
                      <w:highlight w:val="none"/>
                      <w:lang w:eastAsia="zh-CN"/>
                    </w:rPr>
                    <w:t>项目生活污水经</w:t>
                  </w:r>
                  <w:r>
                    <w:rPr>
                      <w:rFonts w:hint="eastAsia" w:cs="Times New Roman"/>
                      <w:b w:val="0"/>
                      <w:bCs w:val="0"/>
                      <w:color w:val="auto"/>
                      <w:sz w:val="21"/>
                      <w:szCs w:val="21"/>
                      <w:highlight w:val="none"/>
                      <w:lang w:val="en-US" w:eastAsia="zh-CN"/>
                    </w:rPr>
                    <w:t>处理后回用于项目区绿化和道路广场浇洒，</w:t>
                  </w:r>
                  <w:r>
                    <w:rPr>
                      <w:rFonts w:hint="eastAsia" w:cs="Times New Roman"/>
                      <w:b w:val="0"/>
                      <w:bCs w:val="0"/>
                      <w:color w:val="auto"/>
                      <w:sz w:val="21"/>
                      <w:szCs w:val="21"/>
                      <w:highlight w:val="none"/>
                      <w:lang w:eastAsia="zh-CN"/>
                    </w:rPr>
                    <w:t>不外排，生产</w:t>
                  </w:r>
                  <w:r>
                    <w:rPr>
                      <w:rFonts w:hint="eastAsia" w:cs="Times New Roman"/>
                      <w:b w:val="0"/>
                      <w:bCs w:val="0"/>
                      <w:color w:val="auto"/>
                      <w:sz w:val="21"/>
                      <w:szCs w:val="21"/>
                      <w:highlight w:val="none"/>
                      <w:lang w:val="en-US" w:eastAsia="zh-CN"/>
                    </w:rPr>
                    <w:t>废水经处理后回用于水洗补水，不外排；</w:t>
                  </w:r>
                </w:p>
                <w:p w14:paraId="11E45A7D">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6</w:t>
                  </w:r>
                  <w:r>
                    <w:rPr>
                      <w:rFonts w:hint="eastAsia" w:cs="Times New Roman"/>
                      <w:b w:val="0"/>
                      <w:bCs w:val="0"/>
                      <w:color w:val="auto"/>
                      <w:sz w:val="21"/>
                      <w:szCs w:val="21"/>
                      <w:highlight w:val="none"/>
                      <w:lang w:eastAsia="zh-CN"/>
                    </w:rPr>
                    <w:t>）项目运营期废水主要为生活污水，</w:t>
                  </w:r>
                  <w:r>
                    <w:rPr>
                      <w:rFonts w:hint="default" w:ascii="Times New Roman" w:hAnsi="Times New Roman" w:eastAsia="宋体" w:cs="Times New Roman"/>
                      <w:b w:val="0"/>
                      <w:bCs w:val="0"/>
                      <w:color w:val="auto"/>
                      <w:sz w:val="21"/>
                      <w:szCs w:val="21"/>
                      <w:highlight w:val="none"/>
                      <w:lang w:eastAsia="zh-CN"/>
                    </w:rPr>
                    <w:t>不属于污水成分复杂或废水、废液按现有技术无法</w:t>
                  </w:r>
                  <w:r>
                    <w:rPr>
                      <w:rFonts w:hint="eastAsia" w:cs="Times New Roman"/>
                      <w:b w:val="0"/>
                      <w:bCs w:val="0"/>
                      <w:color w:val="auto"/>
                      <w:sz w:val="21"/>
                      <w:szCs w:val="21"/>
                      <w:highlight w:val="none"/>
                      <w:lang w:val="en-US" w:eastAsia="zh-CN"/>
                    </w:rPr>
                    <w:t>妥</w:t>
                  </w:r>
                  <w:r>
                    <w:rPr>
                      <w:rFonts w:hint="default" w:ascii="Times New Roman" w:hAnsi="Times New Roman" w:eastAsia="宋体" w:cs="Times New Roman"/>
                      <w:b w:val="0"/>
                      <w:bCs w:val="0"/>
                      <w:color w:val="auto"/>
                      <w:sz w:val="21"/>
                      <w:szCs w:val="21"/>
                      <w:highlight w:val="none"/>
                      <w:lang w:eastAsia="zh-CN"/>
                    </w:rPr>
                    <w:t>善处置的产业；</w:t>
                  </w:r>
                </w:p>
                <w:p w14:paraId="06B5A11C">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7</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本项目物耗、能耗相对较低，产生的大气污染类型主要为</w:t>
                  </w:r>
                  <w:r>
                    <w:rPr>
                      <w:rFonts w:hint="eastAsia" w:cs="Times New Roman"/>
                      <w:color w:val="auto"/>
                      <w:sz w:val="21"/>
                      <w:szCs w:val="21"/>
                      <w:highlight w:val="none"/>
                      <w:lang w:eastAsia="zh-CN"/>
                    </w:rPr>
                    <w:t>颗粒物、氟化物、</w:t>
                  </w:r>
                  <w:r>
                    <w:rPr>
                      <w:rFonts w:hint="eastAsia" w:cs="Times New Roman"/>
                      <w:b w:val="0"/>
                      <w:bCs w:val="0"/>
                      <w:color w:val="auto"/>
                      <w:sz w:val="21"/>
                      <w:szCs w:val="21"/>
                      <w:highlight w:val="none"/>
                      <w:lang w:val="en-US" w:eastAsia="zh-CN"/>
                    </w:rPr>
                    <w:t>硫酸雾和氯化氢</w:t>
                  </w:r>
                  <w:r>
                    <w:rPr>
                      <w:rFonts w:hint="default" w:ascii="Times New Roman" w:hAnsi="Times New Roman" w:eastAsia="宋体" w:cs="Times New Roman"/>
                      <w:b w:val="0"/>
                      <w:bCs w:val="0"/>
                      <w:color w:val="auto"/>
                      <w:sz w:val="21"/>
                      <w:szCs w:val="21"/>
                      <w:highlight w:val="none"/>
                      <w:lang w:eastAsia="zh-CN"/>
                    </w:rPr>
                    <w:t>，</w:t>
                  </w:r>
                  <w:r>
                    <w:rPr>
                      <w:rFonts w:hint="eastAsia" w:cs="Times New Roman"/>
                      <w:b w:val="0"/>
                      <w:bCs w:val="0"/>
                      <w:color w:val="auto"/>
                      <w:sz w:val="21"/>
                      <w:szCs w:val="21"/>
                      <w:highlight w:val="none"/>
                      <w:lang w:eastAsia="zh-CN"/>
                    </w:rPr>
                    <w:t>成分</w:t>
                  </w:r>
                  <w:r>
                    <w:rPr>
                      <w:rFonts w:hint="default" w:ascii="Times New Roman" w:hAnsi="Times New Roman" w:eastAsia="宋体" w:cs="Times New Roman"/>
                      <w:b w:val="0"/>
                      <w:bCs w:val="0"/>
                      <w:color w:val="auto"/>
                      <w:sz w:val="21"/>
                      <w:szCs w:val="21"/>
                      <w:highlight w:val="none"/>
                      <w:lang w:eastAsia="zh-CN"/>
                    </w:rPr>
                    <w:t>不复杂，环境风险为一般环境风险，产生的大气污染物能够自身治理，达标排放，处理成本一般；</w:t>
                  </w:r>
                </w:p>
                <w:p w14:paraId="37A82129">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8</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本项目为</w:t>
                  </w:r>
                  <w:r>
                    <w:rPr>
                      <w:rFonts w:hint="eastAsia" w:cs="Times New Roman"/>
                      <w:b w:val="0"/>
                      <w:bCs w:val="0"/>
                      <w:color w:val="auto"/>
                      <w:sz w:val="21"/>
                      <w:szCs w:val="21"/>
                      <w:highlight w:val="none"/>
                      <w:lang w:eastAsia="zh-CN"/>
                    </w:rPr>
                    <w:t>扩</w:t>
                  </w:r>
                  <w:r>
                    <w:rPr>
                      <w:rFonts w:hint="default" w:ascii="Times New Roman" w:hAnsi="Times New Roman" w:eastAsia="宋体" w:cs="Times New Roman"/>
                      <w:b w:val="0"/>
                      <w:bCs w:val="0"/>
                      <w:color w:val="auto"/>
                      <w:sz w:val="21"/>
                      <w:szCs w:val="21"/>
                      <w:highlight w:val="none"/>
                      <w:lang w:eastAsia="zh-CN"/>
                    </w:rPr>
                    <w:t>建项目，能严格按“三同时”要求建厂，</w:t>
                  </w:r>
                  <w:r>
                    <w:rPr>
                      <w:rFonts w:hint="eastAsia" w:cs="Times New Roman"/>
                      <w:b w:val="0"/>
                      <w:bCs w:val="0"/>
                      <w:color w:val="auto"/>
                      <w:sz w:val="21"/>
                      <w:szCs w:val="21"/>
                      <w:highlight w:val="none"/>
                      <w:lang w:eastAsia="zh-CN"/>
                    </w:rPr>
                    <w:t>项目无需设置</w:t>
                  </w:r>
                  <w:r>
                    <w:rPr>
                      <w:rFonts w:hint="default" w:ascii="Times New Roman" w:hAnsi="Times New Roman" w:eastAsia="宋体" w:cs="Times New Roman"/>
                      <w:b w:val="0"/>
                      <w:bCs w:val="0"/>
                      <w:color w:val="auto"/>
                      <w:sz w:val="21"/>
                      <w:szCs w:val="21"/>
                      <w:highlight w:val="none"/>
                      <w:lang w:eastAsia="zh-CN"/>
                    </w:rPr>
                    <w:t>卫生防护距离、</w:t>
                  </w:r>
                  <w:r>
                    <w:rPr>
                      <w:rFonts w:hint="eastAsia" w:cs="Times New Roman"/>
                      <w:b w:val="0"/>
                      <w:bCs w:val="0"/>
                      <w:color w:val="auto"/>
                      <w:sz w:val="21"/>
                      <w:szCs w:val="21"/>
                      <w:highlight w:val="none"/>
                      <w:lang w:eastAsia="zh-CN"/>
                    </w:rPr>
                    <w:t>可以满足</w:t>
                  </w:r>
                  <w:r>
                    <w:rPr>
                      <w:rFonts w:hint="default" w:ascii="Times New Roman" w:hAnsi="Times New Roman" w:eastAsia="宋体" w:cs="Times New Roman"/>
                      <w:b w:val="0"/>
                      <w:bCs w:val="0"/>
                      <w:color w:val="auto"/>
                      <w:sz w:val="21"/>
                      <w:szCs w:val="21"/>
                      <w:highlight w:val="none"/>
                      <w:lang w:eastAsia="zh-CN"/>
                    </w:rPr>
                    <w:t>大气环境防护距离；</w:t>
                  </w:r>
                </w:p>
                <w:p w14:paraId="596DB931">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9</w:t>
                  </w:r>
                  <w:r>
                    <w:rPr>
                      <w:rFonts w:hint="eastAsia" w:cs="Times New Roman"/>
                      <w:b w:val="0"/>
                      <w:bCs w:val="0"/>
                      <w:color w:val="auto"/>
                      <w:sz w:val="21"/>
                      <w:szCs w:val="21"/>
                      <w:highlight w:val="none"/>
                      <w:lang w:eastAsia="zh-CN"/>
                    </w:rPr>
                    <w:t>）经对照，</w:t>
                  </w:r>
                  <w:r>
                    <w:rPr>
                      <w:rFonts w:hint="default" w:ascii="Times New Roman" w:hAnsi="Times New Roman" w:eastAsia="宋体" w:cs="Times New Roman"/>
                      <w:b w:val="0"/>
                      <w:bCs w:val="0"/>
                      <w:color w:val="auto"/>
                      <w:sz w:val="21"/>
                      <w:szCs w:val="21"/>
                      <w:highlight w:val="none"/>
                      <w:lang w:eastAsia="zh-CN"/>
                    </w:rPr>
                    <w:t>项目与《云南省牛栏江保护条例</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2012</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》不冲突；</w:t>
                  </w:r>
                </w:p>
                <w:p w14:paraId="0C3EF5E6">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本项目不属于单位产品能耗、物耗、污染物产生量和排放量等清洁生产指标达不到国内先进水平的产业(项目)；</w:t>
                  </w:r>
                  <w:r>
                    <w:rPr>
                      <w:rFonts w:hint="eastAsia" w:cs="Times New Roman"/>
                      <w:b w:val="0"/>
                      <w:bCs w:val="0"/>
                      <w:color w:val="auto"/>
                      <w:sz w:val="21"/>
                      <w:szCs w:val="21"/>
                      <w:highlight w:val="none"/>
                      <w:lang w:eastAsia="zh-CN"/>
                    </w:rPr>
                    <w:t>不属于</w:t>
                  </w:r>
                  <w:r>
                    <w:rPr>
                      <w:rFonts w:hint="default" w:ascii="Times New Roman" w:hAnsi="Times New Roman" w:eastAsia="宋体" w:cs="Times New Roman"/>
                      <w:b w:val="0"/>
                      <w:bCs w:val="0"/>
                      <w:color w:val="auto"/>
                      <w:sz w:val="21"/>
                      <w:szCs w:val="21"/>
                      <w:highlight w:val="none"/>
                      <w:lang w:eastAsia="zh-CN"/>
                    </w:rPr>
                    <w:t>资源综合利用率低、产生废物量大，且按近期技术水平不能综合利用的行业；</w:t>
                  </w:r>
                  <w:r>
                    <w:rPr>
                      <w:rFonts w:hint="eastAsia" w:cs="Times New Roman"/>
                      <w:b w:val="0"/>
                      <w:bCs w:val="0"/>
                      <w:color w:val="auto"/>
                      <w:sz w:val="21"/>
                      <w:szCs w:val="21"/>
                      <w:highlight w:val="none"/>
                      <w:lang w:eastAsia="zh-CN"/>
                    </w:rPr>
                    <w:t>不属于</w:t>
                  </w:r>
                  <w:r>
                    <w:rPr>
                      <w:rFonts w:hint="default" w:ascii="Times New Roman" w:hAnsi="Times New Roman" w:eastAsia="宋体" w:cs="Times New Roman"/>
                      <w:b w:val="0"/>
                      <w:bCs w:val="0"/>
                      <w:color w:val="auto"/>
                      <w:sz w:val="21"/>
                      <w:szCs w:val="21"/>
                      <w:highlight w:val="none"/>
                      <w:lang w:eastAsia="zh-CN"/>
                    </w:rPr>
                    <w:t>高耗水且排放污水、废液按现有技术经济无法治理或妥善处置的产业。</w:t>
                  </w:r>
                </w:p>
              </w:tc>
              <w:tc>
                <w:tcPr>
                  <w:tcW w:w="441" w:type="pct"/>
                  <w:noWrap w:val="0"/>
                  <w:vAlign w:val="center"/>
                </w:tcPr>
                <w:p w14:paraId="76D0DA8D">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4B86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1" w:hRule="atLeast"/>
                <w:jc w:val="center"/>
              </w:trPr>
              <w:tc>
                <w:tcPr>
                  <w:tcW w:w="339" w:type="pct"/>
                  <w:vMerge w:val="continue"/>
                  <w:noWrap w:val="0"/>
                  <w:vAlign w:val="center"/>
                </w:tcPr>
                <w:p w14:paraId="611BDBF4">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p>
              </w:tc>
              <w:tc>
                <w:tcPr>
                  <w:tcW w:w="445" w:type="pct"/>
                  <w:noWrap w:val="0"/>
                  <w:vAlign w:val="center"/>
                </w:tcPr>
                <w:p w14:paraId="2D53A3B3">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禁入工艺</w:t>
                  </w:r>
                </w:p>
              </w:tc>
              <w:tc>
                <w:tcPr>
                  <w:tcW w:w="2064" w:type="pct"/>
                  <w:noWrap w:val="0"/>
                  <w:vAlign w:val="center"/>
                </w:tcPr>
                <w:p w14:paraId="043D4CF7">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(1)《产业结构调整指导目录(2011年本)》(2013年修正) (或更新)中淘汰、落后的生产工艺;</w:t>
                  </w:r>
                </w:p>
                <w:p w14:paraId="725AFD27">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(2)《部分工业行业淘汰落后生产工艺装备和产品指导目录(2010年本)》的生产工艺</w:t>
                  </w:r>
                  <w:r>
                    <w:rPr>
                      <w:rFonts w:hint="eastAsia" w:cs="Times New Roman"/>
                      <w:b w:val="0"/>
                      <w:bCs w:val="0"/>
                      <w:color w:val="auto"/>
                      <w:sz w:val="21"/>
                      <w:szCs w:val="21"/>
                      <w:highlight w:val="none"/>
                      <w:lang w:eastAsia="zh-CN"/>
                    </w:rPr>
                    <w:t>；</w:t>
                  </w:r>
                </w:p>
                <w:p w14:paraId="2211B351">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(3)现有污染治理技术不成熟，或现有技术经济条件难以承受污染物治理成本的。</w:t>
                  </w:r>
                </w:p>
                <w:p w14:paraId="2FE9868C">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(4)装备制造产业中含电镀、钝化、传统磷化等不能实现工业废水循环回用的企业禁止入驻。</w:t>
                  </w:r>
                </w:p>
                <w:p w14:paraId="6B30CEE1">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(5)涂装、印刷、粘合、工业清洗行业中淘汰以三氟氯乙烷、甲基仿和四化碳为清洗剂或溶剂的生产工艺。</w:t>
                  </w:r>
                </w:p>
                <w:p w14:paraId="0AEC9009">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(6)园区不再统一规划固废处置场， 未来入驻企业禁止在园区内新建永久性工业固废处置场。</w:t>
                  </w:r>
                </w:p>
                <w:p w14:paraId="4B3833CE">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(7)禁止入园企业开采地下水作为生产、生活用水。</w:t>
                  </w:r>
                </w:p>
              </w:tc>
              <w:tc>
                <w:tcPr>
                  <w:tcW w:w="1708" w:type="pct"/>
                  <w:noWrap w:val="0"/>
                  <w:vAlign w:val="center"/>
                </w:tcPr>
                <w:p w14:paraId="50760B6D">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1</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经查阅《产业结构调整指导目录</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201</w:t>
                  </w:r>
                  <w:r>
                    <w:rPr>
                      <w:rFonts w:hint="eastAsia" w:cs="Times New Roman"/>
                      <w:b w:val="0"/>
                      <w:bCs w:val="0"/>
                      <w:color w:val="auto"/>
                      <w:sz w:val="21"/>
                      <w:szCs w:val="21"/>
                      <w:highlight w:val="none"/>
                      <w:lang w:val="en-US" w:eastAsia="zh-CN"/>
                    </w:rPr>
                    <w:t>9</w:t>
                  </w:r>
                  <w:r>
                    <w:rPr>
                      <w:rFonts w:hint="default" w:ascii="Times New Roman" w:hAnsi="Times New Roman" w:eastAsia="宋体" w:cs="Times New Roman"/>
                      <w:b w:val="0"/>
                      <w:bCs w:val="0"/>
                      <w:color w:val="auto"/>
                      <w:sz w:val="21"/>
                      <w:szCs w:val="21"/>
                      <w:highlight w:val="none"/>
                      <w:lang w:eastAsia="zh-CN"/>
                    </w:rPr>
                    <w:t>年本</w:t>
                  </w:r>
                  <w:r>
                    <w:rPr>
                      <w:rFonts w:hint="eastAsia"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》，本项目所用工艺不属于该目录中淘汰、落后的生产工艺；</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2</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《部分工业行业淘汰落后生产工艺装备和产品指导目录(2010年本)》</w:t>
                  </w:r>
                  <w:r>
                    <w:rPr>
                      <w:rFonts w:hint="eastAsia" w:cs="Times New Roman"/>
                      <w:b w:val="0"/>
                      <w:bCs w:val="0"/>
                      <w:color w:val="auto"/>
                      <w:sz w:val="21"/>
                      <w:szCs w:val="21"/>
                      <w:highlight w:val="none"/>
                      <w:lang w:eastAsia="zh-CN"/>
                    </w:rPr>
                    <w:t>已失效；</w:t>
                  </w:r>
                </w:p>
                <w:p w14:paraId="364AB4A0">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21"/>
                      <w:szCs w:val="21"/>
                      <w:highlight w:val="none"/>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3</w:t>
                  </w:r>
                  <w:r>
                    <w:rPr>
                      <w:rFonts w:hint="eastAsia"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拟采取的废气污染</w:t>
                  </w:r>
                  <w:r>
                    <w:rPr>
                      <w:rFonts w:hint="eastAsia" w:cs="Times New Roman"/>
                      <w:color w:val="auto"/>
                      <w:sz w:val="21"/>
                      <w:szCs w:val="21"/>
                      <w:highlight w:val="none"/>
                      <w:lang w:eastAsia="zh-CN"/>
                    </w:rPr>
                    <w:t>防治</w:t>
                  </w:r>
                  <w:r>
                    <w:rPr>
                      <w:rFonts w:hint="default" w:ascii="Times New Roman" w:hAnsi="Times New Roman" w:eastAsia="宋体" w:cs="Times New Roman"/>
                      <w:color w:val="auto"/>
                      <w:sz w:val="21"/>
                      <w:szCs w:val="21"/>
                      <w:highlight w:val="none"/>
                      <w:lang w:eastAsia="zh-CN"/>
                    </w:rPr>
                    <w:t>技术、废水处理技术均为成熟技术，且技术经济成本可承受</w:t>
                  </w:r>
                  <w:r>
                    <w:rPr>
                      <w:rFonts w:hint="default" w:ascii="Times New Roman" w:hAnsi="Times New Roman" w:eastAsia="宋体" w:cs="Times New Roman"/>
                      <w:color w:val="auto"/>
                      <w:sz w:val="21"/>
                      <w:szCs w:val="21"/>
                      <w:highlight w:val="none"/>
                    </w:rPr>
                    <w:t>；</w:t>
                  </w:r>
                </w:p>
                <w:p w14:paraId="6A09103C">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4</w:t>
                  </w:r>
                  <w:r>
                    <w:rPr>
                      <w:rFonts w:hint="eastAsia" w:cs="Times New Roman"/>
                      <w:b w:val="0"/>
                      <w:bCs w:val="0"/>
                      <w:color w:val="auto"/>
                      <w:sz w:val="21"/>
                      <w:szCs w:val="21"/>
                      <w:highlight w:val="none"/>
                      <w:lang w:eastAsia="zh-CN"/>
                    </w:rPr>
                    <w:t>）项目</w:t>
                  </w:r>
                  <w:r>
                    <w:rPr>
                      <w:rFonts w:hint="default" w:ascii="Times New Roman" w:hAnsi="Times New Roman" w:eastAsia="宋体" w:cs="Times New Roman"/>
                      <w:b w:val="0"/>
                      <w:bCs w:val="0"/>
                      <w:color w:val="auto"/>
                      <w:sz w:val="21"/>
                      <w:szCs w:val="21"/>
                      <w:highlight w:val="none"/>
                      <w:lang w:eastAsia="zh-CN"/>
                    </w:rPr>
                    <w:t>不属于装备制造产业中含电镀、钝化、传统磷化等不能实现工业废水循环回用的企业；</w:t>
                  </w:r>
                </w:p>
                <w:p w14:paraId="6D95E333">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5</w:t>
                  </w:r>
                  <w:r>
                    <w:rPr>
                      <w:rFonts w:hint="eastAsia" w:cs="Times New Roman"/>
                      <w:b w:val="0"/>
                      <w:bCs w:val="0"/>
                      <w:color w:val="auto"/>
                      <w:sz w:val="21"/>
                      <w:szCs w:val="21"/>
                      <w:highlight w:val="none"/>
                      <w:lang w:eastAsia="zh-CN"/>
                    </w:rPr>
                    <w:t>）项目</w:t>
                  </w:r>
                  <w:r>
                    <w:rPr>
                      <w:rFonts w:hint="default" w:ascii="Times New Roman" w:hAnsi="Times New Roman" w:eastAsia="宋体" w:cs="Times New Roman"/>
                      <w:b w:val="0"/>
                      <w:bCs w:val="0"/>
                      <w:color w:val="auto"/>
                      <w:sz w:val="21"/>
                      <w:szCs w:val="21"/>
                      <w:highlight w:val="none"/>
                      <w:lang w:eastAsia="zh-CN"/>
                    </w:rPr>
                    <w:t>不属于以三氟氯乙烷、甲基仿和</w:t>
                  </w:r>
                  <w:r>
                    <w:rPr>
                      <w:rFonts w:hint="eastAsia" w:cs="Times New Roman"/>
                      <w:b w:val="0"/>
                      <w:bCs w:val="0"/>
                      <w:color w:val="auto"/>
                      <w:sz w:val="21"/>
                      <w:szCs w:val="21"/>
                      <w:highlight w:val="none"/>
                      <w:lang w:eastAsia="zh-CN"/>
                    </w:rPr>
                    <w:t>四氯</w:t>
                  </w:r>
                  <w:r>
                    <w:rPr>
                      <w:rFonts w:hint="default" w:ascii="Times New Roman" w:hAnsi="Times New Roman" w:eastAsia="宋体" w:cs="Times New Roman"/>
                      <w:b w:val="0"/>
                      <w:bCs w:val="0"/>
                      <w:color w:val="auto"/>
                      <w:sz w:val="21"/>
                      <w:szCs w:val="21"/>
                      <w:highlight w:val="none"/>
                      <w:lang w:eastAsia="zh-CN"/>
                    </w:rPr>
                    <w:t>化碳为清洗剂或溶剂的生产工艺；</w:t>
                  </w:r>
                </w:p>
                <w:p w14:paraId="01F7C241">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6</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本项目不在园区内新建永久性工业固废处置场；</w:t>
                  </w:r>
                </w:p>
                <w:p w14:paraId="33F51D02">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7</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本项目供水由市政供水，不开采地下水作为生产、生活用水。</w:t>
                  </w:r>
                </w:p>
              </w:tc>
              <w:tc>
                <w:tcPr>
                  <w:tcW w:w="441" w:type="pct"/>
                  <w:noWrap w:val="0"/>
                  <w:vAlign w:val="center"/>
                </w:tcPr>
                <w:p w14:paraId="68376217">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605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339" w:type="pct"/>
                  <w:vMerge w:val="continue"/>
                  <w:noWrap w:val="0"/>
                  <w:vAlign w:val="center"/>
                </w:tcPr>
                <w:p w14:paraId="53B6846F">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p>
              </w:tc>
              <w:tc>
                <w:tcPr>
                  <w:tcW w:w="445" w:type="pct"/>
                  <w:noWrap w:val="0"/>
                  <w:vAlign w:val="center"/>
                </w:tcPr>
                <w:p w14:paraId="1F9562BB">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禁入产品</w:t>
                  </w:r>
                </w:p>
              </w:tc>
              <w:tc>
                <w:tcPr>
                  <w:tcW w:w="2064" w:type="pct"/>
                  <w:noWrap w:val="0"/>
                  <w:vAlign w:val="center"/>
                </w:tcPr>
                <w:p w14:paraId="58D35F10">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《部分工业行业淘汰落后生产工艺装备和产品指导目录(2010年本)》的产品</w:t>
                  </w:r>
                </w:p>
              </w:tc>
              <w:tc>
                <w:tcPr>
                  <w:tcW w:w="1708" w:type="pct"/>
                  <w:noWrap w:val="0"/>
                  <w:vAlign w:val="center"/>
                </w:tcPr>
                <w:p w14:paraId="61B69BB8">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《部分工业行业淘汰落后生产工艺装备和产品指导目录(2010年本)》</w:t>
                  </w:r>
                  <w:r>
                    <w:rPr>
                      <w:rFonts w:hint="eastAsia" w:cs="Times New Roman"/>
                      <w:b w:val="0"/>
                      <w:bCs w:val="0"/>
                      <w:color w:val="auto"/>
                      <w:sz w:val="21"/>
                      <w:szCs w:val="21"/>
                      <w:highlight w:val="none"/>
                      <w:lang w:eastAsia="zh-CN"/>
                    </w:rPr>
                    <w:t>已失效</w:t>
                  </w:r>
                </w:p>
              </w:tc>
              <w:tc>
                <w:tcPr>
                  <w:tcW w:w="441" w:type="pct"/>
                  <w:noWrap w:val="0"/>
                  <w:vAlign w:val="center"/>
                </w:tcPr>
                <w:p w14:paraId="2F2C2F0F">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2618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339" w:type="pct"/>
                  <w:vMerge w:val="continue"/>
                  <w:noWrap w:val="0"/>
                  <w:vAlign w:val="center"/>
                </w:tcPr>
                <w:p w14:paraId="42990A19">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p>
              </w:tc>
              <w:tc>
                <w:tcPr>
                  <w:tcW w:w="445" w:type="pct"/>
                  <w:noWrap w:val="0"/>
                  <w:vAlign w:val="center"/>
                </w:tcPr>
                <w:p w14:paraId="633BD379">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清洁生产水平</w:t>
                  </w:r>
                </w:p>
              </w:tc>
              <w:tc>
                <w:tcPr>
                  <w:tcW w:w="2064" w:type="pct"/>
                  <w:noWrap w:val="0"/>
                  <w:vAlign w:val="center"/>
                </w:tcPr>
                <w:p w14:paraId="6F4A3296">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清洁生产水平低于国家清洁生产标准的国内先进水平。</w:t>
                  </w:r>
                </w:p>
              </w:tc>
              <w:tc>
                <w:tcPr>
                  <w:tcW w:w="1708" w:type="pct"/>
                  <w:noWrap w:val="0"/>
                  <w:vAlign w:val="center"/>
                </w:tcPr>
                <w:p w14:paraId="6833968D">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本项目清洁生产水平不低于国家清洁生产标准的国内先进水平。</w:t>
                  </w:r>
                </w:p>
              </w:tc>
              <w:tc>
                <w:tcPr>
                  <w:tcW w:w="441" w:type="pct"/>
                  <w:noWrap w:val="0"/>
                  <w:vAlign w:val="center"/>
                </w:tcPr>
                <w:p w14:paraId="6BD0AA73">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5190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9" w:type="pct"/>
                  <w:vMerge w:val="continue"/>
                  <w:noWrap w:val="0"/>
                  <w:vAlign w:val="center"/>
                </w:tcPr>
                <w:p w14:paraId="4EAB224F">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p>
              </w:tc>
              <w:tc>
                <w:tcPr>
                  <w:tcW w:w="445" w:type="pct"/>
                  <w:noWrap w:val="0"/>
                  <w:vAlign w:val="center"/>
                </w:tcPr>
                <w:p w14:paraId="25FB6A38">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限制禁入</w:t>
                  </w:r>
                </w:p>
              </w:tc>
              <w:tc>
                <w:tcPr>
                  <w:tcW w:w="2064" w:type="pct"/>
                  <w:noWrap w:val="0"/>
                  <w:vAlign w:val="center"/>
                </w:tcPr>
                <w:p w14:paraId="0E1F0238">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(1)严格限制引进(产业结构调整指导目录(201</w:t>
                  </w:r>
                  <w:r>
                    <w:rPr>
                      <w:rFonts w:hint="eastAsia"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eastAsia="zh-CN"/>
                    </w:rPr>
                    <w:t>年本)》(2013年修正)中所列的限制类项目。</w:t>
                  </w:r>
                </w:p>
                <w:p w14:paraId="464EAA93">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(2)《外商投资产业指导目录(2015 年修订)》中所列的限制类项目。</w:t>
                  </w:r>
                </w:p>
                <w:p w14:paraId="65858FCF">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(3)严格限制引进涉及《中国严格限制进出口的有毒化学品目录(2012年本)》中所列有毒化学品的项目。</w:t>
                  </w:r>
                </w:p>
                <w:p w14:paraId="0BED0AD5">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(4)严禁引入技术含量较低的加工类产业。</w:t>
                  </w:r>
                </w:p>
                <w:p w14:paraId="7FCAB347">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(5)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tc>
              <w:tc>
                <w:tcPr>
                  <w:tcW w:w="1708" w:type="pct"/>
                  <w:noWrap w:val="0"/>
                  <w:vAlign w:val="center"/>
                </w:tcPr>
                <w:p w14:paraId="39256A74">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1</w:t>
                  </w:r>
                  <w:r>
                    <w:rPr>
                      <w:rFonts w:hint="eastAsia" w:cs="Times New Roman"/>
                      <w:b w:val="0"/>
                      <w:bCs w:val="0"/>
                      <w:color w:val="auto"/>
                      <w:sz w:val="21"/>
                      <w:szCs w:val="21"/>
                      <w:highlight w:val="none"/>
                      <w:lang w:eastAsia="zh-CN"/>
                    </w:rPr>
                    <w:t>）经对照，</w:t>
                  </w:r>
                  <w:r>
                    <w:rPr>
                      <w:rFonts w:hint="default" w:ascii="Times New Roman" w:hAnsi="Times New Roman" w:eastAsia="宋体" w:cs="Times New Roman"/>
                      <w:b w:val="0"/>
                      <w:bCs w:val="0"/>
                      <w:color w:val="auto"/>
                      <w:sz w:val="21"/>
                      <w:szCs w:val="21"/>
                      <w:highlight w:val="none"/>
                      <w:lang w:eastAsia="zh-CN"/>
                    </w:rPr>
                    <w:t>项目</w:t>
                  </w:r>
                  <w:r>
                    <w:rPr>
                      <w:rFonts w:hint="eastAsia" w:ascii="Times New Roman" w:hAnsi="Times New Roman" w:eastAsia="宋体" w:cs="Times New Roman"/>
                      <w:b w:val="0"/>
                      <w:bCs w:val="0"/>
                      <w:color w:val="auto"/>
                      <w:sz w:val="21"/>
                      <w:szCs w:val="21"/>
                      <w:highlight w:val="none"/>
                      <w:lang w:eastAsia="zh-CN"/>
                    </w:rPr>
                    <w:t>不</w:t>
                  </w:r>
                  <w:r>
                    <w:rPr>
                      <w:rFonts w:hint="default" w:ascii="Times New Roman" w:hAnsi="Times New Roman" w:eastAsia="宋体" w:cs="Times New Roman"/>
                      <w:b w:val="0"/>
                      <w:bCs w:val="0"/>
                      <w:color w:val="auto"/>
                      <w:sz w:val="21"/>
                      <w:szCs w:val="21"/>
                      <w:highlight w:val="none"/>
                      <w:lang w:eastAsia="zh-CN"/>
                    </w:rPr>
                    <w:t>属于《产业结构调整指导目录（2019年本）（</w:t>
                  </w:r>
                  <w:r>
                    <w:rPr>
                      <w:rFonts w:hint="default" w:ascii="Times New Roman" w:hAnsi="Times New Roman" w:eastAsia="宋体" w:cs="Times New Roman"/>
                      <w:b w:val="0"/>
                      <w:bCs w:val="0"/>
                      <w:color w:val="auto"/>
                      <w:sz w:val="21"/>
                      <w:szCs w:val="21"/>
                      <w:highlight w:val="none"/>
                      <w:lang w:val="en-US" w:eastAsia="zh-CN"/>
                    </w:rPr>
                    <w:t>2021修订版</w:t>
                  </w:r>
                  <w:r>
                    <w:rPr>
                      <w:rFonts w:hint="default" w:ascii="Times New Roman" w:hAnsi="Times New Roman" w:eastAsia="宋体" w:cs="Times New Roman"/>
                      <w:b w:val="0"/>
                      <w:bCs w:val="0"/>
                      <w:color w:val="auto"/>
                      <w:sz w:val="21"/>
                      <w:szCs w:val="21"/>
                      <w:highlight w:val="none"/>
                      <w:lang w:eastAsia="zh-CN"/>
                    </w:rPr>
                    <w:t>）》</w:t>
                  </w:r>
                  <w:r>
                    <w:rPr>
                      <w:rFonts w:hint="eastAsia" w:cs="Times New Roman"/>
                      <w:b w:val="0"/>
                      <w:bCs w:val="0"/>
                      <w:color w:val="auto"/>
                      <w:sz w:val="21"/>
                      <w:szCs w:val="21"/>
                      <w:highlight w:val="none"/>
                      <w:lang w:eastAsia="zh-CN"/>
                    </w:rPr>
                    <w:t>中所列</w:t>
                  </w:r>
                  <w:r>
                    <w:rPr>
                      <w:rFonts w:hint="default" w:ascii="Times New Roman" w:hAnsi="Times New Roman" w:eastAsia="宋体" w:cs="Times New Roman"/>
                      <w:b w:val="0"/>
                      <w:bCs w:val="0"/>
                      <w:color w:val="auto"/>
                      <w:sz w:val="21"/>
                      <w:szCs w:val="21"/>
                      <w:highlight w:val="none"/>
                      <w:lang w:eastAsia="zh-CN"/>
                    </w:rPr>
                    <w:t>鼓励类、限制类和淘汰类</w:t>
                  </w:r>
                  <w:r>
                    <w:rPr>
                      <w:rFonts w:hint="eastAsia" w:ascii="Times New Roman" w:hAnsi="Times New Roman" w:eastAsia="宋体" w:cs="Times New Roman"/>
                      <w:b w:val="0"/>
                      <w:bCs w:val="0"/>
                      <w:color w:val="auto"/>
                      <w:sz w:val="21"/>
                      <w:szCs w:val="21"/>
                      <w:highlight w:val="none"/>
                      <w:lang w:eastAsia="zh-CN"/>
                    </w:rPr>
                    <w:t>项目</w:t>
                  </w:r>
                  <w:r>
                    <w:rPr>
                      <w:rFonts w:hint="eastAsia" w:cs="Times New Roman"/>
                      <w:b w:val="0"/>
                      <w:bCs w:val="0"/>
                      <w:color w:val="auto"/>
                      <w:sz w:val="21"/>
                      <w:szCs w:val="21"/>
                      <w:highlight w:val="none"/>
                      <w:lang w:eastAsia="zh-CN"/>
                    </w:rPr>
                    <w:t>，为允许类项目</w:t>
                  </w:r>
                  <w:r>
                    <w:rPr>
                      <w:rFonts w:hint="default" w:ascii="Times New Roman" w:hAnsi="Times New Roman" w:eastAsia="宋体" w:cs="Times New Roman"/>
                      <w:b w:val="0"/>
                      <w:bCs w:val="0"/>
                      <w:color w:val="auto"/>
                      <w:sz w:val="21"/>
                      <w:szCs w:val="21"/>
                      <w:highlight w:val="none"/>
                      <w:lang w:eastAsia="zh-CN"/>
                    </w:rPr>
                    <w:t>；</w:t>
                  </w:r>
                </w:p>
                <w:p w14:paraId="5071942D">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2</w:t>
                  </w:r>
                  <w:r>
                    <w:rPr>
                      <w:rFonts w:hint="eastAsia" w:cs="Times New Roman"/>
                      <w:b w:val="0"/>
                      <w:bCs w:val="0"/>
                      <w:color w:val="auto"/>
                      <w:sz w:val="21"/>
                      <w:szCs w:val="21"/>
                      <w:highlight w:val="none"/>
                      <w:lang w:eastAsia="zh-CN"/>
                    </w:rPr>
                    <w:t>）经对照，本项目</w:t>
                  </w:r>
                  <w:r>
                    <w:rPr>
                      <w:rFonts w:hint="default" w:ascii="Times New Roman" w:hAnsi="Times New Roman" w:eastAsia="宋体" w:cs="Times New Roman"/>
                      <w:b w:val="0"/>
                      <w:bCs w:val="0"/>
                      <w:color w:val="auto"/>
                      <w:sz w:val="21"/>
                      <w:szCs w:val="21"/>
                      <w:highlight w:val="none"/>
                      <w:lang w:eastAsia="zh-CN"/>
                    </w:rPr>
                    <w:t>属于《</w:t>
                  </w:r>
                  <w:r>
                    <w:rPr>
                      <w:rFonts w:hint="eastAsia" w:cs="Times New Roman"/>
                      <w:b w:val="0"/>
                      <w:bCs w:val="0"/>
                      <w:color w:val="auto"/>
                      <w:sz w:val="21"/>
                      <w:szCs w:val="21"/>
                      <w:highlight w:val="none"/>
                      <w:lang w:eastAsia="zh-CN"/>
                    </w:rPr>
                    <w:t>鼓励</w:t>
                  </w:r>
                  <w:r>
                    <w:rPr>
                      <w:rFonts w:hint="default" w:ascii="Times New Roman" w:hAnsi="Times New Roman" w:eastAsia="宋体" w:cs="Times New Roman"/>
                      <w:b w:val="0"/>
                      <w:bCs w:val="0"/>
                      <w:color w:val="auto"/>
                      <w:sz w:val="21"/>
                      <w:szCs w:val="21"/>
                      <w:highlight w:val="none"/>
                      <w:lang w:eastAsia="zh-CN"/>
                    </w:rPr>
                    <w:t>外商投资产业目录 (20</w:t>
                  </w:r>
                  <w:r>
                    <w:rPr>
                      <w:rFonts w:hint="eastAsia" w:cs="Times New Roman"/>
                      <w:b w:val="0"/>
                      <w:bCs w:val="0"/>
                      <w:color w:val="auto"/>
                      <w:sz w:val="21"/>
                      <w:szCs w:val="21"/>
                      <w:highlight w:val="none"/>
                      <w:lang w:val="en-US" w:eastAsia="zh-CN"/>
                    </w:rPr>
                    <w:t>22</w:t>
                  </w:r>
                  <w:r>
                    <w:rPr>
                      <w:rFonts w:hint="default" w:ascii="Times New Roman" w:hAnsi="Times New Roman" w:eastAsia="宋体" w:cs="Times New Roman"/>
                      <w:b w:val="0"/>
                      <w:bCs w:val="0"/>
                      <w:color w:val="auto"/>
                      <w:sz w:val="21"/>
                      <w:szCs w:val="21"/>
                      <w:highlight w:val="none"/>
                      <w:lang w:eastAsia="zh-CN"/>
                    </w:rPr>
                    <w:t> 年</w:t>
                  </w:r>
                  <w:r>
                    <w:rPr>
                      <w:rFonts w:hint="eastAsia" w:cs="Times New Roman"/>
                      <w:b w:val="0"/>
                      <w:bCs w:val="0"/>
                      <w:color w:val="auto"/>
                      <w:sz w:val="21"/>
                      <w:szCs w:val="21"/>
                      <w:highlight w:val="none"/>
                      <w:lang w:eastAsia="zh-CN"/>
                    </w:rPr>
                    <w:t>版</w:t>
                  </w:r>
                  <w:r>
                    <w:rPr>
                      <w:rFonts w:hint="default" w:ascii="Times New Roman" w:hAnsi="Times New Roman" w:eastAsia="宋体" w:cs="Times New Roman"/>
                      <w:b w:val="0"/>
                      <w:bCs w:val="0"/>
                      <w:color w:val="auto"/>
                      <w:sz w:val="21"/>
                      <w:szCs w:val="21"/>
                      <w:highlight w:val="none"/>
                      <w:lang w:eastAsia="zh-CN"/>
                    </w:rPr>
                    <w:t>)》</w:t>
                  </w:r>
                  <w:r>
                    <w:rPr>
                      <w:rFonts w:hint="eastAsia" w:cs="Times New Roman"/>
                      <w:b w:val="0"/>
                      <w:bCs w:val="0"/>
                      <w:color w:val="auto"/>
                      <w:sz w:val="21"/>
                      <w:szCs w:val="21"/>
                      <w:highlight w:val="none"/>
                      <w:lang w:eastAsia="zh-CN"/>
                    </w:rPr>
                    <w:t>中全国鼓励外商投资类项目</w:t>
                  </w:r>
                  <w:r>
                    <w:rPr>
                      <w:rFonts w:hint="default" w:ascii="Times New Roman" w:hAnsi="Times New Roman" w:eastAsia="宋体" w:cs="Times New Roman"/>
                      <w:b w:val="0"/>
                      <w:bCs w:val="0"/>
                      <w:color w:val="auto"/>
                      <w:sz w:val="21"/>
                      <w:szCs w:val="21"/>
                      <w:highlight w:val="none"/>
                      <w:lang w:eastAsia="zh-CN"/>
                    </w:rPr>
                    <w:t>；</w:t>
                  </w:r>
                </w:p>
                <w:p w14:paraId="5B8EF19D">
                  <w:pPr>
                    <w:adjustRightInd w:val="0"/>
                    <w:snapToGrid w:val="0"/>
                    <w:rPr>
                      <w:color w:val="auto"/>
                      <w:szCs w:val="21"/>
                      <w:highlight w:val="none"/>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3</w:t>
                  </w:r>
                  <w:r>
                    <w:rPr>
                      <w:rFonts w:hint="eastAsia" w:cs="Times New Roman"/>
                      <w:b w:val="0"/>
                      <w:bCs w:val="0"/>
                      <w:color w:val="auto"/>
                      <w:sz w:val="21"/>
                      <w:szCs w:val="21"/>
                      <w:highlight w:val="none"/>
                      <w:lang w:eastAsia="zh-CN"/>
                    </w:rPr>
                    <w:t>）经对照，</w:t>
                  </w:r>
                  <w:r>
                    <w:rPr>
                      <w:rFonts w:hint="eastAsia"/>
                      <w:color w:val="auto"/>
                      <w:szCs w:val="21"/>
                      <w:highlight w:val="none"/>
                    </w:rPr>
                    <w:t>项目</w:t>
                  </w:r>
                  <w:r>
                    <w:rPr>
                      <w:color w:val="auto"/>
                      <w:szCs w:val="21"/>
                      <w:highlight w:val="none"/>
                    </w:rPr>
                    <w:t>不涉及《中国严格限制的有毒化学品</w:t>
                  </w:r>
                  <w:r>
                    <w:rPr>
                      <w:rFonts w:hint="eastAsia"/>
                      <w:color w:val="auto"/>
                      <w:szCs w:val="21"/>
                      <w:highlight w:val="none"/>
                      <w:lang w:eastAsia="zh-CN"/>
                    </w:rPr>
                    <w:t>名录</w:t>
                  </w:r>
                  <w:r>
                    <w:rPr>
                      <w:color w:val="auto"/>
                      <w:szCs w:val="21"/>
                      <w:highlight w:val="none"/>
                    </w:rPr>
                    <w:t>》</w:t>
                  </w:r>
                  <w:r>
                    <w:rPr>
                      <w:rFonts w:hint="eastAsia"/>
                      <w:color w:val="auto"/>
                      <w:szCs w:val="21"/>
                      <w:highlight w:val="none"/>
                      <w:lang w:eastAsia="zh-CN"/>
                    </w:rPr>
                    <w:t>（</w:t>
                  </w:r>
                  <w:r>
                    <w:rPr>
                      <w:rFonts w:hint="eastAsia"/>
                      <w:color w:val="auto"/>
                      <w:szCs w:val="21"/>
                      <w:highlight w:val="none"/>
                      <w:lang w:val="en-US" w:eastAsia="zh-CN"/>
                    </w:rPr>
                    <w:t>2020年</w:t>
                  </w:r>
                  <w:r>
                    <w:rPr>
                      <w:rFonts w:hint="eastAsia"/>
                      <w:color w:val="auto"/>
                      <w:szCs w:val="21"/>
                      <w:highlight w:val="none"/>
                      <w:lang w:eastAsia="zh-CN"/>
                    </w:rPr>
                    <w:t>）</w:t>
                  </w:r>
                  <w:r>
                    <w:rPr>
                      <w:color w:val="auto"/>
                      <w:szCs w:val="21"/>
                      <w:highlight w:val="none"/>
                    </w:rPr>
                    <w:t>中所列有毒化学品；</w:t>
                  </w:r>
                </w:p>
                <w:p w14:paraId="568EEA7D">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4</w:t>
                  </w:r>
                  <w:r>
                    <w:rPr>
                      <w:rFonts w:hint="eastAsia" w:cs="Times New Roman"/>
                      <w:b w:val="0"/>
                      <w:bCs w:val="0"/>
                      <w:color w:val="auto"/>
                      <w:sz w:val="21"/>
                      <w:szCs w:val="21"/>
                      <w:highlight w:val="none"/>
                      <w:lang w:eastAsia="zh-CN"/>
                    </w:rPr>
                    <w:t>）项目</w:t>
                  </w:r>
                  <w:r>
                    <w:rPr>
                      <w:rFonts w:hint="default" w:ascii="Times New Roman" w:hAnsi="Times New Roman" w:eastAsia="宋体" w:cs="Times New Roman"/>
                      <w:b w:val="0"/>
                      <w:bCs w:val="0"/>
                      <w:color w:val="auto"/>
                      <w:sz w:val="21"/>
                      <w:szCs w:val="21"/>
                      <w:highlight w:val="none"/>
                      <w:lang w:eastAsia="zh-CN"/>
                    </w:rPr>
                    <w:t>不属于技术含量较低的加工类产业；</w:t>
                  </w:r>
                </w:p>
                <w:p w14:paraId="28BEF4AF">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5</w:t>
                  </w:r>
                  <w:r>
                    <w:rPr>
                      <w:rFonts w:hint="eastAsia" w:cs="Times New Roman"/>
                      <w:b w:val="0"/>
                      <w:bCs w:val="0"/>
                      <w:color w:val="auto"/>
                      <w:sz w:val="21"/>
                      <w:szCs w:val="21"/>
                      <w:highlight w:val="none"/>
                      <w:lang w:eastAsia="zh-CN"/>
                    </w:rPr>
                    <w:t>）项目</w:t>
                  </w:r>
                  <w:r>
                    <w:rPr>
                      <w:rFonts w:hint="default" w:ascii="Times New Roman" w:hAnsi="Times New Roman" w:eastAsia="宋体" w:cs="Times New Roman"/>
                      <w:b w:val="0"/>
                      <w:bCs w:val="0"/>
                      <w:color w:val="auto"/>
                      <w:sz w:val="21"/>
                      <w:szCs w:val="21"/>
                      <w:highlight w:val="none"/>
                      <w:lang w:eastAsia="zh-CN"/>
                    </w:rPr>
                    <w:t>不属于物耗、水耗和能耗相对较高，但符合园区总体规划产业类别的其他产业(①属于规划既定行业，但污染类型复杂、环境风险较大的产业、项目或工艺;②产生废物，且按自有技术水平无法治理或妥善处置的</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③现有污染治理技术不成熟，或现有技术经济条件难以承受污染物治理成本的)。</w:t>
                  </w:r>
                </w:p>
              </w:tc>
              <w:tc>
                <w:tcPr>
                  <w:tcW w:w="441" w:type="pct"/>
                  <w:noWrap w:val="0"/>
                  <w:vAlign w:val="center"/>
                </w:tcPr>
                <w:p w14:paraId="3C8F4712">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62DF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339" w:type="pct"/>
                  <w:vMerge w:val="restart"/>
                  <w:noWrap w:val="0"/>
                  <w:vAlign w:val="center"/>
                </w:tcPr>
                <w:p w14:paraId="53BB99F8">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规划产业要求</w:t>
                  </w:r>
                </w:p>
              </w:tc>
              <w:tc>
                <w:tcPr>
                  <w:tcW w:w="445" w:type="pct"/>
                  <w:noWrap w:val="0"/>
                  <w:vAlign w:val="center"/>
                </w:tcPr>
                <w:p w14:paraId="66E39BA3">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现状产业区</w:t>
                  </w:r>
                </w:p>
              </w:tc>
              <w:tc>
                <w:tcPr>
                  <w:tcW w:w="2064" w:type="pct"/>
                  <w:noWrap w:val="0"/>
                  <w:vAlign w:val="center"/>
                </w:tcPr>
                <w:p w14:paraId="7BAFC06B">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现有煤磷盐化工企业、水泥熟料生产企业严禁新增、扩建重污染的煤磷盐化工项目，严禁新增三类工业用地，现有煤磷盐化工项目通过技术改造、产业升级、环保整改等进行节能减排，推行污染物超低排放改造，禁止新的煤、磷、盐化工产业、水泥熟料生产企业入驻。</w:t>
                  </w:r>
                </w:p>
              </w:tc>
              <w:tc>
                <w:tcPr>
                  <w:tcW w:w="1708" w:type="pct"/>
                  <w:noWrap w:val="0"/>
                  <w:vAlign w:val="center"/>
                </w:tcPr>
                <w:p w14:paraId="1A176341">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项目为</w:t>
                  </w:r>
                  <w:r>
                    <w:rPr>
                      <w:rFonts w:hint="eastAsia"/>
                      <w:color w:val="auto"/>
                      <w:sz w:val="21"/>
                      <w:szCs w:val="21"/>
                      <w:highlight w:val="none"/>
                      <w:lang w:eastAsia="zh-CN"/>
                    </w:rPr>
                    <w:t>玻璃生产加工</w:t>
                  </w:r>
                  <w:r>
                    <w:rPr>
                      <w:rFonts w:hint="default" w:ascii="Times New Roman" w:hAnsi="Times New Roman" w:eastAsia="宋体" w:cs="Times New Roman"/>
                      <w:b w:val="0"/>
                      <w:bCs w:val="0"/>
                      <w:color w:val="auto"/>
                      <w:sz w:val="21"/>
                      <w:szCs w:val="21"/>
                      <w:highlight w:val="none"/>
                      <w:lang w:eastAsia="zh-CN"/>
                    </w:rPr>
                    <w:t>项目，不属于磷盐化工、水泥熟料生产项目</w:t>
                  </w:r>
                  <w:r>
                    <w:rPr>
                      <w:rFonts w:hint="eastAsia" w:cs="Times New Roman"/>
                      <w:b w:val="0"/>
                      <w:bCs w:val="0"/>
                      <w:color w:val="auto"/>
                      <w:sz w:val="21"/>
                      <w:szCs w:val="21"/>
                      <w:highlight w:val="none"/>
                      <w:lang w:eastAsia="zh-CN"/>
                    </w:rPr>
                    <w:t>。</w:t>
                  </w:r>
                </w:p>
              </w:tc>
              <w:tc>
                <w:tcPr>
                  <w:tcW w:w="441" w:type="pct"/>
                  <w:noWrap w:val="0"/>
                  <w:vAlign w:val="center"/>
                </w:tcPr>
                <w:p w14:paraId="475D5AB5">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6A64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339" w:type="pct"/>
                  <w:vMerge w:val="continue"/>
                  <w:noWrap w:val="0"/>
                  <w:vAlign w:val="center"/>
                </w:tcPr>
                <w:p w14:paraId="4B8ECE0E">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445" w:type="pct"/>
                  <w:noWrap w:val="0"/>
                  <w:vAlign w:val="center"/>
                </w:tcPr>
                <w:p w14:paraId="219A63F0">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新型建材产业</w:t>
                  </w:r>
                </w:p>
              </w:tc>
              <w:tc>
                <w:tcPr>
                  <w:tcW w:w="2064" w:type="pct"/>
                  <w:noWrap w:val="0"/>
                  <w:vAlign w:val="center"/>
                </w:tcPr>
                <w:p w14:paraId="4D795799">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入驻企业为新型墙体材料、新型防水密封材料、新型保温隔热材料和装饰装修材料等新型建材企业，禁止水泥生产、矿渣棉、玻璃棉、手工制作墙板生产线、非烧结、非蒸压粉煤灰生产线企业入驻。</w:t>
                  </w:r>
                </w:p>
              </w:tc>
              <w:tc>
                <w:tcPr>
                  <w:tcW w:w="1708" w:type="pct"/>
                  <w:noWrap w:val="0"/>
                  <w:vAlign w:val="center"/>
                </w:tcPr>
                <w:p w14:paraId="2C19858F">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本项目不属于水泥生产、矿渣棉、玻璃棉、手工制作墙板生产线、非烧结、非蒸压粉煤灰生产线企业。</w:t>
                  </w:r>
                </w:p>
              </w:tc>
              <w:tc>
                <w:tcPr>
                  <w:tcW w:w="441" w:type="pct"/>
                  <w:noWrap w:val="0"/>
                  <w:vAlign w:val="center"/>
                </w:tcPr>
                <w:p w14:paraId="16040565">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5541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339" w:type="pct"/>
                  <w:vMerge w:val="continue"/>
                  <w:noWrap w:val="0"/>
                  <w:vAlign w:val="center"/>
                </w:tcPr>
                <w:p w14:paraId="228D7F29">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p>
              </w:tc>
              <w:tc>
                <w:tcPr>
                  <w:tcW w:w="445" w:type="pct"/>
                  <w:noWrap w:val="0"/>
                  <w:vAlign w:val="center"/>
                </w:tcPr>
                <w:p w14:paraId="09233213">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装备制造产业</w:t>
                  </w:r>
                </w:p>
              </w:tc>
              <w:tc>
                <w:tcPr>
                  <w:tcW w:w="2064" w:type="pct"/>
                  <w:noWrap w:val="0"/>
                  <w:vAlign w:val="center"/>
                </w:tcPr>
                <w:p w14:paraId="70FCBAB8">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禁止采用电镀、钝化、传统磷化工艺企业、包括电子器件和电路板生产制造，生产废水不能循环回用的企业入驻。</w:t>
                  </w:r>
                </w:p>
              </w:tc>
              <w:tc>
                <w:tcPr>
                  <w:tcW w:w="1708" w:type="pct"/>
                  <w:noWrap w:val="0"/>
                  <w:vAlign w:val="center"/>
                </w:tcPr>
                <w:p w14:paraId="355D5722">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本项目不属于采用电镀、钝化、传统磷化工艺企业、包括电子器件和电路板生产制造</w:t>
                  </w:r>
                  <w:r>
                    <w:rPr>
                      <w:rFonts w:hint="default" w:ascii="Times New Roman" w:hAnsi="Times New Roman" w:eastAsia="宋体" w:cs="Times New Roman"/>
                      <w:color w:val="auto"/>
                      <w:sz w:val="21"/>
                      <w:szCs w:val="21"/>
                      <w:highlight w:val="none"/>
                      <w:lang w:val="en-US" w:eastAsia="zh-CN"/>
                    </w:rPr>
                    <w:t>的企业</w:t>
                  </w:r>
                  <w:r>
                    <w:rPr>
                      <w:rFonts w:hint="default" w:ascii="Times New Roman" w:hAnsi="Times New Roman" w:eastAsia="宋体" w:cs="Times New Roman"/>
                      <w:color w:val="auto"/>
                      <w:sz w:val="21"/>
                      <w:szCs w:val="21"/>
                      <w:highlight w:val="none"/>
                    </w:rPr>
                    <w:t>。</w:t>
                  </w:r>
                </w:p>
              </w:tc>
              <w:tc>
                <w:tcPr>
                  <w:tcW w:w="441" w:type="pct"/>
                  <w:noWrap w:val="0"/>
                  <w:vAlign w:val="center"/>
                </w:tcPr>
                <w:p w14:paraId="5C708E74">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62AB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39" w:type="pct"/>
                  <w:vMerge w:val="continue"/>
                  <w:noWrap w:val="0"/>
                  <w:vAlign w:val="center"/>
                </w:tcPr>
                <w:p w14:paraId="7820E565">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p>
              </w:tc>
              <w:tc>
                <w:tcPr>
                  <w:tcW w:w="445" w:type="pct"/>
                  <w:noWrap w:val="0"/>
                  <w:vAlign w:val="center"/>
                </w:tcPr>
                <w:p w14:paraId="29506F95">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家居制造</w:t>
                  </w:r>
                </w:p>
              </w:tc>
              <w:tc>
                <w:tcPr>
                  <w:tcW w:w="2064" w:type="pct"/>
                  <w:noWrap w:val="0"/>
                  <w:vAlign w:val="center"/>
                </w:tcPr>
                <w:p w14:paraId="1EEA610D">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禁止采用传统制胶工艺，生产废水不能循环回用的企业入驻。</w:t>
                  </w:r>
                </w:p>
              </w:tc>
              <w:tc>
                <w:tcPr>
                  <w:tcW w:w="1708" w:type="pct"/>
                  <w:noWrap w:val="0"/>
                  <w:vAlign w:val="center"/>
                </w:tcPr>
                <w:p w14:paraId="2579DDDF">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不涉及传统制胶工艺</w:t>
                  </w:r>
                  <w:r>
                    <w:rPr>
                      <w:rFonts w:hint="default" w:ascii="Times New Roman" w:hAnsi="Times New Roman" w:eastAsia="宋体" w:cs="Times New Roman"/>
                      <w:color w:val="auto"/>
                      <w:sz w:val="21"/>
                      <w:szCs w:val="21"/>
                      <w:highlight w:val="none"/>
                    </w:rPr>
                    <w:t>。</w:t>
                  </w:r>
                </w:p>
              </w:tc>
              <w:tc>
                <w:tcPr>
                  <w:tcW w:w="441" w:type="pct"/>
                  <w:noWrap w:val="0"/>
                  <w:vAlign w:val="center"/>
                </w:tcPr>
                <w:p w14:paraId="186B570D">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bl>
          <w:p w14:paraId="0FA37C48">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4"/>
                <w:highlight w:val="none"/>
                <w:lang w:val="zh-CN" w:eastAsia="zh-CN"/>
              </w:rPr>
              <w:t>因此，本项目不属于工业园区负面清单规定的范围内，符合环境准入负面清单要求。</w:t>
            </w:r>
          </w:p>
        </w:tc>
      </w:tr>
      <w:tr w14:paraId="531BB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vAlign w:val="center"/>
          </w:tcPr>
          <w:p w14:paraId="7228DEF8">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2"/>
                <w:sz w:val="24"/>
                <w:szCs w:val="24"/>
                <w:highlight w:val="none"/>
                <w:shd w:val="clear" w:color="auto" w:fill="auto"/>
                <w:lang w:val="zh-CN" w:eastAsia="zh-CN" w:bidi="ar-SA"/>
              </w:rPr>
              <w:t>其他符合性分析</w:t>
            </w:r>
          </w:p>
        </w:tc>
        <w:tc>
          <w:tcPr>
            <w:tcW w:w="7718" w:type="dxa"/>
            <w:gridSpan w:val="3"/>
            <w:vAlign w:val="center"/>
          </w:tcPr>
          <w:p w14:paraId="33B37AEE">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1、项目与“三线一单”的相符性分析</w:t>
            </w:r>
          </w:p>
          <w:p w14:paraId="0DFEA5D7">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b w:val="0"/>
                <w:bCs/>
                <w:color w:val="auto"/>
                <w:sz w:val="24"/>
                <w:szCs w:val="24"/>
                <w:highlight w:val="none"/>
                <w:lang w:val="en-US" w:eastAsia="zh-CN"/>
              </w:rPr>
            </w:pPr>
            <w:r>
              <w:rPr>
                <w:rFonts w:hint="eastAsia" w:ascii="Times New Roman" w:hAnsi="Times New Roman" w:eastAsia="宋体" w:cs="Times New Roman"/>
                <w:b/>
                <w:bCs/>
                <w:color w:val="auto"/>
                <w:kern w:val="0"/>
                <w:sz w:val="24"/>
                <w:highlight w:val="none"/>
                <w:lang w:val="en-US" w:eastAsia="zh-CN"/>
              </w:rPr>
              <w:t>（1）生态保护红线</w:t>
            </w:r>
          </w:p>
          <w:p w14:paraId="490833E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bookmarkStart w:id="8" w:name="_Toc23245_WPSOffice_Level2"/>
            <w:bookmarkStart w:id="9" w:name="_Toc1982"/>
            <w:bookmarkStart w:id="10" w:name="_Toc1606"/>
            <w:r>
              <w:rPr>
                <w:rFonts w:hint="default"/>
                <w:color w:val="auto"/>
                <w:sz w:val="24"/>
                <w:highlight w:val="none"/>
                <w:lang w:val="zh-CN"/>
              </w:rPr>
              <w:t>根据《云南省人民政府关于发布云南省生态保护红线的通知》云政发[2018]32号和《云南省人民政府关于实施“三线一单”生态环境分区管控的意见》云政发（2020）29号文，</w:t>
            </w:r>
            <w:r>
              <w:rPr>
                <w:rFonts w:hint="eastAsia"/>
                <w:color w:val="auto"/>
                <w:sz w:val="24"/>
                <w:highlight w:val="none"/>
              </w:rPr>
              <w:t>经</w:t>
            </w:r>
            <w:r>
              <w:rPr>
                <w:rFonts w:hint="default"/>
                <w:color w:val="auto"/>
                <w:sz w:val="24"/>
                <w:highlight w:val="none"/>
                <w:lang w:val="zh-CN"/>
              </w:rPr>
              <w:t>查阅《云南省生态保护红线分布图》可知，</w:t>
            </w:r>
            <w:r>
              <w:rPr>
                <w:rFonts w:hint="eastAsia"/>
                <w:color w:val="auto"/>
                <w:sz w:val="24"/>
                <w:highlight w:val="none"/>
                <w:lang w:val="zh-CN"/>
              </w:rPr>
              <w:t>本</w:t>
            </w:r>
            <w:r>
              <w:rPr>
                <w:rFonts w:hint="default"/>
                <w:color w:val="auto"/>
                <w:sz w:val="24"/>
                <w:highlight w:val="none"/>
                <w:lang w:val="zh-CN"/>
              </w:rPr>
              <w:t>项目位于云南省昆明市寻甸县特色产业园区</w:t>
            </w:r>
            <w:r>
              <w:rPr>
                <w:rFonts w:hint="eastAsia"/>
                <w:color w:val="auto"/>
                <w:sz w:val="24"/>
                <w:highlight w:val="none"/>
                <w:lang w:val="en-US" w:eastAsia="zh-CN"/>
              </w:rPr>
              <w:t>羊街</w:t>
            </w:r>
            <w:r>
              <w:rPr>
                <w:rFonts w:hint="default"/>
                <w:color w:val="auto"/>
                <w:sz w:val="24"/>
                <w:highlight w:val="none"/>
                <w:lang w:val="zh-CN"/>
              </w:rPr>
              <w:t>片区</w:t>
            </w:r>
            <w:r>
              <w:rPr>
                <w:rFonts w:hint="eastAsia"/>
                <w:color w:val="auto"/>
                <w:sz w:val="24"/>
                <w:highlight w:val="none"/>
                <w:lang w:val="zh-CN"/>
              </w:rPr>
              <w:t>，</w:t>
            </w:r>
            <w:r>
              <w:rPr>
                <w:rFonts w:hint="default"/>
                <w:color w:val="auto"/>
                <w:sz w:val="24"/>
                <w:highlight w:val="none"/>
                <w:lang w:val="zh-CN"/>
              </w:rPr>
              <w:t>属规划的工业用地，不在生态红线范围内，项目符合生态保护红线的相关要求</w:t>
            </w:r>
            <w:r>
              <w:rPr>
                <w:rFonts w:hint="default"/>
                <w:color w:val="auto"/>
                <w:kern w:val="0"/>
                <w:sz w:val="24"/>
                <w:highlight w:val="none"/>
              </w:rPr>
              <w:t>。</w:t>
            </w:r>
          </w:p>
          <w:p w14:paraId="6A975BC4">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（2）环境质量底线</w:t>
            </w:r>
            <w:bookmarkEnd w:id="8"/>
            <w:bookmarkEnd w:id="9"/>
            <w:bookmarkEnd w:id="10"/>
          </w:p>
          <w:p w14:paraId="24F13B53">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zh-CN" w:eastAsia="zh-CN" w:bidi="ar-SA"/>
              </w:rPr>
            </w:pPr>
            <w:r>
              <w:rPr>
                <w:rFonts w:hint="default" w:ascii="Times New Roman" w:hAnsi="Times New Roman" w:eastAsia="宋体" w:cs="Times New Roman"/>
                <w:color w:val="auto"/>
                <w:kern w:val="2"/>
                <w:sz w:val="24"/>
                <w:szCs w:val="24"/>
                <w:highlight w:val="none"/>
                <w:shd w:val="clear" w:color="auto" w:fill="auto"/>
                <w:lang w:val="zh-CN" w:eastAsia="zh-CN" w:bidi="ar-SA"/>
              </w:rPr>
              <w:t>本项目建设排放的废气均经过有效治理，实现达标排放，满足区域环境质量要求，不会改变区域大气环境功能区划；</w:t>
            </w:r>
            <w:bookmarkStart w:id="11" w:name="_Toc26817"/>
            <w:bookmarkStart w:id="12" w:name="_Toc29669_WPSOffice_Level2"/>
            <w:bookmarkStart w:id="13" w:name="_Toc1694"/>
            <w:r>
              <w:rPr>
                <w:rFonts w:hint="default" w:ascii="Times New Roman" w:hAnsi="Times New Roman" w:eastAsia="宋体" w:cs="Times New Roman"/>
                <w:color w:val="auto"/>
                <w:kern w:val="2"/>
                <w:sz w:val="24"/>
                <w:szCs w:val="24"/>
                <w:highlight w:val="none"/>
                <w:shd w:val="clear" w:color="auto" w:fill="auto"/>
                <w:lang w:val="zh-CN" w:eastAsia="zh-CN" w:bidi="ar-SA"/>
              </w:rPr>
              <w:t>本项目生产废水</w:t>
            </w:r>
            <w:r>
              <w:rPr>
                <w:rFonts w:hint="eastAsia"/>
                <w:color w:val="auto"/>
                <w:sz w:val="24"/>
                <w:szCs w:val="24"/>
                <w:highlight w:val="none"/>
                <w:lang w:val="en-US" w:eastAsia="zh-CN"/>
              </w:rPr>
              <w:t>项</w:t>
            </w:r>
            <w:r>
              <w:rPr>
                <w:rFonts w:hint="eastAsia" w:cs="Times New Roman"/>
                <w:color w:val="auto"/>
                <w:kern w:val="2"/>
                <w:sz w:val="24"/>
                <w:szCs w:val="24"/>
                <w:highlight w:val="none"/>
                <w:lang w:val="en-US" w:eastAsia="zh-CN" w:bidi="ar-SA"/>
              </w:rPr>
              <w:t>经收集后统一进入调节池、生产废水处理设施处理达标后回用于水洗补水，不外排</w:t>
            </w:r>
            <w:r>
              <w:rPr>
                <w:rFonts w:hint="eastAsia" w:ascii="Times New Roman" w:hAnsi="Times New Roman" w:cs="Times New Roman"/>
                <w:color w:val="auto"/>
                <w:kern w:val="2"/>
                <w:sz w:val="24"/>
                <w:szCs w:val="24"/>
                <w:highlight w:val="none"/>
                <w:shd w:val="clear" w:color="auto" w:fill="auto"/>
                <w:lang w:val="zh-CN" w:eastAsia="zh-CN" w:bidi="ar-SA"/>
              </w:rPr>
              <w:t>；</w:t>
            </w:r>
            <w:r>
              <w:rPr>
                <w:rFonts w:hint="default" w:ascii="Times New Roman" w:hAnsi="Times New Roman" w:eastAsia="宋体" w:cs="Times New Roman"/>
                <w:color w:val="auto"/>
                <w:kern w:val="2"/>
                <w:sz w:val="24"/>
                <w:szCs w:val="24"/>
                <w:highlight w:val="none"/>
                <w:shd w:val="clear" w:color="auto" w:fill="auto"/>
                <w:lang w:val="zh-CN" w:eastAsia="zh-CN" w:bidi="ar-SA"/>
              </w:rPr>
              <w:t>生活污水经</w:t>
            </w:r>
            <w:r>
              <w:rPr>
                <w:rFonts w:hint="eastAsia" w:ascii="Times New Roman" w:hAnsi="Times New Roman" w:cs="Times New Roman"/>
                <w:color w:val="auto"/>
                <w:kern w:val="2"/>
                <w:sz w:val="24"/>
                <w:szCs w:val="24"/>
                <w:highlight w:val="none"/>
                <w:shd w:val="clear" w:color="auto" w:fill="auto"/>
                <w:lang w:val="zh-CN" w:eastAsia="zh-CN" w:bidi="ar-SA"/>
              </w:rPr>
              <w:t>原项目自建生活污水处理设施</w:t>
            </w:r>
            <w:r>
              <w:rPr>
                <w:rFonts w:hint="default" w:ascii="Times New Roman" w:hAnsi="Times New Roman" w:eastAsia="宋体" w:cs="Times New Roman"/>
                <w:color w:val="auto"/>
                <w:kern w:val="2"/>
                <w:sz w:val="24"/>
                <w:szCs w:val="24"/>
                <w:highlight w:val="none"/>
                <w:shd w:val="clear" w:color="auto" w:fill="auto"/>
                <w:lang w:val="zh-CN" w:eastAsia="zh-CN" w:bidi="ar-SA"/>
              </w:rPr>
              <w:t>处理达标后，</w:t>
            </w:r>
            <w:r>
              <w:rPr>
                <w:rFonts w:hint="eastAsia" w:ascii="Times New Roman" w:hAnsi="Times New Roman" w:cs="Times New Roman"/>
                <w:color w:val="auto"/>
                <w:kern w:val="2"/>
                <w:sz w:val="24"/>
                <w:szCs w:val="24"/>
                <w:highlight w:val="none"/>
                <w:shd w:val="clear" w:color="auto" w:fill="auto"/>
                <w:lang w:val="zh-CN" w:eastAsia="zh-CN" w:bidi="ar-SA"/>
              </w:rPr>
              <w:t>回</w:t>
            </w:r>
            <w:r>
              <w:rPr>
                <w:rFonts w:hint="default" w:ascii="Times New Roman" w:hAnsi="Times New Roman" w:eastAsia="宋体" w:cs="Times New Roman"/>
                <w:color w:val="auto"/>
                <w:kern w:val="2"/>
                <w:sz w:val="24"/>
                <w:szCs w:val="24"/>
                <w:highlight w:val="none"/>
                <w:shd w:val="clear" w:color="auto" w:fill="auto"/>
                <w:lang w:val="zh-CN" w:eastAsia="zh-CN" w:bidi="ar-SA"/>
              </w:rPr>
              <w:t>用于</w:t>
            </w:r>
            <w:r>
              <w:rPr>
                <w:rFonts w:hint="eastAsia" w:ascii="Times New Roman" w:hAnsi="Times New Roman" w:cs="Times New Roman"/>
                <w:color w:val="auto"/>
                <w:kern w:val="2"/>
                <w:sz w:val="24"/>
                <w:szCs w:val="24"/>
                <w:highlight w:val="none"/>
                <w:shd w:val="clear" w:color="auto" w:fill="auto"/>
                <w:lang w:val="zh-CN" w:eastAsia="zh-CN" w:bidi="ar-SA"/>
              </w:rPr>
              <w:t>项目区绿化和道路广场浇洒</w:t>
            </w:r>
            <w:r>
              <w:rPr>
                <w:rFonts w:hint="default" w:ascii="Times New Roman" w:hAnsi="Times New Roman" w:eastAsia="宋体" w:cs="Times New Roman"/>
                <w:color w:val="auto"/>
                <w:kern w:val="2"/>
                <w:sz w:val="24"/>
                <w:szCs w:val="24"/>
                <w:highlight w:val="none"/>
                <w:shd w:val="clear" w:color="auto" w:fill="auto"/>
                <w:lang w:val="zh-CN" w:eastAsia="zh-CN" w:bidi="ar-SA"/>
              </w:rPr>
              <w:t>，不外排，不会对区域地表水环境造成影响，不会改变区域地表水环境功能区划；项目运营期产生的噪声可实现厂界达标排放，满足声环境质量要求，不会改变区域声环境功能区划；项目运营期产生的固体废物均可得到有效、妥善的处理处置，不会形成二次污染。综上，本项目建设符合环境质量底线要求，不会对区域环境质量造成明显影响。</w:t>
            </w:r>
          </w:p>
          <w:p w14:paraId="536797D8">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（3）资源利用上</w:t>
            </w:r>
            <w:r>
              <w:rPr>
                <w:rFonts w:hint="eastAsia" w:cs="Times New Roman"/>
                <w:b/>
                <w:bCs/>
                <w:color w:val="auto"/>
                <w:kern w:val="0"/>
                <w:sz w:val="24"/>
                <w:highlight w:val="none"/>
                <w:lang w:val="en-US" w:eastAsia="zh-CN"/>
              </w:rPr>
              <w:t>限</w:t>
            </w:r>
            <w:bookmarkEnd w:id="11"/>
            <w:bookmarkEnd w:id="12"/>
            <w:bookmarkEnd w:id="13"/>
          </w:p>
          <w:p w14:paraId="476F6EE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本项目所需资源主要为土地资源、水资源</w:t>
            </w:r>
            <w:r>
              <w:rPr>
                <w:rFonts w:hint="eastAsia" w:cs="Times New Roman"/>
                <w:color w:val="auto"/>
                <w:sz w:val="24"/>
                <w:szCs w:val="24"/>
                <w:highlight w:val="none"/>
                <w:lang w:val="en-US" w:eastAsia="zh-CN"/>
              </w:rPr>
              <w:t>和电能</w:t>
            </w:r>
            <w:r>
              <w:rPr>
                <w:rFonts w:hint="default" w:ascii="Times New Roman" w:hAnsi="Times New Roman" w:eastAsia="宋体" w:cs="Times New Roman"/>
                <w:color w:val="auto"/>
                <w:sz w:val="24"/>
                <w:szCs w:val="24"/>
                <w:highlight w:val="none"/>
                <w:lang w:val="en-US" w:eastAsia="zh-CN"/>
              </w:rPr>
              <w:t>等，根据本项目</w:t>
            </w:r>
            <w:r>
              <w:rPr>
                <w:rFonts w:hint="eastAsia" w:cs="Times New Roman"/>
                <w:color w:val="auto"/>
                <w:sz w:val="24"/>
                <w:szCs w:val="24"/>
                <w:highlight w:val="none"/>
                <w:lang w:val="en-US" w:eastAsia="zh-CN"/>
              </w:rPr>
              <w:t>土地使用证</w:t>
            </w:r>
            <w:r>
              <w:rPr>
                <w:rFonts w:hint="default" w:ascii="Times New Roman" w:hAnsi="Times New Roman" w:eastAsia="宋体" w:cs="Times New Roman"/>
                <w:color w:val="auto"/>
                <w:sz w:val="24"/>
                <w:szCs w:val="24"/>
                <w:highlight w:val="none"/>
                <w:lang w:val="en-US" w:eastAsia="zh-CN"/>
              </w:rPr>
              <w:t>（详见附件</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），项目用地类型为工业用地，</w:t>
            </w:r>
            <w:r>
              <w:rPr>
                <w:rFonts w:hint="eastAsia" w:cs="Times New Roman"/>
                <w:color w:val="auto"/>
                <w:sz w:val="24"/>
                <w:szCs w:val="24"/>
                <w:highlight w:val="none"/>
                <w:lang w:val="en-US" w:eastAsia="zh-CN"/>
              </w:rPr>
              <w:t>且在原有用地基础上建设，</w:t>
            </w:r>
            <w:r>
              <w:rPr>
                <w:rFonts w:hint="default" w:ascii="Times New Roman" w:hAnsi="Times New Roman" w:eastAsia="宋体" w:cs="Times New Roman"/>
                <w:color w:val="auto"/>
                <w:sz w:val="24"/>
                <w:szCs w:val="24"/>
                <w:highlight w:val="none"/>
                <w:lang w:val="en-US" w:eastAsia="zh-CN"/>
              </w:rPr>
              <w:t>不涉及新增用地；项目用水由市政供给，用水量较小</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不会给资源利用带来明显的压力</w:t>
            </w:r>
            <w:r>
              <w:rPr>
                <w:rFonts w:hint="eastAsia" w:cs="Times New Roman"/>
                <w:color w:val="auto"/>
                <w:sz w:val="24"/>
                <w:szCs w:val="24"/>
                <w:highlight w:val="none"/>
                <w:lang w:val="en-US" w:eastAsia="zh-CN"/>
              </w:rPr>
              <w:t>；电能</w:t>
            </w:r>
            <w:r>
              <w:rPr>
                <w:rFonts w:hint="default" w:ascii="Times New Roman" w:hAnsi="Times New Roman" w:eastAsia="宋体" w:cs="Times New Roman"/>
                <w:color w:val="auto"/>
                <w:sz w:val="24"/>
                <w:szCs w:val="24"/>
                <w:highlight w:val="none"/>
                <w:lang w:val="en-US" w:eastAsia="zh-CN"/>
              </w:rPr>
              <w:t>资源消耗量相对于区域资源利用总量较少，符合资源利用上</w:t>
            </w:r>
            <w:r>
              <w:rPr>
                <w:rFonts w:hint="eastAsia" w:cs="Times New Roman"/>
                <w:color w:val="auto"/>
                <w:sz w:val="24"/>
                <w:szCs w:val="24"/>
                <w:highlight w:val="none"/>
                <w:lang w:val="en-US" w:eastAsia="zh-CN"/>
              </w:rPr>
              <w:t>限</w:t>
            </w:r>
            <w:r>
              <w:rPr>
                <w:rFonts w:hint="default" w:ascii="Times New Roman" w:hAnsi="Times New Roman" w:eastAsia="宋体" w:cs="Times New Roman"/>
                <w:color w:val="auto"/>
                <w:sz w:val="24"/>
                <w:szCs w:val="24"/>
                <w:highlight w:val="none"/>
                <w:lang w:val="en-US" w:eastAsia="zh-CN"/>
              </w:rPr>
              <w:t>要求。</w:t>
            </w:r>
          </w:p>
          <w:p w14:paraId="297B1CFE">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highlight w:val="none"/>
                <w:lang w:val="en-US" w:eastAsia="zh-CN"/>
              </w:rPr>
            </w:pPr>
            <w:bookmarkStart w:id="14" w:name="_Toc22471"/>
            <w:bookmarkStart w:id="15" w:name="_Toc1404"/>
            <w:bookmarkStart w:id="16" w:name="_Toc30833_WPSOffice_Level2"/>
            <w:r>
              <w:rPr>
                <w:rFonts w:hint="default" w:ascii="Times New Roman" w:hAnsi="Times New Roman" w:eastAsia="宋体" w:cs="Times New Roman"/>
                <w:b/>
                <w:bCs/>
                <w:color w:val="auto"/>
                <w:kern w:val="0"/>
                <w:sz w:val="24"/>
                <w:highlight w:val="none"/>
                <w:lang w:val="en-US" w:eastAsia="zh-CN"/>
              </w:rPr>
              <w:t>（4）环境准入负面清单</w:t>
            </w:r>
            <w:bookmarkEnd w:id="14"/>
            <w:bookmarkEnd w:id="15"/>
            <w:bookmarkEnd w:id="16"/>
          </w:p>
          <w:p w14:paraId="03D9D7AC">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项目不属于产业政策指导名录中的淘汰、限制类，不属于规划环评准入负面清单、长江经济带负面清单中的禁止、限制行业，项目采取环境保护措施后，废气、噪声均可达标排放，生产废水</w:t>
            </w:r>
            <w:r>
              <w:rPr>
                <w:rFonts w:hint="eastAsia" w:cs="Times New Roman"/>
                <w:color w:val="auto"/>
                <w:kern w:val="2"/>
                <w:sz w:val="24"/>
                <w:szCs w:val="24"/>
                <w:highlight w:val="none"/>
                <w:lang w:val="en-US" w:eastAsia="zh-CN" w:bidi="ar-SA"/>
              </w:rPr>
              <w:t>经收集后统一进入调节池、生产废水处理设施处理达标后回用于水洗补水，不外排</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生活</w:t>
            </w:r>
            <w:r>
              <w:rPr>
                <w:rFonts w:hint="eastAsia" w:cs="Times New Roman"/>
                <w:color w:val="auto"/>
                <w:sz w:val="24"/>
                <w:szCs w:val="24"/>
                <w:highlight w:val="none"/>
                <w:lang w:val="en-US" w:eastAsia="zh-CN"/>
              </w:rPr>
              <w:t>污水</w:t>
            </w:r>
            <w:r>
              <w:rPr>
                <w:rFonts w:hint="default" w:ascii="Times New Roman" w:hAnsi="Times New Roman" w:eastAsia="宋体" w:cs="Times New Roman"/>
                <w:color w:val="auto"/>
                <w:sz w:val="24"/>
                <w:szCs w:val="24"/>
                <w:highlight w:val="none"/>
                <w:lang w:val="en-US" w:eastAsia="zh-CN"/>
              </w:rPr>
              <w:t>经</w:t>
            </w:r>
            <w:r>
              <w:rPr>
                <w:rFonts w:hint="eastAsia" w:cs="Times New Roman"/>
                <w:color w:val="auto"/>
                <w:sz w:val="24"/>
                <w:szCs w:val="24"/>
                <w:highlight w:val="none"/>
                <w:lang w:val="en-US" w:eastAsia="zh-CN"/>
              </w:rPr>
              <w:t>原项目自建生活污水处理设施</w:t>
            </w:r>
            <w:r>
              <w:rPr>
                <w:rFonts w:hint="default" w:ascii="Times New Roman" w:hAnsi="Times New Roman" w:eastAsia="宋体" w:cs="Times New Roman"/>
                <w:color w:val="auto"/>
                <w:sz w:val="24"/>
                <w:szCs w:val="24"/>
                <w:highlight w:val="none"/>
                <w:lang w:val="en-US" w:eastAsia="zh-CN"/>
              </w:rPr>
              <w:t>处理达标后</w:t>
            </w:r>
            <w:r>
              <w:rPr>
                <w:rFonts w:hint="eastAsia" w:cs="Times New Roman"/>
                <w:color w:val="auto"/>
                <w:sz w:val="24"/>
                <w:szCs w:val="24"/>
                <w:highlight w:val="none"/>
                <w:lang w:val="en-US" w:eastAsia="zh-CN"/>
              </w:rPr>
              <w:t>回</w:t>
            </w:r>
            <w:r>
              <w:rPr>
                <w:rFonts w:hint="default" w:ascii="Times New Roman" w:hAnsi="Times New Roman" w:eastAsia="宋体" w:cs="Times New Roman"/>
                <w:color w:val="auto"/>
                <w:sz w:val="24"/>
                <w:szCs w:val="24"/>
                <w:highlight w:val="none"/>
                <w:lang w:val="en-US" w:eastAsia="zh-CN"/>
              </w:rPr>
              <w:t>用于</w:t>
            </w:r>
            <w:r>
              <w:rPr>
                <w:rFonts w:hint="eastAsia" w:cs="Times New Roman"/>
                <w:color w:val="auto"/>
                <w:sz w:val="24"/>
                <w:szCs w:val="24"/>
                <w:highlight w:val="none"/>
                <w:lang w:val="en-US" w:eastAsia="zh-CN"/>
              </w:rPr>
              <w:t>项目区</w:t>
            </w:r>
            <w:r>
              <w:rPr>
                <w:rFonts w:hint="default" w:ascii="Times New Roman" w:hAnsi="Times New Roman" w:eastAsia="宋体" w:cs="Times New Roman"/>
                <w:color w:val="auto"/>
                <w:sz w:val="24"/>
                <w:szCs w:val="24"/>
                <w:highlight w:val="none"/>
                <w:lang w:val="en-US" w:eastAsia="zh-CN"/>
              </w:rPr>
              <w:t>绿化及</w:t>
            </w:r>
            <w:r>
              <w:rPr>
                <w:rFonts w:hint="eastAsia" w:cs="Times New Roman"/>
                <w:color w:val="auto"/>
                <w:sz w:val="24"/>
                <w:szCs w:val="24"/>
                <w:highlight w:val="none"/>
                <w:lang w:val="en-US" w:eastAsia="zh-CN"/>
              </w:rPr>
              <w:t>道路广场浇洒</w:t>
            </w:r>
            <w:r>
              <w:rPr>
                <w:rFonts w:hint="default" w:ascii="Times New Roman" w:hAnsi="Times New Roman" w:eastAsia="宋体" w:cs="Times New Roman"/>
                <w:color w:val="auto"/>
                <w:sz w:val="24"/>
                <w:szCs w:val="24"/>
                <w:highlight w:val="none"/>
                <w:lang w:val="en-US" w:eastAsia="zh-CN"/>
              </w:rPr>
              <w:t>，固体废物能够得到</w:t>
            </w:r>
            <w:r>
              <w:rPr>
                <w:rFonts w:hint="eastAsia"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合理处置，不会产生二次污染。</w:t>
            </w:r>
          </w:p>
          <w:p w14:paraId="73D0299A">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2</w:t>
            </w:r>
            <w:r>
              <w:rPr>
                <w:rFonts w:hint="eastAsia" w:ascii="Times New Roman" w:hAnsi="Times New Roman" w:cs="Times New Roman"/>
                <w:b/>
                <w:bCs w:val="0"/>
                <w:color w:val="auto"/>
                <w:sz w:val="24"/>
                <w:szCs w:val="24"/>
                <w:highlight w:val="none"/>
                <w:lang w:val="en-US" w:eastAsia="zh-CN"/>
              </w:rPr>
              <w:t>、</w:t>
            </w:r>
            <w:r>
              <w:rPr>
                <w:rFonts w:hint="default" w:ascii="Times New Roman" w:hAnsi="Times New Roman" w:cs="Times New Roman"/>
                <w:b/>
                <w:bCs w:val="0"/>
                <w:color w:val="auto"/>
                <w:sz w:val="24"/>
                <w:szCs w:val="24"/>
                <w:highlight w:val="none"/>
                <w:lang w:val="en-US" w:eastAsia="zh-CN"/>
              </w:rPr>
              <w:t>与昆明市人民政府关于昆明市“三线一单”生态环境分区管控的 实施意见相符性分析</w:t>
            </w:r>
          </w:p>
          <w:p w14:paraId="5925354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本项目位于云南省昆明市寻甸特色产业园区羊街片区，属于重点管控单元。</w:t>
            </w:r>
            <w:r>
              <w:rPr>
                <w:rFonts w:hint="default" w:ascii="Times New Roman" w:hAnsi="Times New Roman" w:eastAsia="宋体" w:cs="Times New Roman"/>
                <w:color w:val="auto"/>
                <w:sz w:val="24"/>
                <w:szCs w:val="24"/>
                <w:highlight w:val="none"/>
                <w:lang w:val="en-US" w:eastAsia="zh-CN"/>
              </w:rPr>
              <w:t>根据《昆明市人民政府关于实施“三线一单”生态环境分区管控的意见》 (昆政发[2021]21号) ，本项目与生态环境分区管控的意见相符性分析如下。</w:t>
            </w:r>
          </w:p>
          <w:p w14:paraId="5DB1EC9E">
            <w:pPr>
              <w:pStyle w:val="9"/>
              <w:keepNext w:val="0"/>
              <w:keepLines w:val="0"/>
              <w:suppressLineNumbers w:val="0"/>
              <w:spacing w:beforeAutospacing="0" w:afterAutospacing="0"/>
              <w:ind w:lef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表</w:t>
            </w:r>
            <w:r>
              <w:rPr>
                <w:rFonts w:hint="default" w:ascii="Times New Roman" w:hAnsi="Times New Roman" w:cs="Times New Roman" w:eastAsiaTheme="minorEastAsia"/>
                <w:b/>
                <w:bCs/>
                <w:color w:val="auto"/>
                <w:sz w:val="21"/>
                <w:szCs w:val="21"/>
                <w:highlight w:val="none"/>
                <w:lang w:val="en-US" w:eastAsia="zh-CN"/>
              </w:rPr>
              <w:t>1-5</w:t>
            </w:r>
            <w:r>
              <w:rPr>
                <w:rFonts w:hint="eastAsia" w:asciiTheme="minorEastAsia" w:hAnsiTheme="minorEastAsia" w:eastAsiaTheme="minorEastAsia" w:cstheme="minorEastAsia"/>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val="en-US" w:eastAsia="zh-CN"/>
              </w:rPr>
              <w:t>昆明市“三线一单”相符性分析</w:t>
            </w:r>
          </w:p>
          <w:tbl>
            <w:tblPr>
              <w:tblStyle w:val="26"/>
              <w:tblW w:w="7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655"/>
              <w:gridCol w:w="416"/>
              <w:gridCol w:w="2305"/>
              <w:gridCol w:w="3375"/>
              <w:gridCol w:w="440"/>
            </w:tblGrid>
            <w:tr w14:paraId="03FF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80" w:type="pct"/>
                  <w:gridSpan w:val="2"/>
                  <w:noWrap w:val="0"/>
                  <w:vAlign w:val="center"/>
                </w:tcPr>
                <w:p w14:paraId="7139041A">
                  <w:pPr>
                    <w:keepNext w:val="0"/>
                    <w:keepLines w:val="0"/>
                    <w:suppressLineNumbers w:val="0"/>
                    <w:bidi w:val="0"/>
                    <w:spacing w:before="0" w:beforeAutospacing="0" w:after="0" w:afterAutospacing="0"/>
                    <w:ind w:left="0" w:right="0"/>
                    <w:jc w:val="center"/>
                    <w:outlineLvl w:val="9"/>
                    <w:rPr>
                      <w:rFonts w:hint="default"/>
                      <w:b/>
                      <w:bCs/>
                      <w:color w:val="auto"/>
                      <w:sz w:val="21"/>
                      <w:szCs w:val="21"/>
                      <w:highlight w:val="none"/>
                      <w:lang w:val="en-US" w:eastAsia="zh-CN"/>
                    </w:rPr>
                  </w:pPr>
                  <w:r>
                    <w:rPr>
                      <w:rFonts w:hint="eastAsia"/>
                      <w:b/>
                      <w:bCs/>
                      <w:color w:val="auto"/>
                      <w:sz w:val="21"/>
                      <w:szCs w:val="21"/>
                      <w:highlight w:val="none"/>
                      <w:lang w:val="en-US" w:eastAsia="zh-CN"/>
                    </w:rPr>
                    <w:t>类别</w:t>
                  </w:r>
                </w:p>
              </w:tc>
              <w:tc>
                <w:tcPr>
                  <w:tcW w:w="1798" w:type="pct"/>
                  <w:gridSpan w:val="2"/>
                  <w:noWrap w:val="0"/>
                  <w:vAlign w:val="center"/>
                </w:tcPr>
                <w:p w14:paraId="22C7658D">
                  <w:pPr>
                    <w:keepNext w:val="0"/>
                    <w:keepLines w:val="0"/>
                    <w:suppressLineNumbers w:val="0"/>
                    <w:bidi w:val="0"/>
                    <w:spacing w:before="0" w:beforeAutospacing="0" w:after="0" w:afterAutospacing="0"/>
                    <w:ind w:left="0" w:right="0"/>
                    <w:jc w:val="center"/>
                    <w:outlineLvl w:val="9"/>
                    <w:rPr>
                      <w:rFonts w:hint="default"/>
                      <w:b/>
                      <w:bCs/>
                      <w:color w:val="auto"/>
                      <w:sz w:val="21"/>
                      <w:szCs w:val="21"/>
                      <w:highlight w:val="none"/>
                      <w:lang w:val="en-US" w:eastAsia="zh-CN"/>
                    </w:rPr>
                  </w:pPr>
                  <w:r>
                    <w:rPr>
                      <w:rFonts w:hint="eastAsia"/>
                      <w:b/>
                      <w:bCs/>
                      <w:color w:val="auto"/>
                      <w:sz w:val="21"/>
                      <w:szCs w:val="21"/>
                      <w:highlight w:val="none"/>
                      <w:lang w:val="en-US" w:eastAsia="zh-CN"/>
                    </w:rPr>
                    <w:t>文件要求</w:t>
                  </w:r>
                </w:p>
              </w:tc>
              <w:tc>
                <w:tcPr>
                  <w:tcW w:w="2230" w:type="pct"/>
                  <w:noWrap w:val="0"/>
                  <w:vAlign w:val="center"/>
                </w:tcPr>
                <w:p w14:paraId="52AA9C54">
                  <w:pPr>
                    <w:keepNext w:val="0"/>
                    <w:keepLines w:val="0"/>
                    <w:suppressLineNumbers w:val="0"/>
                    <w:bidi w:val="0"/>
                    <w:spacing w:before="0" w:beforeAutospacing="0" w:after="0" w:afterAutospacing="0"/>
                    <w:ind w:left="0" w:right="0"/>
                    <w:jc w:val="center"/>
                    <w:outlineLvl w:val="9"/>
                    <w:rPr>
                      <w:rFonts w:hint="default"/>
                      <w:b/>
                      <w:bCs/>
                      <w:color w:val="auto"/>
                      <w:sz w:val="21"/>
                      <w:szCs w:val="21"/>
                      <w:highlight w:val="none"/>
                      <w:lang w:val="en-US" w:eastAsia="zh-CN"/>
                    </w:rPr>
                  </w:pPr>
                  <w:r>
                    <w:rPr>
                      <w:rFonts w:hint="eastAsia"/>
                      <w:b/>
                      <w:bCs/>
                      <w:color w:val="auto"/>
                      <w:sz w:val="21"/>
                      <w:szCs w:val="21"/>
                      <w:highlight w:val="none"/>
                      <w:lang w:val="en-US" w:eastAsia="zh-CN"/>
                    </w:rPr>
                    <w:t>相符性分析</w:t>
                  </w:r>
                </w:p>
              </w:tc>
              <w:tc>
                <w:tcPr>
                  <w:tcW w:w="290" w:type="pct"/>
                  <w:noWrap w:val="0"/>
                  <w:vAlign w:val="center"/>
                </w:tcPr>
                <w:p w14:paraId="5FF55D08">
                  <w:pPr>
                    <w:keepNext w:val="0"/>
                    <w:keepLines w:val="0"/>
                    <w:suppressLineNumbers w:val="0"/>
                    <w:bidi w:val="0"/>
                    <w:spacing w:before="0" w:beforeAutospacing="0" w:after="0" w:afterAutospacing="0"/>
                    <w:ind w:left="0" w:right="0"/>
                    <w:jc w:val="center"/>
                    <w:outlineLvl w:val="9"/>
                    <w:rPr>
                      <w:rFonts w:hint="default"/>
                      <w:b/>
                      <w:bCs/>
                      <w:color w:val="auto"/>
                      <w:sz w:val="21"/>
                      <w:szCs w:val="21"/>
                      <w:highlight w:val="none"/>
                      <w:lang w:val="en-US" w:eastAsia="zh-CN"/>
                    </w:rPr>
                  </w:pPr>
                  <w:r>
                    <w:rPr>
                      <w:rFonts w:hint="eastAsia"/>
                      <w:b/>
                      <w:bCs/>
                      <w:color w:val="auto"/>
                      <w:sz w:val="21"/>
                      <w:szCs w:val="21"/>
                      <w:highlight w:val="none"/>
                      <w:lang w:val="en-US" w:eastAsia="zh-CN"/>
                    </w:rPr>
                    <w:t>符合性</w:t>
                  </w:r>
                </w:p>
              </w:tc>
            </w:tr>
            <w:tr w14:paraId="40FD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gridSpan w:val="2"/>
                  <w:noWrap w:val="0"/>
                  <w:vAlign w:val="center"/>
                </w:tcPr>
                <w:p w14:paraId="1C34931F">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生态保护红线</w:t>
                  </w:r>
                </w:p>
              </w:tc>
              <w:tc>
                <w:tcPr>
                  <w:tcW w:w="1798" w:type="pct"/>
                  <w:gridSpan w:val="2"/>
                  <w:noWrap w:val="0"/>
                  <w:vAlign w:val="center"/>
                </w:tcPr>
                <w:p w14:paraId="7001FE34">
                  <w:pPr>
                    <w:keepNext w:val="0"/>
                    <w:keepLines w:val="0"/>
                    <w:widowControl/>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tc>
              <w:tc>
                <w:tcPr>
                  <w:tcW w:w="2230" w:type="pct"/>
                  <w:noWrap w:val="0"/>
                  <w:vAlign w:val="center"/>
                </w:tcPr>
                <w:p w14:paraId="0A89A297">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default" w:eastAsia="Times New Roman"/>
                      <w:color w:val="auto"/>
                      <w:sz w:val="21"/>
                      <w:szCs w:val="21"/>
                      <w:highlight w:val="none"/>
                      <w:lang w:val="zh-CN"/>
                    </w:rPr>
                    <w:t>本项目建设地点位于云南省</w:t>
                  </w:r>
                  <w:r>
                    <w:rPr>
                      <w:rFonts w:hint="default" w:ascii="Times New Roman" w:hAnsi="Times New Roman" w:eastAsia="Times New Roman" w:cs="Times New Roman"/>
                      <w:color w:val="auto"/>
                      <w:sz w:val="21"/>
                      <w:szCs w:val="21"/>
                      <w:highlight w:val="none"/>
                      <w:lang w:val="zh-CN"/>
                    </w:rPr>
                    <w:t>昆明市寻甸县特色产业园区</w:t>
                  </w:r>
                  <w:r>
                    <w:rPr>
                      <w:rFonts w:hint="eastAsia" w:ascii="Times New Roman" w:hAnsi="Times New Roman" w:eastAsia="Times New Roman" w:cs="Times New Roman"/>
                      <w:color w:val="auto"/>
                      <w:sz w:val="21"/>
                      <w:szCs w:val="21"/>
                      <w:highlight w:val="none"/>
                      <w:lang w:val="en-US" w:eastAsia="zh-CN"/>
                    </w:rPr>
                    <w:t>羊街</w:t>
                  </w:r>
                  <w:r>
                    <w:rPr>
                      <w:rFonts w:hint="default" w:ascii="Times New Roman" w:hAnsi="Times New Roman" w:eastAsia="Times New Roman" w:cs="Times New Roman"/>
                      <w:color w:val="auto"/>
                      <w:sz w:val="21"/>
                      <w:szCs w:val="21"/>
                      <w:highlight w:val="none"/>
                      <w:lang w:val="zh-CN"/>
                    </w:rPr>
                    <w:t>片区</w:t>
                  </w:r>
                  <w:r>
                    <w:rPr>
                      <w:rFonts w:hint="eastAsia" w:ascii="Times New Roman" w:hAnsi="Times New Roman" w:eastAsia="Times New Roman" w:cs="Times New Roman"/>
                      <w:color w:val="auto"/>
                      <w:sz w:val="21"/>
                      <w:szCs w:val="21"/>
                      <w:highlight w:val="none"/>
                      <w:lang w:val="zh-CN"/>
                    </w:rPr>
                    <w:t>，</w:t>
                  </w:r>
                  <w:r>
                    <w:rPr>
                      <w:rFonts w:hint="default" w:ascii="Times New Roman" w:hAnsi="Times New Roman" w:eastAsia="Times New Roman" w:cs="Times New Roman"/>
                      <w:color w:val="auto"/>
                      <w:sz w:val="21"/>
                      <w:szCs w:val="21"/>
                      <w:highlight w:val="none"/>
                      <w:lang w:val="zh-CN"/>
                    </w:rPr>
                    <w:t>属规划的工业用地，不涉及自然</w:t>
                  </w:r>
                  <w:r>
                    <w:rPr>
                      <w:rFonts w:hint="default" w:eastAsia="Times New Roman"/>
                      <w:color w:val="auto"/>
                      <w:sz w:val="21"/>
                      <w:szCs w:val="21"/>
                      <w:highlight w:val="none"/>
                      <w:lang w:val="zh-CN"/>
                    </w:rPr>
                    <w:t>保护区、风景名胜区、饮用水源保护区等特殊敏感区，项目周边也无文物保护单位、古树名木分布，不涉及生态保护红线。</w:t>
                  </w:r>
                </w:p>
              </w:tc>
              <w:tc>
                <w:tcPr>
                  <w:tcW w:w="290" w:type="pct"/>
                  <w:noWrap w:val="0"/>
                  <w:vAlign w:val="center"/>
                </w:tcPr>
                <w:p w14:paraId="483801D5">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802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vMerge w:val="restart"/>
                  <w:noWrap w:val="0"/>
                  <w:vAlign w:val="center"/>
                </w:tcPr>
                <w:p w14:paraId="646E75AF">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环境质量底线</w:t>
                  </w:r>
                </w:p>
              </w:tc>
              <w:tc>
                <w:tcPr>
                  <w:tcW w:w="432" w:type="pct"/>
                  <w:noWrap w:val="0"/>
                  <w:vAlign w:val="center"/>
                </w:tcPr>
                <w:p w14:paraId="5A428EC8">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大气环境质量底线</w:t>
                  </w:r>
                </w:p>
              </w:tc>
              <w:tc>
                <w:tcPr>
                  <w:tcW w:w="1798" w:type="pct"/>
                  <w:gridSpan w:val="2"/>
                  <w:noWrap w:val="0"/>
                  <w:vAlign w:val="center"/>
                </w:tcPr>
                <w:p w14:paraId="4AE9BF86">
                  <w:pPr>
                    <w:keepNext w:val="0"/>
                    <w:keepLines w:val="0"/>
                    <w:widowControl/>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rPr>
                    <w:t>全市环境空气质量总体保持优良，主城建成区空气质量优良天数占比达99%以上，二氧化硫（SO</w:t>
                  </w:r>
                  <w:r>
                    <w:rPr>
                      <w:rFonts w:hint="default"/>
                      <w:color w:val="auto"/>
                      <w:sz w:val="21"/>
                      <w:szCs w:val="21"/>
                      <w:highlight w:val="none"/>
                      <w:vertAlign w:val="subscript"/>
                    </w:rPr>
                    <w:t>2</w:t>
                  </w:r>
                  <w:r>
                    <w:rPr>
                      <w:rFonts w:hint="default"/>
                      <w:color w:val="auto"/>
                      <w:sz w:val="21"/>
                      <w:szCs w:val="21"/>
                      <w:highlight w:val="none"/>
                    </w:rPr>
                    <w:t>）和氮氧化物（NO</w:t>
                  </w:r>
                  <w:r>
                    <w:rPr>
                      <w:rFonts w:hint="default"/>
                      <w:color w:val="auto"/>
                      <w:sz w:val="21"/>
                      <w:szCs w:val="21"/>
                      <w:highlight w:val="none"/>
                      <w:vertAlign w:val="subscript"/>
                    </w:rPr>
                    <w:t>X</w:t>
                  </w:r>
                  <w:r>
                    <w:rPr>
                      <w:rFonts w:hint="default"/>
                      <w:color w:val="auto"/>
                      <w:sz w:val="21"/>
                      <w:szCs w:val="21"/>
                      <w:highlight w:val="none"/>
                    </w:rPr>
                    <w:t>）排放总量控制在省下达的目标以内，主城区空气中颗粒物（PM10、PM2.5）稳定</w:t>
                  </w:r>
                  <w:r>
                    <w:rPr>
                      <w:rFonts w:hint="eastAsia"/>
                      <w:color w:val="auto"/>
                      <w:sz w:val="21"/>
                      <w:szCs w:val="21"/>
                      <w:highlight w:val="none"/>
                      <w:lang w:eastAsia="zh-CN"/>
                    </w:rPr>
                    <w:t>达到</w:t>
                  </w:r>
                  <w:r>
                    <w:rPr>
                      <w:rFonts w:hint="default"/>
                      <w:color w:val="auto"/>
                      <w:sz w:val="21"/>
                      <w:szCs w:val="21"/>
                      <w:highlight w:val="none"/>
                    </w:rPr>
                    <w:t>《环境空气质量标准》二级标准以上。</w:t>
                  </w:r>
                </w:p>
              </w:tc>
              <w:tc>
                <w:tcPr>
                  <w:tcW w:w="2230" w:type="pct"/>
                  <w:noWrap w:val="0"/>
                  <w:vAlign w:val="center"/>
                </w:tcPr>
                <w:p w14:paraId="391339AF">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default"/>
                      <w:color w:val="auto"/>
                      <w:sz w:val="21"/>
                      <w:szCs w:val="21"/>
                      <w:highlight w:val="none"/>
                      <w:lang w:val="en-US" w:eastAsia="zh-CN"/>
                    </w:rPr>
                    <w:t>项目区属于环境空气质量达标区，项目运营期产生的大气污染物经采取环评提出的措施后能够达标排放，</w:t>
                  </w:r>
                  <w:r>
                    <w:rPr>
                      <w:color w:val="auto"/>
                      <w:szCs w:val="21"/>
                      <w:highlight w:val="none"/>
                    </w:rPr>
                    <w:t>满足区域环境质量要求，不会改变区域大气环境功能区划，对大气环境质量影响较小，不会突破当地环境质量底线。</w:t>
                  </w:r>
                </w:p>
              </w:tc>
              <w:tc>
                <w:tcPr>
                  <w:tcW w:w="290" w:type="pct"/>
                  <w:noWrap w:val="0"/>
                  <w:vAlign w:val="center"/>
                </w:tcPr>
                <w:p w14:paraId="7E7A6B86">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964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vMerge w:val="continue"/>
                  <w:noWrap w:val="0"/>
                  <w:vAlign w:val="center"/>
                </w:tcPr>
                <w:p w14:paraId="5A0D3FA2">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p>
              </w:tc>
              <w:tc>
                <w:tcPr>
                  <w:tcW w:w="432" w:type="pct"/>
                  <w:noWrap w:val="0"/>
                  <w:vAlign w:val="center"/>
                </w:tcPr>
                <w:p w14:paraId="77EB56B6">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水环境质量底线</w:t>
                  </w:r>
                </w:p>
              </w:tc>
              <w:tc>
                <w:tcPr>
                  <w:tcW w:w="1798" w:type="pct"/>
                  <w:gridSpan w:val="2"/>
                  <w:noWrap w:val="0"/>
                  <w:vAlign w:val="center"/>
                </w:tcPr>
                <w:p w14:paraId="5D8F93E1">
                  <w:pPr>
                    <w:keepNext w:val="0"/>
                    <w:keepLines w:val="0"/>
                    <w:widowControl/>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rPr>
                    <w:t>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w:t>
                  </w:r>
                </w:p>
              </w:tc>
              <w:tc>
                <w:tcPr>
                  <w:tcW w:w="2230" w:type="pct"/>
                  <w:noWrap w:val="0"/>
                  <w:vAlign w:val="center"/>
                </w:tcPr>
                <w:p w14:paraId="47C262CC">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项目区周边的地表水体为</w:t>
                  </w:r>
                  <w:r>
                    <w:rPr>
                      <w:rFonts w:hint="eastAsia" w:eastAsia="宋体"/>
                      <w:color w:val="auto"/>
                      <w:sz w:val="21"/>
                      <w:szCs w:val="21"/>
                      <w:highlight w:val="none"/>
                      <w:lang w:val="en-US" w:eastAsia="zh-CN"/>
                    </w:rPr>
                    <w:t>羊街河（果马河），位于项目</w:t>
                  </w:r>
                  <w:r>
                    <w:rPr>
                      <w:rFonts w:hint="eastAsia"/>
                      <w:color w:val="auto"/>
                      <w:sz w:val="21"/>
                      <w:szCs w:val="21"/>
                      <w:highlight w:val="none"/>
                      <w:lang w:val="en-US" w:eastAsia="zh-CN"/>
                    </w:rPr>
                    <w:t>西</w:t>
                  </w:r>
                  <w:r>
                    <w:rPr>
                      <w:rFonts w:hint="eastAsia" w:eastAsia="宋体"/>
                      <w:color w:val="auto"/>
                      <w:sz w:val="21"/>
                      <w:szCs w:val="21"/>
                      <w:highlight w:val="none"/>
                      <w:lang w:val="en-US" w:eastAsia="zh-CN"/>
                    </w:rPr>
                    <w:t>侧</w:t>
                  </w:r>
                  <w:r>
                    <w:rPr>
                      <w:rFonts w:hint="eastAsia"/>
                      <w:color w:val="auto"/>
                      <w:sz w:val="21"/>
                      <w:szCs w:val="21"/>
                      <w:highlight w:val="none"/>
                      <w:lang w:val="en-US" w:eastAsia="zh-CN"/>
                    </w:rPr>
                    <w:t>1.8</w:t>
                  </w:r>
                  <w:r>
                    <w:rPr>
                      <w:rFonts w:hint="eastAsia" w:eastAsia="宋体"/>
                      <w:color w:val="auto"/>
                      <w:sz w:val="21"/>
                      <w:szCs w:val="21"/>
                      <w:highlight w:val="none"/>
                      <w:lang w:val="en-US" w:eastAsia="zh-CN"/>
                    </w:rPr>
                    <w:t>km。</w:t>
                  </w:r>
                  <w:r>
                    <w:rPr>
                      <w:rFonts w:hint="default"/>
                      <w:color w:val="auto"/>
                      <w:kern w:val="0"/>
                      <w:sz w:val="21"/>
                      <w:szCs w:val="21"/>
                      <w:highlight w:val="none"/>
                    </w:rPr>
                    <w:t>根据寻甸县人民政府发布的“202</w:t>
                  </w:r>
                  <w:r>
                    <w:rPr>
                      <w:rFonts w:hint="eastAsia"/>
                      <w:color w:val="auto"/>
                      <w:kern w:val="0"/>
                      <w:sz w:val="21"/>
                      <w:szCs w:val="21"/>
                      <w:highlight w:val="none"/>
                      <w:lang w:val="en-US" w:eastAsia="zh-CN"/>
                    </w:rPr>
                    <w:t>2</w:t>
                  </w:r>
                  <w:r>
                    <w:rPr>
                      <w:rFonts w:hint="default"/>
                      <w:color w:val="auto"/>
                      <w:kern w:val="0"/>
                      <w:sz w:val="21"/>
                      <w:szCs w:val="21"/>
                      <w:highlight w:val="none"/>
                    </w:rPr>
                    <w:t>年</w:t>
                  </w:r>
                  <w:r>
                    <w:rPr>
                      <w:rFonts w:hint="eastAsia"/>
                      <w:color w:val="auto"/>
                      <w:kern w:val="0"/>
                      <w:sz w:val="21"/>
                      <w:szCs w:val="21"/>
                      <w:highlight w:val="none"/>
                      <w:lang w:val="en-US" w:eastAsia="zh-CN"/>
                    </w:rPr>
                    <w:t>12</w:t>
                  </w:r>
                  <w:r>
                    <w:rPr>
                      <w:rFonts w:hint="default"/>
                      <w:color w:val="auto"/>
                      <w:kern w:val="0"/>
                      <w:sz w:val="21"/>
                      <w:szCs w:val="21"/>
                      <w:highlight w:val="none"/>
                    </w:rPr>
                    <w:t>月寻甸县水环境质量监测月报”，寻甸县环境监测站对</w:t>
                  </w:r>
                  <w:r>
                    <w:rPr>
                      <w:rFonts w:hint="eastAsia"/>
                      <w:color w:val="auto"/>
                      <w:kern w:val="0"/>
                      <w:sz w:val="21"/>
                      <w:szCs w:val="21"/>
                      <w:highlight w:val="none"/>
                      <w:lang w:val="en-US" w:eastAsia="zh-CN"/>
                    </w:rPr>
                    <w:t>羊街河</w:t>
                  </w:r>
                  <w:r>
                    <w:rPr>
                      <w:rFonts w:hint="eastAsia"/>
                      <w:color w:val="auto"/>
                      <w:kern w:val="0"/>
                      <w:sz w:val="21"/>
                      <w:szCs w:val="21"/>
                      <w:highlight w:val="none"/>
                      <w:lang w:eastAsia="zh-CN"/>
                    </w:rPr>
                    <w:t>（</w:t>
                  </w:r>
                  <w:r>
                    <w:rPr>
                      <w:rFonts w:hint="eastAsia" w:eastAsia="宋体"/>
                      <w:color w:val="auto"/>
                      <w:sz w:val="21"/>
                      <w:szCs w:val="21"/>
                      <w:highlight w:val="none"/>
                      <w:lang w:val="en-US" w:eastAsia="zh-CN"/>
                    </w:rPr>
                    <w:t>果马河</w:t>
                  </w:r>
                  <w:r>
                    <w:rPr>
                      <w:rFonts w:hint="eastAsia"/>
                      <w:color w:val="auto"/>
                      <w:kern w:val="0"/>
                      <w:sz w:val="21"/>
                      <w:szCs w:val="21"/>
                      <w:highlight w:val="none"/>
                      <w:lang w:eastAsia="zh-CN"/>
                    </w:rPr>
                    <w:t>）</w:t>
                  </w:r>
                  <w:r>
                    <w:rPr>
                      <w:rFonts w:hint="eastAsia"/>
                      <w:color w:val="auto"/>
                      <w:kern w:val="0"/>
                      <w:sz w:val="21"/>
                      <w:szCs w:val="21"/>
                      <w:highlight w:val="none"/>
                      <w:lang w:val="en-US" w:eastAsia="zh-CN"/>
                    </w:rPr>
                    <w:t>李家坝断面</w:t>
                  </w:r>
                  <w:r>
                    <w:rPr>
                      <w:rFonts w:hint="default"/>
                      <w:color w:val="auto"/>
                      <w:kern w:val="0"/>
                      <w:sz w:val="21"/>
                      <w:szCs w:val="21"/>
                      <w:highlight w:val="none"/>
                    </w:rPr>
                    <w:t>的水质监测结果为</w:t>
                  </w:r>
                  <w:r>
                    <w:rPr>
                      <w:rFonts w:hint="default"/>
                      <w:color w:val="auto"/>
                      <w:kern w:val="0"/>
                      <w:sz w:val="21"/>
                      <w:szCs w:val="21"/>
                      <w:highlight w:val="none"/>
                      <w:lang w:eastAsia="zh-CN"/>
                    </w:rPr>
                    <w:t>Ⅲ</w:t>
                  </w:r>
                  <w:r>
                    <w:rPr>
                      <w:rFonts w:hint="default"/>
                      <w:color w:val="auto"/>
                      <w:kern w:val="0"/>
                      <w:sz w:val="21"/>
                      <w:szCs w:val="21"/>
                      <w:highlight w:val="none"/>
                    </w:rPr>
                    <w:t>类</w:t>
                  </w:r>
                  <w:r>
                    <w:rPr>
                      <w:rFonts w:hint="eastAsia"/>
                      <w:color w:val="auto"/>
                      <w:sz w:val="21"/>
                      <w:szCs w:val="21"/>
                      <w:highlight w:val="none"/>
                      <w:lang w:val="en-US" w:eastAsia="zh-CN"/>
                    </w:rPr>
                    <w:t>。项目生产废水经收集后统一进入调节池、生产废水处理设施处理达标后回用于水洗补水，不外排；生活污水经原项目自建生活污水处理设施处理达标后回用于项目区绿化及道路广场浇洒，不外排，不会改变区域地表水环境功能。</w:t>
                  </w:r>
                </w:p>
              </w:tc>
              <w:tc>
                <w:tcPr>
                  <w:tcW w:w="290" w:type="pct"/>
                  <w:noWrap w:val="0"/>
                  <w:vAlign w:val="center"/>
                </w:tcPr>
                <w:p w14:paraId="51778DA6">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1D1F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vMerge w:val="continue"/>
                  <w:noWrap w:val="0"/>
                  <w:vAlign w:val="center"/>
                </w:tcPr>
                <w:p w14:paraId="7F12A4DD">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p>
              </w:tc>
              <w:tc>
                <w:tcPr>
                  <w:tcW w:w="432" w:type="pct"/>
                  <w:noWrap w:val="0"/>
                  <w:vAlign w:val="center"/>
                </w:tcPr>
                <w:p w14:paraId="6C40106C">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土壤环境风险防控底线</w:t>
                  </w:r>
                </w:p>
              </w:tc>
              <w:tc>
                <w:tcPr>
                  <w:tcW w:w="1798" w:type="pct"/>
                  <w:gridSpan w:val="2"/>
                  <w:noWrap w:val="0"/>
                  <w:vAlign w:val="center"/>
                </w:tcPr>
                <w:p w14:paraId="7FB1B149">
                  <w:pPr>
                    <w:keepNext w:val="0"/>
                    <w:keepLines w:val="0"/>
                    <w:widowControl/>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土壤环境风险防范体系进一步完善，</w:t>
                  </w:r>
                  <w:r>
                    <w:rPr>
                      <w:rFonts w:hint="default"/>
                      <w:color w:val="auto"/>
                      <w:sz w:val="21"/>
                      <w:szCs w:val="21"/>
                      <w:highlight w:val="none"/>
                    </w:rPr>
                    <w:t>受污染耕地安全利用率和污染地块安全利用率进一步提高，逐步改善全市土壤环境质量，遏制土壤污染恶化趋势，土壤环境风险得到基本管控。污染地块安全利用率、耕地土壤环境质量达到国家和云南省考核要求。</w:t>
                  </w:r>
                </w:p>
              </w:tc>
              <w:tc>
                <w:tcPr>
                  <w:tcW w:w="2230" w:type="pct"/>
                  <w:noWrap w:val="0"/>
                  <w:vAlign w:val="center"/>
                </w:tcPr>
                <w:p w14:paraId="00FACDDE">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项目设置了危废暂存间</w:t>
                  </w:r>
                  <w:r>
                    <w:rPr>
                      <w:rFonts w:hint="default"/>
                      <w:color w:val="auto"/>
                      <w:sz w:val="21"/>
                      <w:szCs w:val="21"/>
                      <w:highlight w:val="none"/>
                      <w:lang w:val="en-US" w:eastAsia="zh-CN"/>
                    </w:rPr>
                    <w:t>，</w:t>
                  </w:r>
                  <w:r>
                    <w:rPr>
                      <w:rFonts w:hint="eastAsia"/>
                      <w:color w:val="auto"/>
                      <w:sz w:val="21"/>
                      <w:szCs w:val="21"/>
                      <w:highlight w:val="none"/>
                      <w:lang w:val="en-US" w:eastAsia="zh-CN"/>
                    </w:rPr>
                    <w:t>危险废物定期</w:t>
                  </w:r>
                  <w:r>
                    <w:rPr>
                      <w:rFonts w:hint="default"/>
                      <w:color w:val="auto"/>
                      <w:sz w:val="21"/>
                      <w:szCs w:val="21"/>
                      <w:highlight w:val="none"/>
                      <w:lang w:val="en-US" w:eastAsia="zh-CN"/>
                    </w:rPr>
                    <w:t>委托有资质单位清运处置，</w:t>
                  </w:r>
                  <w:r>
                    <w:rPr>
                      <w:rFonts w:hint="eastAsia"/>
                      <w:color w:val="auto"/>
                      <w:sz w:val="21"/>
                      <w:szCs w:val="21"/>
                      <w:highlight w:val="none"/>
                      <w:lang w:val="en-US" w:eastAsia="zh-CN"/>
                    </w:rPr>
                    <w:t>危废暂存</w:t>
                  </w:r>
                  <w:r>
                    <w:rPr>
                      <w:rFonts w:hint="default"/>
                      <w:color w:val="auto"/>
                      <w:sz w:val="21"/>
                      <w:szCs w:val="21"/>
                      <w:highlight w:val="none"/>
                      <w:lang w:val="en-US" w:eastAsia="zh-CN"/>
                    </w:rPr>
                    <w:t>间地面和四周墙裙进行重点防渗处理，并设置围堰、备用桶等应急设施。</w:t>
                  </w:r>
                  <w:r>
                    <w:rPr>
                      <w:rFonts w:hint="eastAsia"/>
                      <w:color w:val="auto"/>
                      <w:sz w:val="21"/>
                      <w:szCs w:val="21"/>
                      <w:highlight w:val="none"/>
                      <w:lang w:val="en-US" w:eastAsia="zh-CN"/>
                    </w:rPr>
                    <w:t>危化品库、调节池、事故应急池池体进行重点防渗处理；隔油池、化粪池、污水处理站、生产加工区、其他原辅料储存区进行一般防渗处理；其余生产区、道路及办公区域（除绿化外）进行简单防渗处理。</w:t>
                  </w:r>
                  <w:r>
                    <w:rPr>
                      <w:color w:val="auto"/>
                      <w:sz w:val="21"/>
                      <w:szCs w:val="21"/>
                      <w:highlight w:val="none"/>
                    </w:rPr>
                    <w:t>项目采取了土壤污染防控措施，对土壤环境质量影响较小</w:t>
                  </w:r>
                  <w:r>
                    <w:rPr>
                      <w:rFonts w:hint="eastAsia"/>
                      <w:color w:val="auto"/>
                      <w:sz w:val="21"/>
                      <w:szCs w:val="21"/>
                      <w:highlight w:val="none"/>
                    </w:rPr>
                    <w:t>。</w:t>
                  </w:r>
                </w:p>
              </w:tc>
              <w:tc>
                <w:tcPr>
                  <w:tcW w:w="290" w:type="pct"/>
                  <w:noWrap w:val="0"/>
                  <w:vAlign w:val="center"/>
                </w:tcPr>
                <w:p w14:paraId="042B0775">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6A4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47" w:type="pct"/>
                  <w:vMerge w:val="restart"/>
                  <w:noWrap w:val="0"/>
                  <w:vAlign w:val="center"/>
                </w:tcPr>
                <w:p w14:paraId="4823BCB4">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资源利用上线</w:t>
                  </w:r>
                </w:p>
              </w:tc>
              <w:tc>
                <w:tcPr>
                  <w:tcW w:w="432" w:type="pct"/>
                  <w:noWrap w:val="0"/>
                  <w:vAlign w:val="center"/>
                </w:tcPr>
                <w:p w14:paraId="0770C825">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水资源利用上线</w:t>
                  </w:r>
                </w:p>
              </w:tc>
              <w:tc>
                <w:tcPr>
                  <w:tcW w:w="1798" w:type="pct"/>
                  <w:gridSpan w:val="2"/>
                  <w:noWrap w:val="0"/>
                  <w:vAlign w:val="center"/>
                </w:tcPr>
                <w:p w14:paraId="26C1205B">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default"/>
                      <w:color w:val="auto"/>
                      <w:sz w:val="21"/>
                      <w:szCs w:val="21"/>
                      <w:highlight w:val="none"/>
                      <w:lang w:val="en-US" w:eastAsia="zh-CN"/>
                    </w:rPr>
                    <w:t>按照国家、省、市有关要求和规划，按时完成全市用水总量、用水效率、限制纳污“三条红线”水资源上限控制指标</w:t>
                  </w:r>
                  <w:r>
                    <w:rPr>
                      <w:rFonts w:hint="eastAsia"/>
                      <w:color w:val="auto"/>
                      <w:sz w:val="21"/>
                      <w:szCs w:val="21"/>
                      <w:highlight w:val="none"/>
                      <w:lang w:val="en-US" w:eastAsia="zh-CN"/>
                    </w:rPr>
                    <w:t>。</w:t>
                  </w:r>
                </w:p>
              </w:tc>
              <w:tc>
                <w:tcPr>
                  <w:tcW w:w="2230" w:type="pct"/>
                  <w:noWrap w:val="0"/>
                  <w:vAlign w:val="center"/>
                </w:tcPr>
                <w:p w14:paraId="6322CBC9">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lang w:val="en-US" w:eastAsia="zh-CN"/>
                    </w:rPr>
                  </w:pPr>
                  <w:r>
                    <w:rPr>
                      <w:rFonts w:hint="default"/>
                      <w:color w:val="auto"/>
                      <w:sz w:val="21"/>
                      <w:szCs w:val="21"/>
                      <w:highlight w:val="none"/>
                      <w:lang w:val="en-US" w:eastAsia="zh-CN"/>
                    </w:rPr>
                    <w:t>项目运营过程中消耗一定量的水资源</w:t>
                  </w:r>
                  <w:r>
                    <w:rPr>
                      <w:rFonts w:hint="eastAsia"/>
                      <w:color w:val="auto"/>
                      <w:sz w:val="21"/>
                      <w:szCs w:val="21"/>
                      <w:highlight w:val="none"/>
                      <w:lang w:val="en-US" w:eastAsia="zh-CN"/>
                    </w:rPr>
                    <w:t>，用水量较小。</w:t>
                  </w:r>
                  <w:r>
                    <w:rPr>
                      <w:color w:val="auto"/>
                      <w:szCs w:val="21"/>
                      <w:highlight w:val="none"/>
                    </w:rPr>
                    <w:t>根据工程分析可知，项目</w:t>
                  </w:r>
                  <w:r>
                    <w:rPr>
                      <w:rFonts w:hint="eastAsia"/>
                      <w:color w:val="auto"/>
                      <w:szCs w:val="21"/>
                      <w:highlight w:val="none"/>
                    </w:rPr>
                    <w:t>生产废水</w:t>
                  </w:r>
                  <w:r>
                    <w:rPr>
                      <w:rFonts w:hint="eastAsia"/>
                      <w:color w:val="auto"/>
                      <w:szCs w:val="21"/>
                      <w:highlight w:val="none"/>
                      <w:lang w:val="en-US" w:eastAsia="zh-CN"/>
                    </w:rPr>
                    <w:t>经收集后统一进入调节池、生产废水处理设施处理后回用于水洗补水，不外排</w:t>
                  </w:r>
                  <w:r>
                    <w:rPr>
                      <w:rFonts w:hint="eastAsia"/>
                      <w:color w:val="auto"/>
                      <w:szCs w:val="21"/>
                      <w:highlight w:val="none"/>
                      <w:lang w:eastAsia="zh-CN"/>
                    </w:rPr>
                    <w:t>；生活污水经处理后回用于项目区绿化及道路广场浇洒，不外排。</w:t>
                  </w:r>
                </w:p>
              </w:tc>
              <w:tc>
                <w:tcPr>
                  <w:tcW w:w="290" w:type="pct"/>
                  <w:noWrap w:val="0"/>
                  <w:vAlign w:val="center"/>
                </w:tcPr>
                <w:p w14:paraId="1B6B0B8D">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0811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47" w:type="pct"/>
                  <w:vMerge w:val="continue"/>
                  <w:noWrap w:val="0"/>
                  <w:vAlign w:val="center"/>
                </w:tcPr>
                <w:p w14:paraId="2BB3E2A2">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432" w:type="pct"/>
                  <w:noWrap w:val="0"/>
                  <w:vAlign w:val="center"/>
                </w:tcPr>
                <w:p w14:paraId="6AAC585E">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能源利用上线</w:t>
                  </w:r>
                </w:p>
              </w:tc>
              <w:tc>
                <w:tcPr>
                  <w:tcW w:w="1798" w:type="pct"/>
                  <w:gridSpan w:val="2"/>
                  <w:noWrap w:val="0"/>
                  <w:vAlign w:val="center"/>
                </w:tcPr>
                <w:p w14:paraId="30B74D7B">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按时完成单位GDP能耗下降率、能源消费总量等能源控制指标。</w:t>
                  </w:r>
                </w:p>
              </w:tc>
              <w:tc>
                <w:tcPr>
                  <w:tcW w:w="2230" w:type="pct"/>
                  <w:noWrap w:val="0"/>
                  <w:vAlign w:val="center"/>
                </w:tcPr>
                <w:p w14:paraId="3ECF4D47">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项目生产过程中仅使用电作为能源，本项目不属于高耗能项目。</w:t>
                  </w:r>
                </w:p>
              </w:tc>
              <w:tc>
                <w:tcPr>
                  <w:tcW w:w="290" w:type="pct"/>
                  <w:noWrap w:val="0"/>
                  <w:vAlign w:val="center"/>
                </w:tcPr>
                <w:p w14:paraId="56797C2B">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07DD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47" w:type="pct"/>
                  <w:vMerge w:val="continue"/>
                  <w:noWrap w:val="0"/>
                  <w:vAlign w:val="center"/>
                </w:tcPr>
                <w:p w14:paraId="1A743AEE">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432" w:type="pct"/>
                  <w:noWrap w:val="0"/>
                  <w:vAlign w:val="center"/>
                </w:tcPr>
                <w:p w14:paraId="6B034214">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土地资源利用上线</w:t>
                  </w:r>
                </w:p>
              </w:tc>
              <w:tc>
                <w:tcPr>
                  <w:tcW w:w="1798" w:type="pct"/>
                  <w:gridSpan w:val="2"/>
                  <w:noWrap w:val="0"/>
                  <w:vAlign w:val="center"/>
                </w:tcPr>
                <w:p w14:paraId="0DFD79F3">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按时完成耕地保有量、基本农田保护面积、建设用地总规模等土地资源利用上限控制指标。</w:t>
                  </w:r>
                </w:p>
              </w:tc>
              <w:tc>
                <w:tcPr>
                  <w:tcW w:w="2230" w:type="pct"/>
                  <w:noWrap w:val="0"/>
                  <w:vAlign w:val="center"/>
                </w:tcPr>
                <w:p w14:paraId="5FA43DCD">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项目不占用耕地及基本农田，不新增占地，</w:t>
                  </w:r>
                  <w:r>
                    <w:rPr>
                      <w:rFonts w:hint="eastAsia"/>
                      <w:color w:val="auto"/>
                      <w:szCs w:val="21"/>
                      <w:highlight w:val="none"/>
                    </w:rPr>
                    <w:t>用地类型规划为工业用地，不会突破当地土地资源利用</w:t>
                  </w:r>
                  <w:r>
                    <w:rPr>
                      <w:rFonts w:hint="eastAsia"/>
                      <w:color w:val="auto"/>
                      <w:szCs w:val="21"/>
                      <w:highlight w:val="none"/>
                      <w:lang w:eastAsia="zh-CN"/>
                    </w:rPr>
                    <w:t>上限</w:t>
                  </w:r>
                  <w:r>
                    <w:rPr>
                      <w:rFonts w:hint="eastAsia"/>
                      <w:color w:val="auto"/>
                      <w:szCs w:val="21"/>
                      <w:highlight w:val="none"/>
                    </w:rPr>
                    <w:t>。</w:t>
                  </w:r>
                </w:p>
              </w:tc>
              <w:tc>
                <w:tcPr>
                  <w:tcW w:w="290" w:type="pct"/>
                  <w:noWrap w:val="0"/>
                  <w:vAlign w:val="center"/>
                </w:tcPr>
                <w:p w14:paraId="64CF7ABD">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1F1E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247" w:type="pct"/>
                  <w:vMerge w:val="restart"/>
                  <w:noWrap w:val="0"/>
                  <w:vAlign w:val="center"/>
                </w:tcPr>
                <w:p w14:paraId="37D62912">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生态环境准入清单</w:t>
                  </w:r>
                </w:p>
              </w:tc>
              <w:tc>
                <w:tcPr>
                  <w:tcW w:w="432" w:type="pct"/>
                  <w:vMerge w:val="restart"/>
                  <w:noWrap w:val="0"/>
                  <w:vAlign w:val="center"/>
                </w:tcPr>
                <w:p w14:paraId="35D3A435">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重点管控单元（云南寻甸特色产业园区）</w:t>
                  </w:r>
                </w:p>
              </w:tc>
              <w:tc>
                <w:tcPr>
                  <w:tcW w:w="274" w:type="pct"/>
                  <w:noWrap w:val="0"/>
                  <w:vAlign w:val="center"/>
                </w:tcPr>
                <w:p w14:paraId="48E3F44D">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空间布局约束</w:t>
                  </w:r>
                </w:p>
              </w:tc>
              <w:tc>
                <w:tcPr>
                  <w:tcW w:w="1523" w:type="pct"/>
                  <w:noWrap w:val="0"/>
                  <w:vAlign w:val="center"/>
                </w:tcPr>
                <w:p w14:paraId="12A652AB">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rPr>
                  </w:pPr>
                  <w:r>
                    <w:rPr>
                      <w:rFonts w:hint="eastAsia" w:eastAsia="宋体"/>
                      <w:color w:val="auto"/>
                      <w:sz w:val="21"/>
                      <w:szCs w:val="21"/>
                      <w:highlight w:val="none"/>
                    </w:rPr>
                    <w:t>1.金所片区重点发展新型材料和家具制造产业，羊街片区重点发展先进装备制造和家具制造产业。</w:t>
                  </w:r>
                </w:p>
                <w:p w14:paraId="5A65232E">
                  <w:pPr>
                    <w:keepNext w:val="0"/>
                    <w:keepLines w:val="0"/>
                    <w:suppressLineNumbers w:val="0"/>
                    <w:bidi w:val="0"/>
                    <w:spacing w:before="0" w:beforeAutospacing="0" w:after="0" w:afterAutospacing="0"/>
                    <w:ind w:left="0" w:right="0"/>
                    <w:jc w:val="both"/>
                    <w:outlineLvl w:val="9"/>
                    <w:rPr>
                      <w:rFonts w:hint="default" w:eastAsia="宋体"/>
                      <w:color w:val="auto"/>
                      <w:sz w:val="21"/>
                      <w:szCs w:val="21"/>
                      <w:highlight w:val="none"/>
                      <w:lang w:val="en-US" w:eastAsia="zh-CN"/>
                    </w:rPr>
                  </w:pPr>
                  <w:r>
                    <w:rPr>
                      <w:rFonts w:hint="eastAsia" w:eastAsia="宋体"/>
                      <w:color w:val="auto"/>
                      <w:sz w:val="21"/>
                      <w:szCs w:val="21"/>
                      <w:highlight w:val="none"/>
                    </w:rPr>
                    <w:t>2.禁止引入造纸、印染等需水量大，生产废水不能实现循环回用不外排的企业。</w:t>
                  </w:r>
                </w:p>
              </w:tc>
              <w:tc>
                <w:tcPr>
                  <w:tcW w:w="2230" w:type="pct"/>
                  <w:noWrap w:val="0"/>
                  <w:vAlign w:val="center"/>
                </w:tcPr>
                <w:p w14:paraId="22F3C0B9">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lang w:eastAsia="zh-CN"/>
                    </w:rPr>
                  </w:pPr>
                  <w:r>
                    <w:rPr>
                      <w:rFonts w:hint="eastAsia"/>
                      <w:color w:val="auto"/>
                      <w:sz w:val="21"/>
                      <w:szCs w:val="21"/>
                      <w:highlight w:val="none"/>
                      <w:lang w:val="en-US" w:eastAsia="zh-CN"/>
                    </w:rPr>
                    <w:t>1.</w:t>
                  </w:r>
                  <w:r>
                    <w:rPr>
                      <w:rFonts w:hint="eastAsia"/>
                      <w:color w:val="auto"/>
                      <w:sz w:val="21"/>
                      <w:szCs w:val="21"/>
                      <w:highlight w:val="none"/>
                    </w:rPr>
                    <w:t>本项目</w:t>
                  </w:r>
                  <w:r>
                    <w:rPr>
                      <w:rFonts w:hint="eastAsia"/>
                      <w:color w:val="auto"/>
                      <w:sz w:val="21"/>
                      <w:szCs w:val="21"/>
                      <w:highlight w:val="none"/>
                      <w:lang w:eastAsia="zh-CN"/>
                    </w:rPr>
                    <w:t>位于寻甸特色产业园区</w:t>
                  </w:r>
                  <w:r>
                    <w:rPr>
                      <w:rFonts w:hint="eastAsia"/>
                      <w:color w:val="auto"/>
                      <w:sz w:val="21"/>
                      <w:szCs w:val="21"/>
                      <w:highlight w:val="none"/>
                      <w:lang w:val="en-US" w:eastAsia="zh-CN"/>
                    </w:rPr>
                    <w:t>羊街</w:t>
                  </w:r>
                  <w:r>
                    <w:rPr>
                      <w:rFonts w:hint="eastAsia"/>
                      <w:color w:val="auto"/>
                      <w:sz w:val="21"/>
                      <w:szCs w:val="21"/>
                      <w:highlight w:val="none"/>
                      <w:lang w:eastAsia="zh-CN"/>
                    </w:rPr>
                    <w:t>片区，</w:t>
                  </w:r>
                  <w:r>
                    <w:rPr>
                      <w:rFonts w:hint="eastAsia"/>
                      <w:color w:val="auto"/>
                      <w:sz w:val="21"/>
                      <w:szCs w:val="21"/>
                      <w:highlight w:val="none"/>
                    </w:rPr>
                    <w:t>为</w:t>
                  </w:r>
                  <w:r>
                    <w:rPr>
                      <w:rFonts w:hint="eastAsia"/>
                      <w:color w:val="auto"/>
                      <w:sz w:val="21"/>
                      <w:szCs w:val="21"/>
                      <w:highlight w:val="none"/>
                      <w:lang w:eastAsia="zh-CN"/>
                    </w:rPr>
                    <w:t>玻璃生产加工</w:t>
                  </w:r>
                  <w:r>
                    <w:rPr>
                      <w:rFonts w:hint="eastAsia"/>
                      <w:color w:val="auto"/>
                      <w:sz w:val="21"/>
                      <w:szCs w:val="21"/>
                      <w:highlight w:val="none"/>
                    </w:rPr>
                    <w:t>项目</w:t>
                  </w:r>
                  <w:r>
                    <w:rPr>
                      <w:rFonts w:hint="eastAsia"/>
                      <w:color w:val="auto"/>
                      <w:sz w:val="21"/>
                      <w:szCs w:val="21"/>
                      <w:highlight w:val="none"/>
                      <w:lang w:eastAsia="zh-CN"/>
                    </w:rPr>
                    <w:t>，</w:t>
                  </w:r>
                  <w:r>
                    <w:rPr>
                      <w:rFonts w:hint="eastAsia"/>
                      <w:color w:val="auto"/>
                      <w:highlight w:val="none"/>
                      <w:lang w:val="zh-CN"/>
                    </w:rPr>
                    <w:t>与</w:t>
                  </w:r>
                  <w:r>
                    <w:rPr>
                      <w:rFonts w:hint="eastAsia"/>
                      <w:color w:val="auto"/>
                      <w:highlight w:val="none"/>
                    </w:rPr>
                    <w:t>园区</w:t>
                  </w:r>
                  <w:r>
                    <w:rPr>
                      <w:rFonts w:hint="eastAsia"/>
                      <w:color w:val="auto"/>
                      <w:highlight w:val="none"/>
                      <w:lang w:val="zh-CN"/>
                    </w:rPr>
                    <w:t>规划不冲突。</w:t>
                  </w:r>
                </w:p>
                <w:p w14:paraId="5B558A93">
                  <w:pPr>
                    <w:pStyle w:val="9"/>
                    <w:keepNext w:val="0"/>
                    <w:keepLines w:val="0"/>
                    <w:suppressLineNumbers w:val="0"/>
                    <w:spacing w:beforeAutospacing="0" w:afterAutospacing="0"/>
                    <w:ind w:left="0"/>
                    <w:jc w:val="both"/>
                    <w:rPr>
                      <w:rFonts w:hint="default"/>
                      <w:color w:val="auto"/>
                      <w:sz w:val="21"/>
                      <w:szCs w:val="21"/>
                      <w:highlight w:val="none"/>
                      <w:lang w:val="en-US" w:eastAsia="zh-CN"/>
                    </w:rPr>
                  </w:pPr>
                  <w:r>
                    <w:rPr>
                      <w:rFonts w:hint="eastAsia" w:eastAsia="宋体"/>
                      <w:color w:val="auto"/>
                      <w:sz w:val="21"/>
                      <w:szCs w:val="21"/>
                      <w:highlight w:val="none"/>
                      <w:lang w:val="en-US" w:eastAsia="zh-CN"/>
                    </w:rPr>
                    <w:t>2</w:t>
                  </w:r>
                  <w:r>
                    <w:rPr>
                      <w:rFonts w:hint="eastAsia"/>
                      <w:color w:val="auto"/>
                      <w:sz w:val="21"/>
                      <w:szCs w:val="21"/>
                      <w:highlight w:val="none"/>
                      <w:lang w:val="en-US" w:eastAsia="zh-CN"/>
                    </w:rPr>
                    <w:t>.</w:t>
                  </w:r>
                  <w:r>
                    <w:rPr>
                      <w:rFonts w:hint="eastAsia" w:eastAsia="宋体"/>
                      <w:color w:val="auto"/>
                      <w:sz w:val="21"/>
                      <w:szCs w:val="21"/>
                      <w:highlight w:val="none"/>
                      <w:lang w:val="en-US" w:eastAsia="zh-CN"/>
                    </w:rPr>
                    <w:t>本项目</w:t>
                  </w:r>
                  <w:r>
                    <w:rPr>
                      <w:rFonts w:hint="eastAsia"/>
                      <w:color w:val="auto"/>
                      <w:sz w:val="21"/>
                      <w:szCs w:val="21"/>
                      <w:highlight w:val="none"/>
                      <w:lang w:val="en-US" w:eastAsia="zh-CN"/>
                    </w:rPr>
                    <w:t>不属于造纸、印染等需水量大、生产废水不能实现循环回用不外排的企业。</w:t>
                  </w:r>
                  <w:r>
                    <w:rPr>
                      <w:rFonts w:hint="eastAsia"/>
                      <w:color w:val="auto"/>
                      <w:szCs w:val="21"/>
                      <w:highlight w:val="none"/>
                    </w:rPr>
                    <w:t>本</w:t>
                  </w:r>
                  <w:r>
                    <w:rPr>
                      <w:color w:val="auto"/>
                      <w:szCs w:val="21"/>
                      <w:highlight w:val="none"/>
                    </w:rPr>
                    <w:t>项目</w:t>
                  </w:r>
                  <w:r>
                    <w:rPr>
                      <w:rFonts w:hint="eastAsia"/>
                      <w:color w:val="auto"/>
                      <w:szCs w:val="21"/>
                      <w:highlight w:val="none"/>
                    </w:rPr>
                    <w:t>生产废水</w:t>
                  </w:r>
                  <w:r>
                    <w:rPr>
                      <w:rFonts w:hint="eastAsia"/>
                      <w:color w:val="auto"/>
                      <w:szCs w:val="21"/>
                      <w:highlight w:val="none"/>
                      <w:lang w:val="en-US" w:eastAsia="zh-CN"/>
                    </w:rPr>
                    <w:t>经收集后统一进入调节池、生产废水处理设施处理达《城市污水再生利用 工业用水水质》（GB/T 19923-2005）中的洗涤用水标准后回用于水洗补水，不外排。</w:t>
                  </w:r>
                </w:p>
              </w:tc>
              <w:tc>
                <w:tcPr>
                  <w:tcW w:w="290" w:type="pct"/>
                  <w:noWrap w:val="0"/>
                  <w:vAlign w:val="center"/>
                </w:tcPr>
                <w:p w14:paraId="56467CBC">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6B13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noWrap w:val="0"/>
                  <w:vAlign w:val="center"/>
                </w:tcPr>
                <w:p w14:paraId="1CA31E06">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432" w:type="pct"/>
                  <w:vMerge w:val="continue"/>
                  <w:noWrap w:val="0"/>
                  <w:vAlign w:val="center"/>
                </w:tcPr>
                <w:p w14:paraId="3A7BBD63">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p>
              </w:tc>
              <w:tc>
                <w:tcPr>
                  <w:tcW w:w="274" w:type="pct"/>
                  <w:noWrap w:val="0"/>
                  <w:vAlign w:val="center"/>
                </w:tcPr>
                <w:p w14:paraId="653A345E">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污染物排放管控</w:t>
                  </w:r>
                </w:p>
              </w:tc>
              <w:tc>
                <w:tcPr>
                  <w:tcW w:w="1523" w:type="pct"/>
                  <w:noWrap w:val="0"/>
                  <w:vAlign w:val="center"/>
                </w:tcPr>
                <w:p w14:paraId="58BF3468">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rPr>
                  </w:pPr>
                  <w:r>
                    <w:rPr>
                      <w:rFonts w:hint="eastAsia" w:eastAsia="宋体"/>
                      <w:color w:val="auto"/>
                      <w:sz w:val="21"/>
                      <w:szCs w:val="21"/>
                      <w:highlight w:val="none"/>
                    </w:rPr>
                    <w:t>1.主要指标二氧化硫、二氧化氮、可吸入颗粒物达到《环境空气质量标准》（GB3095-2012）Ⅱ级标准。</w:t>
                  </w:r>
                </w:p>
                <w:p w14:paraId="15E1B786">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lang w:eastAsia="zh-CN"/>
                    </w:rPr>
                  </w:pPr>
                  <w:r>
                    <w:rPr>
                      <w:rFonts w:hint="eastAsia" w:eastAsia="宋体"/>
                      <w:color w:val="auto"/>
                      <w:sz w:val="21"/>
                      <w:szCs w:val="21"/>
                      <w:highlight w:val="none"/>
                    </w:rPr>
                    <w:t>2.现状已发展成熟的煤磷盐化工企业及目前做到零排放的企业按现状方式排水，未来</w:t>
                  </w:r>
                  <w:r>
                    <w:rPr>
                      <w:rFonts w:hint="eastAsia"/>
                      <w:color w:val="auto"/>
                      <w:sz w:val="21"/>
                      <w:szCs w:val="21"/>
                      <w:highlight w:val="none"/>
                      <w:lang w:eastAsia="zh-CN"/>
                    </w:rPr>
                    <w:t>入驻</w:t>
                  </w:r>
                  <w:r>
                    <w:rPr>
                      <w:rFonts w:hint="eastAsia" w:eastAsia="宋体"/>
                      <w:color w:val="auto"/>
                      <w:sz w:val="21"/>
                      <w:szCs w:val="21"/>
                      <w:highlight w:val="none"/>
                    </w:rPr>
                    <w:t>企业生产废水由企业自行处理达标后循环回用不外排。</w:t>
                  </w:r>
                </w:p>
                <w:p w14:paraId="7252B73A">
                  <w:pPr>
                    <w:keepNext w:val="0"/>
                    <w:keepLines w:val="0"/>
                    <w:suppressLineNumbers w:val="0"/>
                    <w:bidi w:val="0"/>
                    <w:spacing w:before="0" w:beforeAutospacing="0" w:after="0" w:afterAutospacing="0"/>
                    <w:ind w:left="0" w:right="0"/>
                    <w:jc w:val="both"/>
                    <w:outlineLvl w:val="9"/>
                    <w:rPr>
                      <w:rFonts w:hint="default" w:eastAsia="宋体"/>
                      <w:color w:val="auto"/>
                      <w:sz w:val="21"/>
                      <w:szCs w:val="21"/>
                      <w:highlight w:val="none"/>
                      <w:lang w:val="en-US" w:eastAsia="zh-CN"/>
                    </w:rPr>
                  </w:pPr>
                  <w:r>
                    <w:rPr>
                      <w:rFonts w:hint="eastAsia" w:eastAsia="宋体"/>
                      <w:color w:val="auto"/>
                      <w:sz w:val="21"/>
                      <w:szCs w:val="21"/>
                      <w:highlight w:val="none"/>
                    </w:rPr>
                    <w:t>3.生活垃圾无害化处理率90%以上，工业固废处置利用率不小于95%。</w:t>
                  </w:r>
                </w:p>
              </w:tc>
              <w:tc>
                <w:tcPr>
                  <w:tcW w:w="2230" w:type="pct"/>
                  <w:noWrap w:val="0"/>
                  <w:vAlign w:val="center"/>
                </w:tcPr>
                <w:p w14:paraId="124FAC8C">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rPr>
                  </w:pPr>
                  <w:r>
                    <w:rPr>
                      <w:rFonts w:hint="eastAsia"/>
                      <w:color w:val="auto"/>
                      <w:sz w:val="21"/>
                      <w:szCs w:val="21"/>
                      <w:highlight w:val="none"/>
                      <w:lang w:val="en-US" w:eastAsia="zh-CN"/>
                    </w:rPr>
                    <w:t>1.</w:t>
                  </w:r>
                  <w:r>
                    <w:rPr>
                      <w:rFonts w:hint="eastAsia" w:eastAsia="宋体"/>
                      <w:color w:val="auto"/>
                      <w:sz w:val="21"/>
                      <w:szCs w:val="21"/>
                      <w:highlight w:val="none"/>
                      <w:lang w:val="en-US" w:eastAsia="zh-CN"/>
                    </w:rPr>
                    <w:t>根据寻甸县人民政府网站提供的“202</w:t>
                  </w:r>
                  <w:r>
                    <w:rPr>
                      <w:rFonts w:hint="eastAsia"/>
                      <w:color w:val="auto"/>
                      <w:sz w:val="21"/>
                      <w:szCs w:val="21"/>
                      <w:highlight w:val="none"/>
                      <w:lang w:val="en-US" w:eastAsia="zh-CN"/>
                    </w:rPr>
                    <w:t>2</w:t>
                  </w:r>
                  <w:r>
                    <w:rPr>
                      <w:rFonts w:hint="eastAsia" w:eastAsia="宋体"/>
                      <w:color w:val="auto"/>
                      <w:sz w:val="21"/>
                      <w:szCs w:val="21"/>
                      <w:highlight w:val="none"/>
                      <w:lang w:val="en-US" w:eastAsia="zh-CN"/>
                    </w:rPr>
                    <w:t>年1月~12月寻甸县监测站空气质量月报”统计，</w:t>
                  </w:r>
                  <w:r>
                    <w:rPr>
                      <w:rFonts w:hint="eastAsia" w:eastAsia="宋体"/>
                      <w:color w:val="auto"/>
                      <w:sz w:val="21"/>
                      <w:szCs w:val="21"/>
                      <w:highlight w:val="none"/>
                    </w:rPr>
                    <w:t>主要指标</w:t>
                  </w:r>
                  <w:r>
                    <w:rPr>
                      <w:rFonts w:hint="eastAsia" w:eastAsia="宋体"/>
                      <w:color w:val="auto"/>
                      <w:sz w:val="21"/>
                      <w:szCs w:val="21"/>
                      <w:highlight w:val="none"/>
                      <w:lang w:val="en-US" w:eastAsia="zh-CN"/>
                    </w:rPr>
                    <w:t>二氧化硫、二氧化氮、PM</w:t>
                  </w:r>
                  <w:r>
                    <w:rPr>
                      <w:rFonts w:hint="eastAsia" w:eastAsia="宋体"/>
                      <w:color w:val="auto"/>
                      <w:sz w:val="21"/>
                      <w:szCs w:val="21"/>
                      <w:highlight w:val="none"/>
                      <w:vertAlign w:val="subscript"/>
                      <w:lang w:val="en-US" w:eastAsia="zh-CN"/>
                    </w:rPr>
                    <w:t>10</w:t>
                  </w:r>
                  <w:r>
                    <w:rPr>
                      <w:rFonts w:hint="eastAsia" w:eastAsia="宋体"/>
                      <w:color w:val="auto"/>
                      <w:sz w:val="21"/>
                      <w:szCs w:val="21"/>
                      <w:highlight w:val="none"/>
                      <w:lang w:val="en-US" w:eastAsia="zh-CN"/>
                    </w:rPr>
                    <w:t>、PM</w:t>
                  </w:r>
                  <w:r>
                    <w:rPr>
                      <w:rFonts w:hint="eastAsia" w:eastAsia="宋体"/>
                      <w:color w:val="auto"/>
                      <w:sz w:val="21"/>
                      <w:szCs w:val="21"/>
                      <w:highlight w:val="none"/>
                      <w:vertAlign w:val="subscript"/>
                      <w:lang w:val="en-US" w:eastAsia="zh-CN"/>
                    </w:rPr>
                    <w:t>2.5</w:t>
                  </w:r>
                  <w:r>
                    <w:rPr>
                      <w:rFonts w:hint="eastAsia" w:eastAsia="宋体"/>
                      <w:color w:val="auto"/>
                      <w:sz w:val="21"/>
                      <w:szCs w:val="21"/>
                      <w:highlight w:val="none"/>
                      <w:lang w:val="en-US" w:eastAsia="zh-CN"/>
                    </w:rPr>
                    <w:t>、一氧化碳、臭氧均能达到《环境空气质量标准》（GB3095-2012）表1中二级标准要求</w:t>
                  </w:r>
                  <w:r>
                    <w:rPr>
                      <w:rFonts w:hint="eastAsia" w:eastAsia="宋体"/>
                      <w:color w:val="auto"/>
                      <w:sz w:val="21"/>
                      <w:szCs w:val="21"/>
                      <w:highlight w:val="none"/>
                    </w:rPr>
                    <w:t>。</w:t>
                  </w:r>
                </w:p>
                <w:p w14:paraId="5F388CD0">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2.</w:t>
                  </w:r>
                  <w:r>
                    <w:rPr>
                      <w:rFonts w:hint="eastAsia" w:eastAsia="宋体"/>
                      <w:color w:val="auto"/>
                      <w:sz w:val="21"/>
                      <w:szCs w:val="21"/>
                      <w:highlight w:val="none"/>
                      <w:lang w:val="en-US" w:eastAsia="zh-CN"/>
                    </w:rPr>
                    <w:t>本项目</w:t>
                  </w:r>
                  <w:r>
                    <w:rPr>
                      <w:rFonts w:hint="eastAsia"/>
                      <w:color w:val="auto"/>
                      <w:sz w:val="21"/>
                      <w:szCs w:val="21"/>
                      <w:highlight w:val="none"/>
                      <w:lang w:val="en-US" w:eastAsia="zh-CN"/>
                    </w:rPr>
                    <w:t>生产废水经收集后统一进入调节池、生产废水处理设施处理达《城市污水再生利用 工业用水水质》（GB/T 19923-2005）中的洗涤用水标准后回用于水洗补水，不外排；</w:t>
                  </w:r>
                </w:p>
                <w:p w14:paraId="4D67A626">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生活污水</w:t>
                  </w:r>
                  <w:r>
                    <w:rPr>
                      <w:rFonts w:hint="eastAsia" w:eastAsia="宋体"/>
                      <w:color w:val="auto"/>
                      <w:sz w:val="21"/>
                      <w:szCs w:val="21"/>
                      <w:highlight w:val="none"/>
                      <w:lang w:val="en-US" w:eastAsia="zh-CN"/>
                    </w:rPr>
                    <w:t>经化粪池和</w:t>
                  </w:r>
                  <w:r>
                    <w:rPr>
                      <w:rFonts w:hint="eastAsia"/>
                      <w:color w:val="auto"/>
                      <w:sz w:val="21"/>
                      <w:szCs w:val="21"/>
                      <w:highlight w:val="none"/>
                      <w:lang w:val="en-US" w:eastAsia="zh-CN"/>
                    </w:rPr>
                    <w:t>生活</w:t>
                  </w:r>
                  <w:r>
                    <w:rPr>
                      <w:rFonts w:hint="eastAsia" w:eastAsia="宋体"/>
                      <w:color w:val="auto"/>
                      <w:sz w:val="21"/>
                      <w:szCs w:val="21"/>
                      <w:highlight w:val="none"/>
                      <w:lang w:val="en-US" w:eastAsia="zh-CN"/>
                    </w:rPr>
                    <w:t>污水处理</w:t>
                  </w:r>
                  <w:r>
                    <w:rPr>
                      <w:rFonts w:hint="eastAsia"/>
                      <w:color w:val="auto"/>
                      <w:sz w:val="21"/>
                      <w:szCs w:val="21"/>
                      <w:highlight w:val="none"/>
                      <w:lang w:val="en-US" w:eastAsia="zh-CN"/>
                    </w:rPr>
                    <w:t>站</w:t>
                  </w:r>
                  <w:r>
                    <w:rPr>
                      <w:rFonts w:hint="eastAsia" w:eastAsia="宋体"/>
                      <w:color w:val="auto"/>
                      <w:sz w:val="21"/>
                      <w:szCs w:val="21"/>
                      <w:highlight w:val="none"/>
                      <w:lang w:val="en-US" w:eastAsia="zh-CN"/>
                    </w:rPr>
                    <w:t>处理</w:t>
                  </w:r>
                  <w:r>
                    <w:rPr>
                      <w:rFonts w:hint="default"/>
                      <w:color w:val="auto"/>
                      <w:sz w:val="21"/>
                      <w:szCs w:val="21"/>
                      <w:highlight w:val="none"/>
                      <w:lang w:val="en-US" w:eastAsia="zh-CN"/>
                    </w:rPr>
                    <w:t>达《城市污水再生利用 城市杂用水水质》（GB/T18920-2020）中城市绿化、</w:t>
                  </w:r>
                  <w:r>
                    <w:rPr>
                      <w:rFonts w:hint="eastAsia"/>
                      <w:color w:val="auto"/>
                      <w:sz w:val="21"/>
                      <w:szCs w:val="21"/>
                      <w:highlight w:val="none"/>
                      <w:lang w:val="en-US" w:eastAsia="zh-CN"/>
                    </w:rPr>
                    <w:t>道路广场浇洒</w:t>
                  </w:r>
                  <w:r>
                    <w:rPr>
                      <w:rFonts w:hint="default"/>
                      <w:color w:val="auto"/>
                      <w:sz w:val="21"/>
                      <w:szCs w:val="21"/>
                      <w:highlight w:val="none"/>
                      <w:lang w:val="en-US" w:eastAsia="zh-CN"/>
                    </w:rPr>
                    <w:t>、消防、建筑施工标准</w:t>
                  </w:r>
                  <w:r>
                    <w:rPr>
                      <w:rFonts w:hint="eastAsia"/>
                      <w:color w:val="auto"/>
                      <w:sz w:val="21"/>
                      <w:szCs w:val="21"/>
                      <w:highlight w:val="none"/>
                      <w:lang w:val="en-US" w:eastAsia="zh-CN"/>
                    </w:rPr>
                    <w:t>后回用于项目区绿化和道路广场浇洒，不外排。</w:t>
                  </w:r>
                </w:p>
                <w:p w14:paraId="483B8EEF">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3.项目生活垃圾及工业固体废物100%合理处置。</w:t>
                  </w:r>
                </w:p>
              </w:tc>
              <w:tc>
                <w:tcPr>
                  <w:tcW w:w="290" w:type="pct"/>
                  <w:noWrap w:val="0"/>
                  <w:vAlign w:val="center"/>
                </w:tcPr>
                <w:p w14:paraId="1D63A65A">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30C0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247" w:type="pct"/>
                  <w:vMerge w:val="continue"/>
                  <w:noWrap w:val="0"/>
                  <w:vAlign w:val="center"/>
                </w:tcPr>
                <w:p w14:paraId="643F2725">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432" w:type="pct"/>
                  <w:vMerge w:val="continue"/>
                  <w:noWrap w:val="0"/>
                  <w:vAlign w:val="center"/>
                </w:tcPr>
                <w:p w14:paraId="3DF789C6">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274" w:type="pct"/>
                  <w:noWrap w:val="0"/>
                  <w:vAlign w:val="center"/>
                </w:tcPr>
                <w:p w14:paraId="48671006">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环境风险防控</w:t>
                  </w:r>
                </w:p>
              </w:tc>
              <w:tc>
                <w:tcPr>
                  <w:tcW w:w="1523" w:type="pct"/>
                  <w:noWrap w:val="0"/>
                  <w:vAlign w:val="center"/>
                </w:tcPr>
                <w:p w14:paraId="227683A8">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rPr>
                  </w:pPr>
                  <w:r>
                    <w:rPr>
                      <w:rFonts w:hint="eastAsia" w:eastAsia="宋体"/>
                      <w:color w:val="auto"/>
                      <w:sz w:val="21"/>
                      <w:szCs w:val="21"/>
                      <w:highlight w:val="none"/>
                    </w:rPr>
                    <w:t>1.组织编制环境风险应急预案，通过风险源的识别，制定不同风险源的应急处理处置方案，形成应对突发事故应急处理处置能力。</w:t>
                  </w:r>
                </w:p>
                <w:p w14:paraId="77960747">
                  <w:pPr>
                    <w:keepNext w:val="0"/>
                    <w:keepLines w:val="0"/>
                    <w:suppressLineNumbers w:val="0"/>
                    <w:bidi w:val="0"/>
                    <w:spacing w:before="0" w:beforeAutospacing="0" w:after="0" w:afterAutospacing="0"/>
                    <w:ind w:left="0" w:right="0"/>
                    <w:jc w:val="both"/>
                    <w:outlineLvl w:val="9"/>
                    <w:rPr>
                      <w:rFonts w:hint="default" w:eastAsia="宋体"/>
                      <w:color w:val="auto"/>
                      <w:sz w:val="21"/>
                      <w:szCs w:val="21"/>
                      <w:highlight w:val="none"/>
                      <w:lang w:val="en-US" w:eastAsia="zh-CN"/>
                    </w:rPr>
                  </w:pPr>
                  <w:r>
                    <w:rPr>
                      <w:rFonts w:hint="eastAsia" w:eastAsia="宋体"/>
                      <w:color w:val="auto"/>
                      <w:sz w:val="21"/>
                      <w:szCs w:val="21"/>
                      <w:highlight w:val="none"/>
                    </w:rPr>
                    <w:t>2.建设风险事故废水排放管道及处置池。</w:t>
                  </w:r>
                </w:p>
              </w:tc>
              <w:tc>
                <w:tcPr>
                  <w:tcW w:w="2230" w:type="pct"/>
                  <w:noWrap w:val="0"/>
                  <w:vAlign w:val="center"/>
                </w:tcPr>
                <w:p w14:paraId="7B870C9B">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lang w:val="en-US" w:eastAsia="zh-CN"/>
                    </w:rPr>
                  </w:pPr>
                  <w:r>
                    <w:rPr>
                      <w:rFonts w:hint="eastAsia" w:cs="Times New Roman"/>
                      <w:color w:val="auto"/>
                      <w:sz w:val="21"/>
                      <w:szCs w:val="21"/>
                      <w:highlight w:val="none"/>
                      <w:lang w:val="en-US" w:eastAsia="zh-CN"/>
                    </w:rPr>
                    <w:t>原项目已编制《突发环境事件应急预案》，</w:t>
                  </w:r>
                  <w:r>
                    <w:rPr>
                      <w:rFonts w:hint="eastAsia"/>
                      <w:bCs/>
                      <w:color w:val="auto"/>
                      <w:sz w:val="21"/>
                      <w:szCs w:val="21"/>
                      <w:highlight w:val="none"/>
                    </w:rPr>
                    <w:t>并报昆明市生态环境局寻甸分局备案。</w:t>
                  </w:r>
                  <w:r>
                    <w:rPr>
                      <w:rFonts w:hint="eastAsia"/>
                      <w:bCs/>
                      <w:color w:val="auto"/>
                      <w:sz w:val="21"/>
                      <w:szCs w:val="21"/>
                      <w:highlight w:val="none"/>
                      <w:lang w:eastAsia="zh-CN"/>
                    </w:rPr>
                    <w:t>待本</w:t>
                  </w:r>
                  <w:r>
                    <w:rPr>
                      <w:rFonts w:hint="eastAsia" w:ascii="Times New Roman" w:hAnsi="Times New Roman" w:eastAsia="宋体" w:cs="Times New Roman"/>
                      <w:color w:val="auto"/>
                      <w:sz w:val="21"/>
                      <w:szCs w:val="21"/>
                      <w:highlight w:val="none"/>
                      <w:lang w:val="en-US" w:eastAsia="zh-CN"/>
                    </w:rPr>
                    <w:t>项目建成后将继续完善相应的环保手续，</w:t>
                  </w:r>
                  <w:r>
                    <w:rPr>
                      <w:rFonts w:hint="eastAsia" w:cs="Times New Roman"/>
                      <w:color w:val="auto"/>
                      <w:sz w:val="21"/>
                      <w:szCs w:val="21"/>
                      <w:highlight w:val="none"/>
                      <w:lang w:val="en-US" w:eastAsia="zh-CN"/>
                    </w:rPr>
                    <w:t>修编</w:t>
                  </w:r>
                  <w:r>
                    <w:rPr>
                      <w:rFonts w:hint="eastAsia" w:ascii="Times New Roman" w:hAnsi="Times New Roman" w:eastAsia="宋体" w:cs="Times New Roman"/>
                      <w:color w:val="auto"/>
                      <w:sz w:val="21"/>
                      <w:szCs w:val="21"/>
                      <w:highlight w:val="none"/>
                      <w:lang w:val="en-US" w:eastAsia="zh-CN"/>
                    </w:rPr>
                    <w:t>突发环境事件应急预案</w:t>
                  </w:r>
                  <w:r>
                    <w:rPr>
                      <w:rFonts w:hint="eastAsia" w:cs="Times New Roman"/>
                      <w:color w:val="auto"/>
                      <w:sz w:val="21"/>
                      <w:szCs w:val="21"/>
                      <w:highlight w:val="none"/>
                      <w:lang w:val="en-US" w:eastAsia="zh-CN"/>
                    </w:rPr>
                    <w:t>，建设风险事故废水排放管道及处置池。</w:t>
                  </w:r>
                </w:p>
              </w:tc>
              <w:tc>
                <w:tcPr>
                  <w:tcW w:w="290" w:type="pct"/>
                  <w:noWrap w:val="0"/>
                  <w:vAlign w:val="center"/>
                </w:tcPr>
                <w:p w14:paraId="463F4549">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46A7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47" w:type="pct"/>
                  <w:vMerge w:val="continue"/>
                  <w:noWrap w:val="0"/>
                  <w:vAlign w:val="center"/>
                </w:tcPr>
                <w:p w14:paraId="7A105C87">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rPr>
                  </w:pPr>
                </w:p>
              </w:tc>
              <w:tc>
                <w:tcPr>
                  <w:tcW w:w="432" w:type="pct"/>
                  <w:vMerge w:val="continue"/>
                  <w:noWrap w:val="0"/>
                  <w:vAlign w:val="center"/>
                </w:tcPr>
                <w:p w14:paraId="16A1DEE9">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rPr>
                  </w:pPr>
                </w:p>
              </w:tc>
              <w:tc>
                <w:tcPr>
                  <w:tcW w:w="274" w:type="pct"/>
                  <w:noWrap w:val="0"/>
                  <w:vAlign w:val="center"/>
                </w:tcPr>
                <w:p w14:paraId="439BF15A">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资源开发效率要求</w:t>
                  </w:r>
                </w:p>
              </w:tc>
              <w:tc>
                <w:tcPr>
                  <w:tcW w:w="1523" w:type="pct"/>
                  <w:noWrap w:val="0"/>
                  <w:vAlign w:val="center"/>
                </w:tcPr>
                <w:p w14:paraId="62B7C2B8">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rPr>
                  </w:pPr>
                  <w:r>
                    <w:rPr>
                      <w:rFonts w:hint="eastAsia" w:eastAsia="宋体"/>
                      <w:color w:val="auto"/>
                      <w:sz w:val="21"/>
                      <w:szCs w:val="21"/>
                      <w:highlight w:val="none"/>
                    </w:rPr>
                    <w:t>1.清洁生产水平不低于国家清洁生产标准规定的国内先进水平。</w:t>
                  </w:r>
                </w:p>
                <w:p w14:paraId="03C48D41">
                  <w:pPr>
                    <w:keepNext w:val="0"/>
                    <w:keepLines w:val="0"/>
                    <w:suppressLineNumbers w:val="0"/>
                    <w:bidi w:val="0"/>
                    <w:spacing w:before="0" w:beforeAutospacing="0" w:after="0" w:afterAutospacing="0"/>
                    <w:ind w:left="0" w:right="0"/>
                    <w:jc w:val="both"/>
                    <w:outlineLvl w:val="9"/>
                    <w:rPr>
                      <w:rFonts w:hint="eastAsia" w:eastAsia="宋体"/>
                      <w:color w:val="auto"/>
                      <w:sz w:val="21"/>
                      <w:szCs w:val="21"/>
                      <w:highlight w:val="none"/>
                      <w:lang w:val="en-US" w:eastAsia="zh-CN"/>
                    </w:rPr>
                  </w:pPr>
                  <w:r>
                    <w:rPr>
                      <w:rFonts w:hint="eastAsia" w:eastAsia="宋体"/>
                      <w:color w:val="auto"/>
                      <w:sz w:val="21"/>
                      <w:szCs w:val="21"/>
                      <w:highlight w:val="none"/>
                    </w:rPr>
                    <w:t>2.工业固废综合利用率≥70</w:t>
                  </w:r>
                  <w:r>
                    <w:rPr>
                      <w:rFonts w:hint="eastAsia"/>
                      <w:color w:val="auto"/>
                      <w:sz w:val="21"/>
                      <w:szCs w:val="21"/>
                      <w:highlight w:val="none"/>
                      <w:lang w:val="en-US" w:eastAsia="zh-CN"/>
                    </w:rPr>
                    <w:t>%</w:t>
                  </w:r>
                  <w:r>
                    <w:rPr>
                      <w:rFonts w:hint="eastAsia" w:eastAsia="宋体"/>
                      <w:color w:val="auto"/>
                      <w:sz w:val="21"/>
                      <w:szCs w:val="21"/>
                      <w:highlight w:val="none"/>
                    </w:rPr>
                    <w:t>，再生水回用率100%，工业用水重复利用率100%，单位工业增加值综合耗能≤0.5吨标煤/万元。</w:t>
                  </w:r>
                </w:p>
              </w:tc>
              <w:tc>
                <w:tcPr>
                  <w:tcW w:w="2230" w:type="pct"/>
                  <w:noWrap w:val="0"/>
                  <w:vAlign w:val="center"/>
                </w:tcPr>
                <w:p w14:paraId="602CA41A">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本项目</w:t>
                  </w:r>
                  <w:r>
                    <w:rPr>
                      <w:rFonts w:hint="eastAsia"/>
                      <w:color w:val="auto"/>
                      <w:sz w:val="21"/>
                      <w:szCs w:val="21"/>
                      <w:highlight w:val="none"/>
                    </w:rPr>
                    <w:t>为</w:t>
                  </w:r>
                  <w:r>
                    <w:rPr>
                      <w:rFonts w:hint="eastAsia"/>
                      <w:color w:val="auto"/>
                      <w:sz w:val="21"/>
                      <w:szCs w:val="21"/>
                      <w:highlight w:val="none"/>
                      <w:lang w:eastAsia="zh-CN"/>
                    </w:rPr>
                    <w:t>玻璃生产加工</w:t>
                  </w:r>
                  <w:r>
                    <w:rPr>
                      <w:rFonts w:hint="eastAsia"/>
                      <w:color w:val="auto"/>
                      <w:sz w:val="21"/>
                      <w:szCs w:val="21"/>
                      <w:highlight w:val="none"/>
                    </w:rPr>
                    <w:t>项目</w:t>
                  </w:r>
                  <w:r>
                    <w:rPr>
                      <w:rFonts w:hint="eastAsia"/>
                      <w:color w:val="auto"/>
                      <w:sz w:val="21"/>
                      <w:szCs w:val="21"/>
                      <w:highlight w:val="none"/>
                      <w:lang w:eastAsia="zh-CN"/>
                    </w:rPr>
                    <w:t>；清洁生产水平不低于</w:t>
                  </w:r>
                  <w:r>
                    <w:rPr>
                      <w:rFonts w:hint="eastAsia" w:eastAsia="宋体"/>
                      <w:color w:val="auto"/>
                      <w:sz w:val="21"/>
                      <w:szCs w:val="21"/>
                      <w:highlight w:val="none"/>
                    </w:rPr>
                    <w:t>国家清洁生产标准规定的国内先进水平。</w:t>
                  </w:r>
                  <w:r>
                    <w:rPr>
                      <w:rFonts w:hint="eastAsia"/>
                      <w:color w:val="auto"/>
                      <w:sz w:val="21"/>
                      <w:szCs w:val="21"/>
                      <w:highlight w:val="none"/>
                      <w:lang w:eastAsia="zh-CN"/>
                    </w:rPr>
                    <w:t>工业固废</w:t>
                  </w:r>
                  <w:r>
                    <w:rPr>
                      <w:rFonts w:hint="eastAsia"/>
                      <w:color w:val="auto"/>
                      <w:sz w:val="21"/>
                      <w:szCs w:val="21"/>
                      <w:highlight w:val="none"/>
                      <w:lang w:val="en-US" w:eastAsia="zh-CN"/>
                    </w:rPr>
                    <w:t>综合利用率</w:t>
                  </w:r>
                  <w:r>
                    <w:rPr>
                      <w:rFonts w:hint="eastAsia"/>
                      <w:color w:val="auto"/>
                      <w:sz w:val="21"/>
                      <w:szCs w:val="21"/>
                      <w:highlight w:val="none"/>
                      <w:lang w:eastAsia="zh-CN"/>
                    </w:rPr>
                    <w:t>达</w:t>
                  </w:r>
                  <w:r>
                    <w:rPr>
                      <w:rFonts w:hint="eastAsia"/>
                      <w:color w:val="auto"/>
                      <w:sz w:val="21"/>
                      <w:szCs w:val="21"/>
                      <w:highlight w:val="none"/>
                      <w:lang w:val="en-US" w:eastAsia="zh-CN"/>
                    </w:rPr>
                    <w:t>10</w:t>
                  </w:r>
                  <w:r>
                    <w:rPr>
                      <w:rFonts w:hint="eastAsia" w:eastAsia="宋体"/>
                      <w:color w:val="auto"/>
                      <w:sz w:val="21"/>
                      <w:szCs w:val="21"/>
                      <w:highlight w:val="none"/>
                    </w:rPr>
                    <w:t>0</w:t>
                  </w:r>
                  <w:r>
                    <w:rPr>
                      <w:rFonts w:hint="eastAsia"/>
                      <w:color w:val="auto"/>
                      <w:sz w:val="21"/>
                      <w:szCs w:val="21"/>
                      <w:highlight w:val="none"/>
                      <w:lang w:val="en-US" w:eastAsia="zh-CN"/>
                    </w:rPr>
                    <w:t>%</w:t>
                  </w:r>
                  <w:r>
                    <w:rPr>
                      <w:rFonts w:hint="eastAsia"/>
                      <w:color w:val="auto"/>
                      <w:sz w:val="21"/>
                      <w:szCs w:val="21"/>
                      <w:highlight w:val="none"/>
                      <w:lang w:eastAsia="zh-CN"/>
                    </w:rPr>
                    <w:t>。生产</w:t>
                  </w:r>
                  <w:r>
                    <w:rPr>
                      <w:rFonts w:hint="eastAsia"/>
                      <w:color w:val="auto"/>
                      <w:sz w:val="21"/>
                      <w:szCs w:val="21"/>
                      <w:highlight w:val="none"/>
                      <w:lang w:val="en-US" w:eastAsia="zh-CN"/>
                    </w:rPr>
                    <w:t>废水经收集后统一进入调节池、生产废水处理设施处理达《城市污水再生利用 工业用水水质》（GB/T 19923-2005）中的洗涤用水标准后回用于水洗补水，不外排；</w:t>
                  </w:r>
                  <w:r>
                    <w:rPr>
                      <w:rFonts w:hint="eastAsia" w:eastAsia="宋体"/>
                      <w:color w:val="auto"/>
                      <w:sz w:val="21"/>
                      <w:szCs w:val="21"/>
                      <w:highlight w:val="none"/>
                      <w:lang w:val="en-US" w:eastAsia="zh-CN"/>
                    </w:rPr>
                    <w:t>生活污水经化粪池和</w:t>
                  </w:r>
                  <w:r>
                    <w:rPr>
                      <w:rFonts w:hint="eastAsia"/>
                      <w:color w:val="auto"/>
                      <w:sz w:val="21"/>
                      <w:szCs w:val="21"/>
                      <w:highlight w:val="none"/>
                      <w:lang w:val="en-US" w:eastAsia="zh-CN"/>
                    </w:rPr>
                    <w:t>生活</w:t>
                  </w:r>
                  <w:r>
                    <w:rPr>
                      <w:rFonts w:hint="eastAsia" w:eastAsia="宋体"/>
                      <w:color w:val="auto"/>
                      <w:sz w:val="21"/>
                      <w:szCs w:val="21"/>
                      <w:highlight w:val="none"/>
                      <w:lang w:val="en-US" w:eastAsia="zh-CN"/>
                    </w:rPr>
                    <w:t>污水处理</w:t>
                  </w:r>
                  <w:r>
                    <w:rPr>
                      <w:rFonts w:hint="eastAsia"/>
                      <w:color w:val="auto"/>
                      <w:sz w:val="21"/>
                      <w:szCs w:val="21"/>
                      <w:highlight w:val="none"/>
                      <w:lang w:val="en-US" w:eastAsia="zh-CN"/>
                    </w:rPr>
                    <w:t>站</w:t>
                  </w:r>
                  <w:r>
                    <w:rPr>
                      <w:rFonts w:hint="eastAsia" w:eastAsia="宋体"/>
                      <w:color w:val="auto"/>
                      <w:sz w:val="21"/>
                      <w:szCs w:val="21"/>
                      <w:highlight w:val="none"/>
                      <w:lang w:val="en-US" w:eastAsia="zh-CN"/>
                    </w:rPr>
                    <w:t>处理</w:t>
                  </w:r>
                  <w:r>
                    <w:rPr>
                      <w:rFonts w:hint="default"/>
                      <w:color w:val="auto"/>
                      <w:sz w:val="21"/>
                      <w:szCs w:val="21"/>
                      <w:highlight w:val="none"/>
                      <w:lang w:val="en-US" w:eastAsia="zh-CN"/>
                    </w:rPr>
                    <w:t>达《城市污水再生利用 城市杂用水水质》（GB/T18920-2020）中城市绿化、</w:t>
                  </w:r>
                  <w:r>
                    <w:rPr>
                      <w:rFonts w:hint="eastAsia"/>
                      <w:color w:val="auto"/>
                      <w:sz w:val="21"/>
                      <w:szCs w:val="21"/>
                      <w:highlight w:val="none"/>
                      <w:lang w:val="en-US" w:eastAsia="zh-CN"/>
                    </w:rPr>
                    <w:t>道路广场浇洒</w:t>
                  </w:r>
                  <w:r>
                    <w:rPr>
                      <w:rFonts w:hint="default"/>
                      <w:color w:val="auto"/>
                      <w:sz w:val="21"/>
                      <w:szCs w:val="21"/>
                      <w:highlight w:val="none"/>
                      <w:lang w:val="en-US" w:eastAsia="zh-CN"/>
                    </w:rPr>
                    <w:t>、消防、建筑施工标准</w:t>
                  </w:r>
                  <w:r>
                    <w:rPr>
                      <w:rFonts w:hint="eastAsia"/>
                      <w:color w:val="auto"/>
                      <w:sz w:val="21"/>
                      <w:szCs w:val="21"/>
                      <w:highlight w:val="none"/>
                      <w:lang w:val="en-US" w:eastAsia="zh-CN"/>
                    </w:rPr>
                    <w:t>后回用于项目区绿化和道路广场浇洒，不外排。</w:t>
                  </w:r>
                </w:p>
              </w:tc>
              <w:tc>
                <w:tcPr>
                  <w:tcW w:w="290" w:type="pct"/>
                  <w:noWrap w:val="0"/>
                  <w:vAlign w:val="center"/>
                </w:tcPr>
                <w:p w14:paraId="66A5AD9B">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4CF90A26">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3、产业政策的符合性分析</w:t>
            </w:r>
          </w:p>
          <w:p w14:paraId="5C8AFC3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t>本项目为</w:t>
            </w:r>
            <w:r>
              <w:rPr>
                <w:rFonts w:hint="eastAsia" w:ascii="Times New Roman" w:hAnsi="Times New Roman" w:cs="Times New Roman"/>
                <w:color w:val="auto"/>
                <w:highlight w:val="none"/>
                <w:lang w:val="en-US" w:eastAsia="zh-CN"/>
              </w:rPr>
              <w:t>玻璃生产加工项目</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2021修订版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val="0"/>
                <w:iCs w:val="0"/>
                <w:caps w:val="0"/>
                <w:color w:val="auto"/>
                <w:spacing w:val="0"/>
                <w:sz w:val="24"/>
                <w:szCs w:val="24"/>
                <w:highlight w:val="none"/>
                <w:shd w:val="clear" w:fill="auto"/>
              </w:rPr>
              <w:t>国家发展改革委令第49号公布</w:t>
            </w:r>
            <w:r>
              <w:rPr>
                <w:rFonts w:hint="default" w:ascii="Times New Roman" w:hAnsi="Times New Roman" w:eastAsia="宋体" w:cs="Times New Roman"/>
                <w:i w:val="0"/>
                <w:iCs w:val="0"/>
                <w:caps w:val="0"/>
                <w:color w:val="auto"/>
                <w:spacing w:val="0"/>
                <w:sz w:val="24"/>
                <w:szCs w:val="24"/>
                <w:highlight w:val="none"/>
                <w:shd w:val="clear"/>
                <w:lang w:val="en-US" w:eastAsia="zh-CN"/>
              </w:rPr>
              <w:t xml:space="preserve"> </w:t>
            </w:r>
            <w:r>
              <w:rPr>
                <w:rFonts w:hint="default" w:ascii="Times New Roman" w:hAnsi="Times New Roman" w:eastAsia="宋体" w:cs="Times New Roman"/>
                <w:i w:val="0"/>
                <w:iCs w:val="0"/>
                <w:caps w:val="0"/>
                <w:color w:val="auto"/>
                <w:spacing w:val="0"/>
                <w:sz w:val="24"/>
                <w:szCs w:val="24"/>
                <w:highlight w:val="none"/>
                <w:shd w:val="clear" w:fill="auto"/>
              </w:rPr>
              <w:t>自2021年12月30日起施行</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本项目不属于鼓励类、限制类和淘汰类，故项目属于允许类，符合国家相关产业政策。</w:t>
            </w:r>
          </w:p>
          <w:p w14:paraId="70F00685">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4、选址合理性分析</w:t>
            </w:r>
          </w:p>
          <w:p w14:paraId="039E8E1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项目为</w:t>
            </w:r>
            <w:r>
              <w:rPr>
                <w:rFonts w:hint="eastAsia" w:ascii="宋体" w:hAnsi="宋体" w:cs="宋体"/>
                <w:b w:val="0"/>
                <w:bCs w:val="0"/>
                <w:color w:val="auto"/>
                <w:kern w:val="0"/>
                <w:sz w:val="24"/>
                <w:szCs w:val="24"/>
                <w:highlight w:val="none"/>
                <w:lang w:val="en-US" w:eastAsia="zh-CN" w:bidi="ar"/>
              </w:rPr>
              <w:t>玻璃生产加工</w:t>
            </w:r>
            <w:r>
              <w:rPr>
                <w:rFonts w:hint="default" w:ascii="宋体" w:hAnsi="宋体" w:eastAsia="宋体" w:cs="宋体"/>
                <w:b w:val="0"/>
                <w:bCs w:val="0"/>
                <w:color w:val="auto"/>
                <w:kern w:val="0"/>
                <w:sz w:val="24"/>
                <w:szCs w:val="24"/>
                <w:highlight w:val="none"/>
                <w:lang w:val="en-US" w:eastAsia="zh-CN" w:bidi="ar"/>
              </w:rPr>
              <w:t>项目，位于寻甸特色产业园区羊街片区，属</w:t>
            </w:r>
            <w:r>
              <w:rPr>
                <w:rFonts w:hint="eastAsia" w:ascii="宋体" w:hAnsi="宋体" w:cs="宋体"/>
                <w:b w:val="0"/>
                <w:bCs w:val="0"/>
                <w:color w:val="auto"/>
                <w:kern w:val="0"/>
                <w:sz w:val="24"/>
                <w:szCs w:val="24"/>
                <w:highlight w:val="none"/>
                <w:lang w:val="en-US" w:eastAsia="zh-CN" w:bidi="ar"/>
              </w:rPr>
              <w:t>于</w:t>
            </w:r>
            <w:r>
              <w:rPr>
                <w:rFonts w:hint="default" w:ascii="宋体" w:hAnsi="宋体" w:eastAsia="宋体" w:cs="宋体"/>
                <w:b w:val="0"/>
                <w:bCs w:val="0"/>
                <w:color w:val="auto"/>
                <w:kern w:val="0"/>
                <w:sz w:val="24"/>
                <w:szCs w:val="24"/>
                <w:highlight w:val="none"/>
                <w:lang w:val="en-US" w:eastAsia="zh-CN" w:bidi="ar"/>
              </w:rPr>
              <w:t>工业用地，与园区产业规划不冲突。由于园区基础设施的建设，所选厂地在供电、供水、交通等基础条件十分便利。根据引用的环境质量数据，项目区具有一定的环境容量，对项目建设无重大环境制约因素。在采取相应环保措施后，项目产生的废气对周围环境影响较小；废水可做到不外排；噪声厂界可达标排放；固体废物均能得到</w:t>
            </w:r>
            <w:r>
              <w:rPr>
                <w:rFonts w:hint="default" w:ascii="Times New Roman" w:hAnsi="Times New Roman" w:cs="Times New Roman"/>
                <w:b w:val="0"/>
                <w:bCs w:val="0"/>
                <w:color w:val="auto"/>
                <w:kern w:val="0"/>
                <w:sz w:val="24"/>
                <w:szCs w:val="24"/>
                <w:highlight w:val="none"/>
                <w:lang w:val="en-US" w:eastAsia="zh-CN" w:bidi="ar"/>
              </w:rPr>
              <w:t>100%</w:t>
            </w:r>
            <w:r>
              <w:rPr>
                <w:rFonts w:hint="default" w:ascii="宋体" w:hAnsi="宋体" w:eastAsia="宋体" w:cs="宋体"/>
                <w:b w:val="0"/>
                <w:bCs w:val="0"/>
                <w:color w:val="auto"/>
                <w:kern w:val="0"/>
                <w:sz w:val="24"/>
                <w:szCs w:val="24"/>
                <w:highlight w:val="none"/>
                <w:lang w:val="en-US" w:eastAsia="zh-CN" w:bidi="ar"/>
              </w:rPr>
              <w:t>合理处置，项目与周围环境相容。建设用地周围无需要特殊保护的文物、名胜、古迹和文化、自然遗产，不属于自然保护区和风景名胜区的保护范围。</w:t>
            </w:r>
          </w:p>
          <w:p w14:paraId="1F76C08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综上，项目建设场地条件、交通运输、环境保护和水、电、通信等条件好，无重大的环境制约因素，项目选址合理。</w:t>
            </w:r>
          </w:p>
          <w:p w14:paraId="79427BA7">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5、平面布置符合性分析</w:t>
            </w:r>
          </w:p>
          <w:p w14:paraId="40646DA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Times New Roman" w:hAnsi="Times New Roman" w:eastAsia="宋体" w:cs="Times New Roman"/>
                <w:color w:val="auto"/>
                <w:sz w:val="24"/>
                <w:highlight w:val="none"/>
                <w:lang w:val="en-US" w:eastAsia="zh-CN"/>
              </w:rPr>
              <w:t>本项目不新增占地，仅在原项目生产车间内新增生产线及产能。</w:t>
            </w:r>
            <w:r>
              <w:rPr>
                <w:rFonts w:hint="eastAsia"/>
                <w:color w:val="auto"/>
                <w:sz w:val="24"/>
                <w:szCs w:val="24"/>
                <w:highlight w:val="none"/>
                <w:lang w:val="en-US" w:eastAsia="zh-CN"/>
              </w:rPr>
              <w:t>本次新建工程位于整个厂区东侧，位于原有生产车间东侧。其中玉砂玻璃生产线布置于生产车间东侧；防火玻璃生产线与</w:t>
            </w:r>
            <w:r>
              <w:rPr>
                <w:rFonts w:hint="eastAsia" w:cs="Times New Roman"/>
                <w:color w:val="auto"/>
                <w:sz w:val="24"/>
                <w:highlight w:val="none"/>
                <w:lang w:val="en-US" w:eastAsia="zh-CN"/>
              </w:rPr>
              <w:t>钢化玻璃共用生产设备，</w:t>
            </w:r>
            <w:r>
              <w:rPr>
                <w:rFonts w:hint="eastAsia"/>
                <w:color w:val="auto"/>
                <w:sz w:val="24"/>
                <w:szCs w:val="24"/>
                <w:highlight w:val="none"/>
                <w:lang w:val="en-US" w:eastAsia="zh-CN"/>
              </w:rPr>
              <w:t>布置于生产车间南侧；钢化玻璃生产线依托原项目，布置于生产车间中间。办</w:t>
            </w:r>
            <w:r>
              <w:rPr>
                <w:rFonts w:hint="eastAsia" w:ascii="宋体" w:hAnsi="宋体" w:eastAsia="宋体" w:cs="宋体"/>
                <w:b w:val="0"/>
                <w:bCs w:val="0"/>
                <w:color w:val="auto"/>
                <w:kern w:val="0"/>
                <w:sz w:val="24"/>
                <w:szCs w:val="24"/>
                <w:highlight w:val="none"/>
                <w:lang w:val="en-US" w:eastAsia="zh-CN" w:bidi="ar"/>
              </w:rPr>
              <w:t>公生活区</w:t>
            </w:r>
            <w:r>
              <w:rPr>
                <w:rFonts w:hint="eastAsia" w:ascii="宋体" w:hAnsi="宋体" w:cs="宋体"/>
                <w:b w:val="0"/>
                <w:bCs w:val="0"/>
                <w:color w:val="auto"/>
                <w:kern w:val="0"/>
                <w:sz w:val="24"/>
                <w:szCs w:val="24"/>
                <w:highlight w:val="none"/>
                <w:lang w:val="en-US" w:eastAsia="zh-CN" w:bidi="ar"/>
              </w:rPr>
              <w:t>以及生活污水处理系统依托原项目。</w:t>
            </w:r>
          </w:p>
          <w:p w14:paraId="68926B9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综上分析，项目平面布局生产区、办公生活区分开布置，满足生产人流、物流分离、互不交叉干扰的原则，结构明朗，流程顺畅，布局紧凑，符合生产工艺流程等需求。总体上做到按功能分区，系统分明，布置整齐。</w:t>
            </w:r>
            <w:r>
              <w:rPr>
                <w:rFonts w:hint="eastAsia" w:ascii="宋体" w:hAnsi="宋体" w:eastAsia="宋体" w:cs="宋体"/>
                <w:b w:val="0"/>
                <w:bCs w:val="0"/>
                <w:color w:val="auto"/>
                <w:kern w:val="0"/>
                <w:sz w:val="24"/>
                <w:szCs w:val="24"/>
                <w:highlight w:val="none"/>
                <w:lang w:val="en-US" w:eastAsia="zh-CN" w:bidi="ar"/>
              </w:rPr>
              <w:t>环保设施就近布设，方便废水收集处理及利用，以及废气就近处理。</w:t>
            </w:r>
          </w:p>
          <w:p w14:paraId="4BC054B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bidi="ar"/>
              </w:rPr>
              <w:t>综合分析</w:t>
            </w:r>
            <w:r>
              <w:rPr>
                <w:rFonts w:hint="default" w:ascii="宋体" w:hAnsi="宋体" w:eastAsia="宋体" w:cs="宋体"/>
                <w:b w:val="0"/>
                <w:bCs w:val="0"/>
                <w:color w:val="auto"/>
                <w:kern w:val="0"/>
                <w:sz w:val="24"/>
                <w:szCs w:val="24"/>
                <w:highlight w:val="none"/>
                <w:lang w:val="en-US" w:eastAsia="zh-CN" w:bidi="ar"/>
              </w:rPr>
              <w:t>，项目功能分区明确，做到统一协调，建、构筑物的布置紧凑合理，满足生产系统的储存、操作等主要环节的要求，项目平面布置合理。</w:t>
            </w:r>
            <w:r>
              <w:rPr>
                <w:rFonts w:hint="eastAsia" w:ascii="宋体" w:hAnsi="宋体" w:eastAsia="宋体" w:cs="宋体"/>
                <w:b w:val="0"/>
                <w:bCs w:val="0"/>
                <w:color w:val="auto"/>
                <w:kern w:val="0"/>
                <w:sz w:val="24"/>
                <w:szCs w:val="24"/>
                <w:highlight w:val="none"/>
                <w:lang w:val="en-US" w:eastAsia="zh-CN" w:bidi="ar"/>
              </w:rPr>
              <w:t>项目平面布置</w:t>
            </w:r>
            <w:r>
              <w:rPr>
                <w:rFonts w:hint="eastAsia"/>
                <w:color w:val="auto"/>
                <w:sz w:val="24"/>
                <w:szCs w:val="24"/>
                <w:highlight w:val="none"/>
                <w:lang w:val="en-US" w:eastAsia="zh-CN"/>
              </w:rPr>
              <w:t>见附图2，生产车间平面布置见附图3。</w:t>
            </w:r>
          </w:p>
          <w:p w14:paraId="7691B8CE">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6、与《云南省牛栏江保护条例》符合性分析</w:t>
            </w:r>
          </w:p>
          <w:p w14:paraId="4DFCA3B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根据《云南省牛栏江保护条例》牛栏江流域上游保护区划分为水源保护核心区、重点污染控制区和重点水源涵养区。</w:t>
            </w:r>
          </w:p>
          <w:p w14:paraId="2FECC34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(1) 水源保护核心区包括德泽水库库区和德泽水库以上牛栏江干流 区。德泽水库库区为德泽水库正常蓄水位</w:t>
            </w:r>
            <w:r>
              <w:rPr>
                <w:rFonts w:hint="default" w:ascii="Times New Roman" w:hAnsi="Times New Roman" w:eastAsia="宋体" w:cs="Times New Roman"/>
                <w:b w:val="0"/>
                <w:bCs w:val="0"/>
                <w:color w:val="auto"/>
                <w:kern w:val="0"/>
                <w:sz w:val="24"/>
                <w:szCs w:val="24"/>
                <w:highlight w:val="none"/>
                <w:lang w:val="en-US" w:eastAsia="zh-CN" w:bidi="ar"/>
              </w:rPr>
              <w:t>1790m</w:t>
            </w:r>
            <w:r>
              <w:rPr>
                <w:rFonts w:hint="default" w:ascii="宋体" w:hAnsi="宋体" w:eastAsia="宋体" w:cs="宋体"/>
                <w:b w:val="0"/>
                <w:bCs w:val="0"/>
                <w:color w:val="auto"/>
                <w:kern w:val="0"/>
                <w:sz w:val="24"/>
                <w:szCs w:val="24"/>
                <w:highlight w:val="none"/>
                <w:lang w:val="en-US" w:eastAsia="zh-CN" w:bidi="ar"/>
              </w:rPr>
              <w:t xml:space="preserve"> 水面及沿岸外延</w:t>
            </w:r>
            <w:r>
              <w:rPr>
                <w:rFonts w:hint="default" w:ascii="Times New Roman" w:hAnsi="Times New Roman" w:eastAsia="宋体" w:cs="Times New Roman"/>
                <w:b w:val="0"/>
                <w:bCs w:val="0"/>
                <w:color w:val="auto"/>
                <w:kern w:val="0"/>
                <w:sz w:val="24"/>
                <w:szCs w:val="24"/>
                <w:highlight w:val="none"/>
                <w:lang w:val="en-US" w:eastAsia="zh-CN" w:bidi="ar"/>
              </w:rPr>
              <w:t>2000m</w:t>
            </w:r>
            <w:r>
              <w:rPr>
                <w:rFonts w:hint="default" w:ascii="宋体" w:hAnsi="宋体" w:eastAsia="宋体" w:cs="宋体"/>
                <w:b w:val="0"/>
                <w:bCs w:val="0"/>
                <w:color w:val="auto"/>
                <w:kern w:val="0"/>
                <w:sz w:val="24"/>
                <w:szCs w:val="24"/>
                <w:highlight w:val="none"/>
                <w:lang w:val="en-US" w:eastAsia="zh-CN" w:bidi="ar"/>
              </w:rPr>
              <w:t xml:space="preserve"> 的范围，区域范围超过一级山脊线的，按照一级山脊线划定；德泽水库以上牛栏江干流区指德泽水库以上干流(包括干流源头矣纳岔口至嘉丽泽对龙河河段)水域及两岸外延</w:t>
            </w:r>
            <w:r>
              <w:rPr>
                <w:rFonts w:hint="default" w:ascii="Times New Roman" w:hAnsi="Times New Roman" w:eastAsia="宋体" w:cs="Times New Roman"/>
                <w:b w:val="0"/>
                <w:bCs w:val="0"/>
                <w:color w:val="auto"/>
                <w:kern w:val="0"/>
                <w:sz w:val="24"/>
                <w:szCs w:val="24"/>
                <w:highlight w:val="none"/>
                <w:lang w:val="en-US" w:eastAsia="zh-CN" w:bidi="ar"/>
              </w:rPr>
              <w:t>1000m</w:t>
            </w:r>
            <w:r>
              <w:rPr>
                <w:rFonts w:hint="default" w:ascii="宋体" w:hAnsi="宋体" w:eastAsia="宋体" w:cs="宋体"/>
                <w:b w:val="0"/>
                <w:bCs w:val="0"/>
                <w:color w:val="auto"/>
                <w:kern w:val="0"/>
                <w:sz w:val="24"/>
                <w:szCs w:val="24"/>
                <w:highlight w:val="none"/>
                <w:lang w:val="en-US" w:eastAsia="zh-CN" w:bidi="ar"/>
              </w:rPr>
              <w:t>的范围，区域范围超过一级山脊线的，按照一级山脊线划定。</w:t>
            </w:r>
          </w:p>
          <w:p w14:paraId="5A3E761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(2) 重点污染控制区为水源保护核心区以外，流域范围内的坝区以 及花庄河、果马河、普沙河、弥良河、对龙河、杨林河、匡郎河、前进河、马龙河水域及两岸外延</w:t>
            </w:r>
            <w:r>
              <w:rPr>
                <w:rFonts w:hint="default" w:ascii="Times New Roman" w:hAnsi="Times New Roman" w:eastAsia="宋体" w:cs="Times New Roman"/>
                <w:b w:val="0"/>
                <w:bCs w:val="0"/>
                <w:color w:val="auto"/>
                <w:kern w:val="0"/>
                <w:sz w:val="24"/>
                <w:szCs w:val="24"/>
                <w:highlight w:val="none"/>
                <w:lang w:val="en-US" w:eastAsia="zh-CN" w:bidi="ar"/>
              </w:rPr>
              <w:t>3000m</w:t>
            </w:r>
            <w:r>
              <w:rPr>
                <w:rFonts w:hint="default" w:ascii="宋体" w:hAnsi="宋体" w:eastAsia="宋体" w:cs="宋体"/>
                <w:b w:val="0"/>
                <w:bCs w:val="0"/>
                <w:color w:val="auto"/>
                <w:kern w:val="0"/>
                <w:sz w:val="24"/>
                <w:szCs w:val="24"/>
                <w:highlight w:val="none"/>
                <w:lang w:val="en-US" w:eastAsia="zh-CN" w:bidi="ar"/>
              </w:rPr>
              <w:t>的区域，区域范围超过一级山脊线的，按照一级山脊线划定。</w:t>
            </w:r>
          </w:p>
          <w:p w14:paraId="15EB88E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(3) 重点水源涵养区为流域范围内除水源保护核心区、重点污染控 制区以外的集水区域。</w:t>
            </w:r>
          </w:p>
          <w:p w14:paraId="4BAD0A0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本项目位于云南省昆明市寻甸特色产业园区羊街片区，根据牛栏江水系功能规划图 (见附图</w:t>
            </w:r>
            <w:r>
              <w:rPr>
                <w:rFonts w:hint="default" w:ascii="Times New Roman" w:hAnsi="Times New Roman" w:eastAsia="宋体" w:cs="Times New Roman"/>
                <w:b w:val="0"/>
                <w:bCs w:val="0"/>
                <w:color w:val="auto"/>
                <w:kern w:val="0"/>
                <w:sz w:val="24"/>
                <w:szCs w:val="24"/>
                <w:highlight w:val="none"/>
                <w:lang w:val="en-US" w:eastAsia="zh-CN" w:bidi="ar"/>
              </w:rPr>
              <w:t>8</w:t>
            </w:r>
            <w:r>
              <w:rPr>
                <w:rFonts w:hint="default" w:ascii="宋体" w:hAnsi="宋体" w:eastAsia="宋体" w:cs="宋体"/>
                <w:b w:val="0"/>
                <w:bCs w:val="0"/>
                <w:color w:val="auto"/>
                <w:kern w:val="0"/>
                <w:sz w:val="24"/>
                <w:szCs w:val="24"/>
                <w:highlight w:val="none"/>
                <w:lang w:val="en-US" w:eastAsia="zh-CN" w:bidi="ar"/>
              </w:rPr>
              <w:t>) 可知，项目区属于重点污染控制区。重点污染控制区需满足重点水源涵养区禁止的行为及重点污染控制区的禁止行为。根据《云南省牛栏江保护条例》中第三十二、三十三条中规定的禁止行为分析项目选址符合性。</w:t>
            </w:r>
          </w:p>
          <w:p w14:paraId="109596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黑体"/>
                <w:b/>
                <w:bCs/>
                <w:color w:val="auto"/>
                <w:highlight w:val="none"/>
              </w:rPr>
            </w:pPr>
            <w:r>
              <w:rPr>
                <w:rFonts w:hint="eastAsia" w:ascii="Times New Roman" w:hAnsi="Times New Roman" w:eastAsia="宋体" w:cs="黑体"/>
                <w:b/>
                <w:bCs/>
                <w:color w:val="auto"/>
                <w:highlight w:val="none"/>
              </w:rPr>
              <w:t>表</w:t>
            </w:r>
            <w:r>
              <w:rPr>
                <w:rFonts w:hint="eastAsia" w:ascii="Times New Roman" w:hAnsi="Times New Roman" w:eastAsia="宋体" w:cs="黑体"/>
                <w:b/>
                <w:bCs/>
                <w:color w:val="auto"/>
                <w:highlight w:val="none"/>
                <w:lang w:val="en-US" w:eastAsia="zh-CN"/>
              </w:rPr>
              <w:t>1</w:t>
            </w:r>
            <w:r>
              <w:rPr>
                <w:rFonts w:hint="eastAsia" w:ascii="Times New Roman" w:hAnsi="Times New Roman" w:eastAsia="宋体" w:cs="黑体"/>
                <w:b/>
                <w:bCs/>
                <w:color w:val="auto"/>
                <w:highlight w:val="none"/>
              </w:rPr>
              <w:t>-</w:t>
            </w:r>
            <w:r>
              <w:rPr>
                <w:rFonts w:hint="eastAsia" w:cs="黑体"/>
                <w:b/>
                <w:bCs/>
                <w:color w:val="auto"/>
                <w:highlight w:val="none"/>
                <w:lang w:val="en-US" w:eastAsia="zh-CN"/>
              </w:rPr>
              <w:t>6</w:t>
            </w:r>
            <w:r>
              <w:rPr>
                <w:rFonts w:hint="eastAsia" w:ascii="Times New Roman" w:hAnsi="Times New Roman" w:eastAsia="宋体" w:cs="黑体"/>
                <w:b/>
                <w:bCs/>
                <w:color w:val="auto"/>
                <w:highlight w:val="none"/>
              </w:rPr>
              <w:t xml:space="preserve">  建设内容与《云南省牛栏江保护条例》符合性分析</w:t>
            </w:r>
          </w:p>
          <w:tbl>
            <w:tblPr>
              <w:tblStyle w:val="25"/>
              <w:tblW w:w="7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087"/>
              <w:gridCol w:w="2463"/>
              <w:gridCol w:w="729"/>
            </w:tblGrid>
            <w:tr w14:paraId="779A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vAlign w:val="center"/>
                </w:tcPr>
                <w:p w14:paraId="0F297975">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保护区划分</w:t>
                  </w:r>
                </w:p>
              </w:tc>
              <w:tc>
                <w:tcPr>
                  <w:tcW w:w="2044" w:type="pct"/>
                  <w:vAlign w:val="center"/>
                </w:tcPr>
                <w:p w14:paraId="4ECA9FBC">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禁止行为</w:t>
                  </w:r>
                </w:p>
              </w:tc>
              <w:tc>
                <w:tcPr>
                  <w:tcW w:w="1631" w:type="pct"/>
                  <w:vAlign w:val="center"/>
                </w:tcPr>
                <w:p w14:paraId="2BA1278D">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w:t>
                  </w:r>
                </w:p>
              </w:tc>
              <w:tc>
                <w:tcPr>
                  <w:tcW w:w="482" w:type="pct"/>
                  <w:vAlign w:val="center"/>
                </w:tcPr>
                <w:p w14:paraId="2E3B61EB">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09BA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41" w:type="pct"/>
                  <w:vMerge w:val="restart"/>
                  <w:vAlign w:val="center"/>
                </w:tcPr>
                <w:p w14:paraId="34AEA550">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aps w:val="0"/>
                      <w:color w:val="auto"/>
                      <w:spacing w:val="0"/>
                      <w:sz w:val="21"/>
                      <w:szCs w:val="21"/>
                      <w:highlight w:val="none"/>
                      <w:shd w:val="clear" w:fill="FFFFFF"/>
                    </w:rPr>
                    <w:t>重点污染控制区内除重点水源涵养区禁止的行为</w:t>
                  </w:r>
                  <w:r>
                    <w:rPr>
                      <w:rFonts w:hint="default" w:ascii="Times New Roman" w:hAnsi="Times New Roman" w:eastAsia="宋体" w:cs="Times New Roman"/>
                      <w:i w:val="0"/>
                      <w:iCs w:val="0"/>
                      <w:caps w:val="0"/>
                      <w:color w:val="auto"/>
                      <w:spacing w:val="0"/>
                      <w:sz w:val="21"/>
                      <w:szCs w:val="21"/>
                      <w:highlight w:val="none"/>
                      <w:shd w:val="clear" w:fill="FFFFFF"/>
                      <w:lang w:eastAsia="zh-CN"/>
                    </w:rPr>
                    <w:t>外的其他禁止行为</w:t>
                  </w:r>
                </w:p>
              </w:tc>
              <w:tc>
                <w:tcPr>
                  <w:tcW w:w="2044" w:type="pct"/>
                  <w:vAlign w:val="center"/>
                </w:tcPr>
                <w:p w14:paraId="4EB29FE3">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一</w:t>
                  </w:r>
                  <w:r>
                    <w:rPr>
                      <w:rFonts w:hint="default" w:ascii="Times New Roman" w:hAnsi="Times New Roman" w:eastAsia="宋体" w:cs="Times New Roman"/>
                      <w:color w:val="auto"/>
                      <w:sz w:val="21"/>
                      <w:szCs w:val="21"/>
                      <w:highlight w:val="none"/>
                    </w:rPr>
                    <w:t>）新建、扩建工业园区；</w:t>
                  </w:r>
                </w:p>
              </w:tc>
              <w:tc>
                <w:tcPr>
                  <w:tcW w:w="1631" w:type="pct"/>
                  <w:vAlign w:val="center"/>
                </w:tcPr>
                <w:p w14:paraId="7F9903F0">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与项目无关</w:t>
                  </w:r>
                  <w:r>
                    <w:rPr>
                      <w:rFonts w:hint="default" w:ascii="Times New Roman" w:hAnsi="Times New Roman" w:eastAsia="宋体" w:cs="Times New Roman"/>
                      <w:color w:val="auto"/>
                      <w:sz w:val="21"/>
                      <w:szCs w:val="21"/>
                      <w:highlight w:val="none"/>
                      <w:lang w:eastAsia="zh-CN"/>
                    </w:rPr>
                    <w:t>。</w:t>
                  </w:r>
                </w:p>
              </w:tc>
              <w:tc>
                <w:tcPr>
                  <w:tcW w:w="482" w:type="pct"/>
                  <w:vAlign w:val="center"/>
                </w:tcPr>
                <w:p w14:paraId="6E1C822B">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443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vMerge w:val="continue"/>
                  <w:vAlign w:val="center"/>
                </w:tcPr>
                <w:p w14:paraId="167D8260">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044" w:type="pct"/>
                  <w:vAlign w:val="center"/>
                </w:tcPr>
                <w:p w14:paraId="6E4415A4">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）新建、扩建重点水污染物排放的工业项目；</w:t>
                  </w:r>
                </w:p>
              </w:tc>
              <w:tc>
                <w:tcPr>
                  <w:tcW w:w="1631" w:type="pct"/>
                  <w:vAlign w:val="center"/>
                </w:tcPr>
                <w:p w14:paraId="50E24D0F">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vertAlign w:val="baseline"/>
                      <w:lang w:val="en-US" w:eastAsia="zh-CN"/>
                    </w:rPr>
                    <w:t>项目废水不外排</w:t>
                  </w:r>
                  <w:r>
                    <w:rPr>
                      <w:rFonts w:hint="default" w:ascii="Times New Roman" w:hAnsi="Times New Roman" w:eastAsia="宋体" w:cs="Times New Roman"/>
                      <w:color w:val="auto"/>
                      <w:sz w:val="21"/>
                      <w:szCs w:val="21"/>
                      <w:highlight w:val="none"/>
                    </w:rPr>
                    <w:t>。</w:t>
                  </w:r>
                </w:p>
              </w:tc>
              <w:tc>
                <w:tcPr>
                  <w:tcW w:w="482" w:type="pct"/>
                  <w:vAlign w:val="center"/>
                </w:tcPr>
                <w:p w14:paraId="3BB9BDB7">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261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41" w:type="pct"/>
                  <w:vMerge w:val="continue"/>
                  <w:vAlign w:val="center"/>
                </w:tcPr>
                <w:p w14:paraId="7725C71A">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044" w:type="pct"/>
                  <w:vAlign w:val="center"/>
                </w:tcPr>
                <w:p w14:paraId="37F0D20E">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w:t>
                  </w:r>
                  <w:r>
                    <w:rPr>
                      <w:rFonts w:hint="default" w:ascii="Times New Roman" w:hAnsi="Times New Roman" w:eastAsia="宋体" w:cs="Times New Roman"/>
                      <w:color w:val="auto"/>
                      <w:sz w:val="21"/>
                      <w:szCs w:val="21"/>
                      <w:highlight w:val="none"/>
                    </w:rPr>
                    <w:t>）新建、改建、扩建经营性陵园、公墓。</w:t>
                  </w:r>
                </w:p>
              </w:tc>
              <w:tc>
                <w:tcPr>
                  <w:tcW w:w="1631" w:type="pct"/>
                  <w:vAlign w:val="center"/>
                </w:tcPr>
                <w:p w14:paraId="5580C875">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与项目无关</w:t>
                  </w:r>
                  <w:r>
                    <w:rPr>
                      <w:rFonts w:hint="default" w:ascii="Times New Roman" w:hAnsi="Times New Roman" w:eastAsia="宋体" w:cs="Times New Roman"/>
                      <w:color w:val="auto"/>
                      <w:sz w:val="21"/>
                      <w:szCs w:val="21"/>
                      <w:highlight w:val="none"/>
                      <w:lang w:eastAsia="zh-CN"/>
                    </w:rPr>
                    <w:t>。</w:t>
                  </w:r>
                </w:p>
              </w:tc>
              <w:tc>
                <w:tcPr>
                  <w:tcW w:w="482" w:type="pct"/>
                  <w:vAlign w:val="center"/>
                </w:tcPr>
                <w:p w14:paraId="5C42D076">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642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1" w:type="pct"/>
                  <w:vMerge w:val="restart"/>
                  <w:vAlign w:val="center"/>
                </w:tcPr>
                <w:p w14:paraId="68DFA656">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重点水源涵养区内禁止下列行为</w:t>
                  </w:r>
                </w:p>
              </w:tc>
              <w:tc>
                <w:tcPr>
                  <w:tcW w:w="2044" w:type="pct"/>
                  <w:vAlign w:val="center"/>
                </w:tcPr>
                <w:p w14:paraId="21FA225E">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（一）盗伐、滥伐林木和破坏草地；</w:t>
                  </w:r>
                </w:p>
              </w:tc>
              <w:tc>
                <w:tcPr>
                  <w:tcW w:w="1631" w:type="pct"/>
                  <w:vAlign w:val="center"/>
                </w:tcPr>
                <w:p w14:paraId="549DC59C">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项目不涉及</w:t>
                  </w:r>
                  <w:r>
                    <w:rPr>
                      <w:rFonts w:hint="default" w:ascii="Times New Roman" w:hAnsi="Times New Roman" w:eastAsia="宋体" w:cs="Times New Roman"/>
                      <w:color w:val="auto"/>
                      <w:sz w:val="21"/>
                      <w:szCs w:val="21"/>
                      <w:highlight w:val="none"/>
                      <w:lang w:val="en-US" w:eastAsia="zh-CN"/>
                    </w:rPr>
                    <w:t>盗伐、滥伐林木和破坏草地行为。</w:t>
                  </w:r>
                </w:p>
              </w:tc>
              <w:tc>
                <w:tcPr>
                  <w:tcW w:w="482" w:type="pct"/>
                  <w:vAlign w:val="center"/>
                </w:tcPr>
                <w:p w14:paraId="5C2C8C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0917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vMerge w:val="continue"/>
                  <w:vAlign w:val="center"/>
                </w:tcPr>
                <w:p w14:paraId="40DB457B">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044" w:type="pct"/>
                  <w:vAlign w:val="center"/>
                </w:tcPr>
                <w:p w14:paraId="51D08AFD">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（二）使用高毒、高残留农药；</w:t>
                  </w:r>
                </w:p>
              </w:tc>
              <w:tc>
                <w:tcPr>
                  <w:tcW w:w="1631" w:type="pct"/>
                  <w:vAlign w:val="center"/>
                </w:tcPr>
                <w:p w14:paraId="777BA37C">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w:t>
                  </w:r>
                  <w:r>
                    <w:rPr>
                      <w:rFonts w:hint="default" w:ascii="Times New Roman" w:hAnsi="Times New Roman" w:eastAsia="宋体" w:cs="Times New Roman"/>
                      <w:color w:val="auto"/>
                      <w:sz w:val="21"/>
                      <w:szCs w:val="21"/>
                      <w:highlight w:val="none"/>
                      <w:lang w:val="en-US" w:eastAsia="zh-CN"/>
                    </w:rPr>
                    <w:t>使用高毒、高残留农药。</w:t>
                  </w:r>
                </w:p>
              </w:tc>
              <w:tc>
                <w:tcPr>
                  <w:tcW w:w="482" w:type="pct"/>
                  <w:vAlign w:val="center"/>
                </w:tcPr>
                <w:p w14:paraId="496585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6179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pct"/>
                  <w:vMerge w:val="continue"/>
                  <w:vAlign w:val="center"/>
                </w:tcPr>
                <w:p w14:paraId="5ABBDE5B">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044" w:type="pct"/>
                  <w:vAlign w:val="center"/>
                </w:tcPr>
                <w:p w14:paraId="0E798C6C">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（三）利用溶洞、渗井、渗坑、裂隙排放、倾倒含有毒有害物质的废水、废渣；</w:t>
                  </w:r>
                </w:p>
              </w:tc>
              <w:tc>
                <w:tcPr>
                  <w:tcW w:w="1631" w:type="pct"/>
                  <w:vAlign w:val="center"/>
                </w:tcPr>
                <w:p w14:paraId="5863F816">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项目不涉及</w:t>
                  </w:r>
                  <w:r>
                    <w:rPr>
                      <w:rFonts w:hint="default" w:ascii="Times New Roman" w:hAnsi="Times New Roman" w:eastAsia="宋体" w:cs="Times New Roman"/>
                      <w:color w:val="auto"/>
                      <w:sz w:val="21"/>
                      <w:szCs w:val="21"/>
                      <w:highlight w:val="none"/>
                      <w:lang w:val="en-US" w:eastAsia="zh-CN"/>
                    </w:rPr>
                    <w:t>利用溶洞、渗井、渗坑、裂隙排放、倾倒含有毒有害物质的废水、废渣等行为。</w:t>
                  </w:r>
                </w:p>
              </w:tc>
              <w:tc>
                <w:tcPr>
                  <w:tcW w:w="482" w:type="pct"/>
                  <w:vAlign w:val="center"/>
                </w:tcPr>
                <w:p w14:paraId="787F96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5D84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vMerge w:val="continue"/>
                  <w:vAlign w:val="center"/>
                </w:tcPr>
                <w:p w14:paraId="46E6F28A">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044" w:type="pct"/>
                  <w:vAlign w:val="center"/>
                </w:tcPr>
                <w:p w14:paraId="44805795">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（四）向水体排放废水、倾倒工业废渣、城镇垃圾或者其他废弃物；</w:t>
                  </w:r>
                </w:p>
              </w:tc>
              <w:tc>
                <w:tcPr>
                  <w:tcW w:w="1631" w:type="pct"/>
                  <w:vAlign w:val="center"/>
                </w:tcPr>
                <w:p w14:paraId="054F35CC">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项目废水</w:t>
                  </w:r>
                  <w:r>
                    <w:rPr>
                      <w:rFonts w:hint="default" w:ascii="Times New Roman" w:hAnsi="Times New Roman" w:eastAsia="宋体" w:cs="Times New Roman"/>
                      <w:color w:val="auto"/>
                      <w:sz w:val="21"/>
                      <w:szCs w:val="21"/>
                      <w:highlight w:val="none"/>
                      <w:lang w:val="en-US" w:eastAsia="zh-CN"/>
                    </w:rPr>
                    <w:t>不外排。固体废物合理处置率100%。项目不涉及向水体排放废水、倾倒工业废渣、城镇垃圾或者其他废弃物的行为。</w:t>
                  </w:r>
                </w:p>
              </w:tc>
              <w:tc>
                <w:tcPr>
                  <w:tcW w:w="482" w:type="pct"/>
                  <w:vAlign w:val="center"/>
                </w:tcPr>
                <w:p w14:paraId="765A33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4556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vMerge w:val="continue"/>
                  <w:vAlign w:val="center"/>
                </w:tcPr>
                <w:p w14:paraId="27ACB146">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044" w:type="pct"/>
                  <w:vAlign w:val="center"/>
                </w:tcPr>
                <w:p w14:paraId="5CF9C3E1">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（五）在江河、渠道、水库最高水位线以下的滩地、岸坡堆放、存贮固体废弃物或者其他污染物；</w:t>
                  </w:r>
                </w:p>
              </w:tc>
              <w:tc>
                <w:tcPr>
                  <w:tcW w:w="1631" w:type="pct"/>
                  <w:vAlign w:val="center"/>
                </w:tcPr>
                <w:p w14:paraId="2C34703F">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项目不涉及</w:t>
                  </w:r>
                  <w:r>
                    <w:rPr>
                      <w:rFonts w:hint="default" w:ascii="Times New Roman" w:hAnsi="Times New Roman" w:eastAsia="宋体" w:cs="Times New Roman"/>
                      <w:color w:val="auto"/>
                      <w:sz w:val="21"/>
                      <w:szCs w:val="21"/>
                      <w:highlight w:val="none"/>
                      <w:lang w:val="en-US" w:eastAsia="zh-CN"/>
                    </w:rPr>
                    <w:t>在江河、渠道、水库最高水位线以下的滩地、岸坡堆放、存贮固体废弃物或者其他污染物的行为。</w:t>
                  </w:r>
                </w:p>
              </w:tc>
              <w:tc>
                <w:tcPr>
                  <w:tcW w:w="482" w:type="pct"/>
                  <w:vAlign w:val="center"/>
                </w:tcPr>
                <w:p w14:paraId="039440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2CEB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pct"/>
                  <w:vMerge w:val="continue"/>
                  <w:vAlign w:val="center"/>
                </w:tcPr>
                <w:p w14:paraId="0B83B717">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044" w:type="pct"/>
                  <w:vAlign w:val="center"/>
                </w:tcPr>
                <w:p w14:paraId="7952C4C6">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（六）利用无防渗漏措施的沟渠、坑塘等输送或者存贮含有毒污染物的废水、含病原体的污水或者其他废弃物。</w:t>
                  </w:r>
                </w:p>
              </w:tc>
              <w:tc>
                <w:tcPr>
                  <w:tcW w:w="1631" w:type="pct"/>
                  <w:vAlign w:val="center"/>
                </w:tcPr>
                <w:p w14:paraId="483F9C1C">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项目不涉及</w:t>
                  </w:r>
                  <w:r>
                    <w:rPr>
                      <w:rFonts w:hint="default" w:ascii="Times New Roman" w:hAnsi="Times New Roman" w:eastAsia="宋体" w:cs="Times New Roman"/>
                      <w:color w:val="auto"/>
                      <w:sz w:val="21"/>
                      <w:szCs w:val="21"/>
                      <w:highlight w:val="none"/>
                      <w:lang w:val="en-US" w:eastAsia="zh-CN"/>
                    </w:rPr>
                    <w:t>利用无防渗漏措施的沟渠、坑塘等输送或者存贮含有毒污染物的废水、含病原体的污水或者其他废弃物的行为。</w:t>
                  </w:r>
                </w:p>
              </w:tc>
              <w:tc>
                <w:tcPr>
                  <w:tcW w:w="482" w:type="pct"/>
                  <w:vAlign w:val="center"/>
                </w:tcPr>
                <w:p w14:paraId="649988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bl>
          <w:p w14:paraId="6603836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综上所述，项目与《云南省牛栏江保护条例》相符。</w:t>
            </w:r>
          </w:p>
          <w:p w14:paraId="290F3D00">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7、与《牛栏江流域 (云南部分) 水环境保护规划 (2009~2030) 》的 相符性分析</w:t>
            </w:r>
          </w:p>
          <w:p w14:paraId="713967C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根据《牛栏江流域(云南部分)水环境保护规划(</w:t>
            </w:r>
            <w:r>
              <w:rPr>
                <w:rFonts w:hint="default" w:ascii="Times New Roman" w:hAnsi="Times New Roman" w:eastAsia="宋体" w:cs="Times New Roman"/>
                <w:b w:val="0"/>
                <w:bCs w:val="0"/>
                <w:color w:val="auto"/>
                <w:kern w:val="0"/>
                <w:sz w:val="24"/>
                <w:szCs w:val="24"/>
                <w:highlight w:val="none"/>
                <w:lang w:val="en-US" w:eastAsia="zh-CN" w:bidi="ar"/>
              </w:rPr>
              <w:t>2009</w:t>
            </w:r>
            <w:r>
              <w:rPr>
                <w:rFonts w:hint="default" w:ascii="Times New Roman" w:hAnsi="Times New Roman" w:cs="Times New Roman"/>
                <w:b/>
                <w:bCs w:val="0"/>
                <w:color w:val="auto"/>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bidi="ar"/>
              </w:rPr>
              <w:t>2030</w:t>
            </w:r>
            <w:r>
              <w:rPr>
                <w:rFonts w:hint="default" w:ascii="宋体" w:hAnsi="宋体" w:eastAsia="宋体" w:cs="宋体"/>
                <w:b w:val="0"/>
                <w:bCs w:val="0"/>
                <w:color w:val="auto"/>
                <w:kern w:val="0"/>
                <w:sz w:val="24"/>
                <w:szCs w:val="24"/>
                <w:highlight w:val="none"/>
                <w:lang w:val="en-US" w:eastAsia="zh-CN" w:bidi="ar"/>
              </w:rPr>
              <w:t xml:space="preserve">)》， 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 </w:t>
            </w:r>
            <w:r>
              <w:rPr>
                <w:rFonts w:hint="default" w:ascii="Times New Roman" w:hAnsi="Times New Roman" w:eastAsia="宋体" w:cs="Times New Roman"/>
                <w:b w:val="0"/>
                <w:bCs w:val="0"/>
                <w:color w:val="auto"/>
                <w:kern w:val="0"/>
                <w:sz w:val="24"/>
                <w:szCs w:val="24"/>
                <w:highlight w:val="none"/>
                <w:lang w:val="en-US" w:eastAsia="zh-CN" w:bidi="ar"/>
              </w:rPr>
              <w:t>1000</w:t>
            </w:r>
            <w:r>
              <w:rPr>
                <w:rFonts w:hint="default" w:ascii="宋体" w:hAnsi="宋体" w:eastAsia="宋体" w:cs="宋体"/>
                <w:b w:val="0"/>
                <w:bCs w:val="0"/>
                <w:color w:val="auto"/>
                <w:kern w:val="0"/>
                <w:sz w:val="24"/>
                <w:szCs w:val="24"/>
                <w:highlight w:val="none"/>
                <w:lang w:val="en-US" w:eastAsia="zh-CN" w:bidi="ar"/>
              </w:rPr>
              <w:t>米范围；德泽水库水面，库岸外围陆域</w:t>
            </w:r>
            <w:r>
              <w:rPr>
                <w:rFonts w:hint="default" w:ascii="Times New Roman" w:hAnsi="Times New Roman" w:eastAsia="宋体" w:cs="Times New Roman"/>
                <w:b w:val="0"/>
                <w:bCs w:val="0"/>
                <w:color w:val="auto"/>
                <w:kern w:val="0"/>
                <w:sz w:val="24"/>
                <w:szCs w:val="24"/>
                <w:highlight w:val="none"/>
                <w:lang w:val="en-US" w:eastAsia="zh-CN" w:bidi="ar"/>
              </w:rPr>
              <w:t>2000m</w:t>
            </w:r>
            <w:r>
              <w:rPr>
                <w:rFonts w:hint="default" w:ascii="宋体" w:hAnsi="宋体" w:eastAsia="宋体" w:cs="宋体"/>
                <w:b w:val="0"/>
                <w:bCs w:val="0"/>
                <w:color w:val="auto"/>
                <w:kern w:val="0"/>
                <w:sz w:val="24"/>
                <w:szCs w:val="24"/>
                <w:highlight w:val="none"/>
                <w:lang w:val="en-US" w:eastAsia="zh-CN" w:bidi="ar"/>
              </w:rPr>
              <w:t>范围。涉及乡镇主要有牛栏江镇、塘子镇、河口乡、七星乡、德泽乡，面积为</w:t>
            </w:r>
            <w:r>
              <w:rPr>
                <w:rFonts w:hint="default" w:ascii="Times New Roman" w:hAnsi="Times New Roman" w:eastAsia="宋体" w:cs="Times New Roman"/>
                <w:b w:val="0"/>
                <w:bCs w:val="0"/>
                <w:color w:val="auto"/>
                <w:kern w:val="0"/>
                <w:sz w:val="24"/>
                <w:szCs w:val="24"/>
                <w:highlight w:val="none"/>
                <w:lang w:val="en-US" w:eastAsia="zh-CN" w:bidi="ar"/>
              </w:rPr>
              <w:t>625.3km</w:t>
            </w:r>
            <w:r>
              <w:rPr>
                <w:rFonts w:hint="default" w:ascii="Times New Roman" w:hAnsi="Times New Roman" w:cs="Times New Roman"/>
                <w:b w:val="0"/>
                <w:bCs w:val="0"/>
                <w:color w:val="auto"/>
                <w:kern w:val="0"/>
                <w:sz w:val="24"/>
                <w:szCs w:val="24"/>
                <w:highlight w:val="none"/>
                <w:vertAlign w:val="superscript"/>
                <w:lang w:val="en-US" w:eastAsia="zh-CN" w:bidi="ar"/>
              </w:rPr>
              <w:t>2</w:t>
            </w:r>
            <w:r>
              <w:rPr>
                <w:rFonts w:hint="default" w:ascii="Times New Roman" w:hAnsi="Times New Roman" w:eastAsia="宋体" w:cs="Times New Roman"/>
                <w:b w:val="0"/>
                <w:bCs w:val="0"/>
                <w:color w:val="auto"/>
                <w:kern w:val="0"/>
                <w:sz w:val="24"/>
                <w:szCs w:val="24"/>
                <w:highlight w:val="none"/>
                <w:lang w:val="en-US" w:eastAsia="zh-CN" w:bidi="ar"/>
              </w:rPr>
              <w:t xml:space="preserve"> </w:t>
            </w:r>
            <w:r>
              <w:rPr>
                <w:rFonts w:hint="default" w:ascii="宋体" w:hAnsi="宋体" w:eastAsia="宋体" w:cs="宋体"/>
                <w:b w:val="0"/>
                <w:bCs w:val="0"/>
                <w:color w:val="auto"/>
                <w:kern w:val="0"/>
                <w:sz w:val="24"/>
                <w:szCs w:val="24"/>
                <w:highlight w:val="none"/>
                <w:lang w:val="en-US" w:eastAsia="zh-CN" w:bidi="ar"/>
              </w:rPr>
              <w:t>，属 于重点保护区。重点污染控制区主要是水源保护核心区边界外的坝区。涉及小哨乡、嵩阳镇、小街镇、杨桥乡、羊街镇、金所乡、月望乡、大坡乡、菱角乡、田坝乡十个乡镇，面积</w:t>
            </w:r>
            <w:r>
              <w:rPr>
                <w:rFonts w:hint="default" w:ascii="Times New Roman" w:hAnsi="Times New Roman" w:eastAsia="宋体" w:cs="Times New Roman"/>
                <w:b w:val="0"/>
                <w:bCs w:val="0"/>
                <w:color w:val="auto"/>
                <w:kern w:val="0"/>
                <w:sz w:val="24"/>
                <w:szCs w:val="24"/>
                <w:highlight w:val="none"/>
                <w:lang w:val="en-US" w:eastAsia="zh-CN" w:bidi="ar"/>
              </w:rPr>
              <w:t>1892.56km</w:t>
            </w:r>
            <w:r>
              <w:rPr>
                <w:rFonts w:hint="default" w:ascii="Times New Roman" w:hAnsi="Times New Roman" w:cs="Times New Roman"/>
                <w:b w:val="0"/>
                <w:bCs w:val="0"/>
                <w:color w:val="auto"/>
                <w:kern w:val="0"/>
                <w:sz w:val="24"/>
                <w:szCs w:val="24"/>
                <w:highlight w:val="none"/>
                <w:vertAlign w:val="superscript"/>
                <w:lang w:val="en-US" w:eastAsia="zh-CN" w:bidi="ar"/>
              </w:rPr>
              <w:t>2</w:t>
            </w:r>
            <w:r>
              <w:rPr>
                <w:rFonts w:hint="default" w:ascii="Times New Roman" w:hAnsi="Times New Roman" w:eastAsia="宋体" w:cs="Times New Roman"/>
                <w:b w:val="0"/>
                <w:bCs w:val="0"/>
                <w:color w:val="auto"/>
                <w:kern w:val="0"/>
                <w:sz w:val="24"/>
                <w:szCs w:val="24"/>
                <w:highlight w:val="none"/>
                <w:lang w:val="en-US" w:eastAsia="zh-CN" w:bidi="ar"/>
              </w:rPr>
              <w:t xml:space="preserve"> </w:t>
            </w:r>
            <w:r>
              <w:rPr>
                <w:rFonts w:hint="default" w:ascii="宋体" w:hAnsi="宋体" w:eastAsia="宋体" w:cs="宋体"/>
                <w:b w:val="0"/>
                <w:bCs w:val="0"/>
                <w:color w:val="auto"/>
                <w:kern w:val="0"/>
                <w:sz w:val="24"/>
                <w:szCs w:val="24"/>
                <w:highlight w:val="none"/>
                <w:lang w:val="en-US" w:eastAsia="zh-CN" w:bidi="ar"/>
              </w:rPr>
              <w:t>，属于污染重点治理区。水源涵养区包括除水源保护核心区、重点污染控制区以外的山地。涉及杨林镇、仁德镇、通泉镇、王家庄镇、马过河镇、旧县镇六个乡镇，面积</w:t>
            </w:r>
            <w:r>
              <w:rPr>
                <w:rFonts w:hint="default" w:ascii="Times New Roman" w:hAnsi="Times New Roman" w:eastAsia="宋体" w:cs="Times New Roman"/>
                <w:b w:val="0"/>
                <w:bCs w:val="0"/>
                <w:color w:val="auto"/>
                <w:kern w:val="0"/>
                <w:sz w:val="24"/>
                <w:szCs w:val="24"/>
                <w:highlight w:val="none"/>
                <w:lang w:val="en-US" w:eastAsia="zh-CN" w:bidi="ar"/>
              </w:rPr>
              <w:t>1764.16km</w:t>
            </w:r>
            <w:r>
              <w:rPr>
                <w:rFonts w:hint="eastAsia" w:ascii="Times New Roman" w:hAnsi="Times New Roman" w:eastAsia="宋体" w:cs="Times New Roman"/>
                <w:b w:val="0"/>
                <w:bCs w:val="0"/>
                <w:color w:val="auto"/>
                <w:kern w:val="0"/>
                <w:sz w:val="24"/>
                <w:szCs w:val="24"/>
                <w:highlight w:val="none"/>
                <w:vertAlign w:val="superscript"/>
                <w:lang w:val="en-US" w:eastAsia="zh-CN" w:bidi="ar"/>
              </w:rPr>
              <w:t>2</w:t>
            </w:r>
            <w:r>
              <w:rPr>
                <w:rFonts w:hint="default" w:ascii="宋体" w:hAnsi="宋体" w:eastAsia="宋体" w:cs="宋体"/>
                <w:b w:val="0"/>
                <w:bCs w:val="0"/>
                <w:color w:val="auto"/>
                <w:kern w:val="0"/>
                <w:sz w:val="24"/>
                <w:szCs w:val="24"/>
                <w:highlight w:val="none"/>
                <w:lang w:val="en-US" w:eastAsia="zh-CN" w:bidi="ar"/>
              </w:rPr>
              <w:t>。</w:t>
            </w:r>
          </w:p>
          <w:p w14:paraId="6C2D150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本项目位于云南省昆明市寻甸特色产业园区羊街片区，根据牛栏江水系功能规划图(见附图</w:t>
            </w:r>
            <w:r>
              <w:rPr>
                <w:rFonts w:hint="eastAsia" w:cs="Times New Roman"/>
                <w:b w:val="0"/>
                <w:bCs w:val="0"/>
                <w:color w:val="auto"/>
                <w:kern w:val="0"/>
                <w:sz w:val="24"/>
                <w:szCs w:val="24"/>
                <w:highlight w:val="none"/>
                <w:lang w:val="en-US" w:eastAsia="zh-CN" w:bidi="ar"/>
              </w:rPr>
              <w:t>9</w:t>
            </w:r>
            <w:r>
              <w:rPr>
                <w:rFonts w:hint="default" w:ascii="宋体" w:hAnsi="宋体" w:eastAsia="宋体" w:cs="宋体"/>
                <w:b w:val="0"/>
                <w:bCs w:val="0"/>
                <w:color w:val="auto"/>
                <w:kern w:val="0"/>
                <w:sz w:val="24"/>
                <w:szCs w:val="24"/>
                <w:highlight w:val="none"/>
                <w:lang w:val="en-US" w:eastAsia="zh-CN" w:bidi="ar"/>
              </w:rPr>
              <w:t>)可知，项目区属于重点污染控制区。根据《牛栏江流域(云南部分)水环境保护规划 (</w:t>
            </w:r>
            <w:r>
              <w:rPr>
                <w:rFonts w:hint="default" w:ascii="Times New Roman" w:hAnsi="Times New Roman" w:eastAsia="宋体" w:cs="Times New Roman"/>
                <w:b w:val="0"/>
                <w:bCs w:val="0"/>
                <w:color w:val="auto"/>
                <w:kern w:val="0"/>
                <w:sz w:val="24"/>
                <w:szCs w:val="24"/>
                <w:highlight w:val="none"/>
                <w:lang w:val="en-US" w:eastAsia="zh-CN" w:bidi="ar"/>
              </w:rPr>
              <w:t>2009</w:t>
            </w:r>
            <w:r>
              <w:rPr>
                <w:rFonts w:hint="default" w:ascii="Times New Roman" w:hAnsi="Times New Roman" w:cs="Times New Roman"/>
                <w:b/>
                <w:bCs w:val="0"/>
                <w:color w:val="auto"/>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bidi="ar"/>
              </w:rPr>
              <w:t>2030</w:t>
            </w:r>
            <w:r>
              <w:rPr>
                <w:rFonts w:hint="default" w:ascii="宋体" w:hAnsi="宋体" w:eastAsia="宋体" w:cs="宋体"/>
                <w:b w:val="0"/>
                <w:bCs w:val="0"/>
                <w:color w:val="auto"/>
                <w:kern w:val="0"/>
                <w:sz w:val="24"/>
                <w:szCs w:val="24"/>
                <w:highlight w:val="none"/>
                <w:lang w:val="en-US" w:eastAsia="zh-CN" w:bidi="ar"/>
              </w:rPr>
              <w:t>)》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14:paraId="421CF3E5">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本项目生活污水经化粪池、</w:t>
            </w:r>
            <w:r>
              <w:rPr>
                <w:rFonts w:hint="eastAsia" w:ascii="宋体" w:hAnsi="宋体" w:cs="宋体"/>
                <w:b w:val="0"/>
                <w:bCs w:val="0"/>
                <w:color w:val="auto"/>
                <w:kern w:val="0"/>
                <w:sz w:val="24"/>
                <w:szCs w:val="24"/>
                <w:highlight w:val="none"/>
                <w:lang w:val="en-US" w:eastAsia="zh-CN" w:bidi="ar"/>
              </w:rPr>
              <w:t>生活</w:t>
            </w:r>
            <w:r>
              <w:rPr>
                <w:rFonts w:hint="default" w:ascii="宋体" w:hAnsi="宋体" w:eastAsia="宋体" w:cs="宋体"/>
                <w:b w:val="0"/>
                <w:bCs w:val="0"/>
                <w:color w:val="auto"/>
                <w:kern w:val="0"/>
                <w:sz w:val="24"/>
                <w:szCs w:val="24"/>
                <w:highlight w:val="none"/>
                <w:lang w:val="en-US" w:eastAsia="zh-CN" w:bidi="ar"/>
              </w:rPr>
              <w:t>污水处理</w:t>
            </w:r>
            <w:r>
              <w:rPr>
                <w:rFonts w:hint="eastAsia" w:ascii="宋体" w:hAnsi="宋体" w:cs="宋体"/>
                <w:b w:val="0"/>
                <w:bCs w:val="0"/>
                <w:color w:val="auto"/>
                <w:kern w:val="0"/>
                <w:sz w:val="24"/>
                <w:szCs w:val="24"/>
                <w:highlight w:val="none"/>
                <w:lang w:val="en-US" w:eastAsia="zh-CN" w:bidi="ar"/>
              </w:rPr>
              <w:t>站</w:t>
            </w:r>
            <w:r>
              <w:rPr>
                <w:rFonts w:hint="default" w:ascii="宋体" w:hAnsi="宋体" w:eastAsia="宋体" w:cs="宋体"/>
                <w:b w:val="0"/>
                <w:bCs w:val="0"/>
                <w:color w:val="auto"/>
                <w:kern w:val="0"/>
                <w:sz w:val="24"/>
                <w:szCs w:val="24"/>
                <w:highlight w:val="none"/>
                <w:lang w:val="en-US" w:eastAsia="zh-CN" w:bidi="ar"/>
              </w:rPr>
              <w:t>处理达标后回用于项目区绿化及</w:t>
            </w:r>
            <w:r>
              <w:rPr>
                <w:rFonts w:hint="eastAsia" w:ascii="宋体" w:hAnsi="宋体" w:cs="宋体"/>
                <w:b w:val="0"/>
                <w:bCs w:val="0"/>
                <w:color w:val="auto"/>
                <w:kern w:val="0"/>
                <w:sz w:val="24"/>
                <w:szCs w:val="24"/>
                <w:highlight w:val="none"/>
                <w:lang w:val="en-US" w:eastAsia="zh-CN" w:bidi="ar"/>
              </w:rPr>
              <w:t>道路广场浇洒</w:t>
            </w:r>
            <w:r>
              <w:rPr>
                <w:rFonts w:hint="default" w:ascii="宋体" w:hAnsi="宋体" w:eastAsia="宋体" w:cs="宋体"/>
                <w:b w:val="0"/>
                <w:bCs w:val="0"/>
                <w:color w:val="auto"/>
                <w:kern w:val="0"/>
                <w:sz w:val="24"/>
                <w:szCs w:val="24"/>
                <w:highlight w:val="none"/>
                <w:lang w:val="en-US" w:eastAsia="zh-CN" w:bidi="ar"/>
              </w:rPr>
              <w:t>，不外排</w:t>
            </w:r>
            <w:r>
              <w:rPr>
                <w:rFonts w:hint="eastAsia" w:ascii="宋体" w:hAnsi="宋体" w:cs="宋体"/>
                <w:b w:val="0"/>
                <w:bCs w:val="0"/>
                <w:color w:val="auto"/>
                <w:kern w:val="0"/>
                <w:sz w:val="24"/>
                <w:szCs w:val="24"/>
                <w:highlight w:val="none"/>
                <w:lang w:val="en-US" w:eastAsia="zh-CN" w:bidi="ar"/>
              </w:rPr>
              <w:t>；</w:t>
            </w:r>
            <w:r>
              <w:rPr>
                <w:rFonts w:hint="default" w:ascii="宋体" w:hAnsi="宋体" w:eastAsia="宋体" w:cs="宋体"/>
                <w:b w:val="0"/>
                <w:bCs w:val="0"/>
                <w:color w:val="auto"/>
                <w:kern w:val="0"/>
                <w:sz w:val="24"/>
                <w:szCs w:val="24"/>
                <w:highlight w:val="none"/>
                <w:lang w:val="en-US" w:eastAsia="zh-CN" w:bidi="ar"/>
              </w:rPr>
              <w:t>生产废水</w:t>
            </w:r>
            <w:r>
              <w:rPr>
                <w:rFonts w:hint="eastAsia" w:cs="Times New Roman"/>
                <w:color w:val="auto"/>
                <w:kern w:val="2"/>
                <w:sz w:val="24"/>
                <w:szCs w:val="24"/>
                <w:highlight w:val="none"/>
                <w:lang w:val="en-US" w:eastAsia="zh-CN" w:bidi="ar-SA"/>
              </w:rPr>
              <w:t>经收集后统一进入调节池、生产废水处理设施处理达标后回用于水洗补水，不外排。</w:t>
            </w:r>
            <w:r>
              <w:rPr>
                <w:rFonts w:hint="default" w:ascii="宋体" w:hAnsi="宋体" w:eastAsia="宋体" w:cs="宋体"/>
                <w:b w:val="0"/>
                <w:bCs w:val="0"/>
                <w:color w:val="auto"/>
                <w:kern w:val="0"/>
                <w:sz w:val="24"/>
                <w:szCs w:val="24"/>
                <w:highlight w:val="none"/>
                <w:lang w:val="en-US" w:eastAsia="zh-CN" w:bidi="ar"/>
              </w:rPr>
              <w:t>项目设有</w:t>
            </w:r>
            <w:r>
              <w:rPr>
                <w:rFonts w:hint="eastAsia" w:ascii="宋体" w:hAnsi="宋体" w:cs="宋体"/>
                <w:b w:val="0"/>
                <w:bCs w:val="0"/>
                <w:color w:val="auto"/>
                <w:kern w:val="0"/>
                <w:sz w:val="24"/>
                <w:szCs w:val="24"/>
                <w:highlight w:val="none"/>
                <w:lang w:val="en-US" w:eastAsia="zh-CN" w:bidi="ar"/>
              </w:rPr>
              <w:t>一般固废</w:t>
            </w:r>
            <w:r>
              <w:rPr>
                <w:rFonts w:hint="default" w:ascii="宋体" w:hAnsi="宋体" w:eastAsia="宋体" w:cs="宋体"/>
                <w:b w:val="0"/>
                <w:bCs w:val="0"/>
                <w:color w:val="auto"/>
                <w:kern w:val="0"/>
                <w:sz w:val="24"/>
                <w:szCs w:val="24"/>
                <w:highlight w:val="none"/>
                <w:lang w:val="en-US" w:eastAsia="zh-CN" w:bidi="ar"/>
              </w:rPr>
              <w:t>和危废收集设施，可保证固废合理收集处置，一般生活固废由环卫部门进行</w:t>
            </w:r>
            <w:r>
              <w:rPr>
                <w:rFonts w:hint="eastAsia" w:ascii="宋体" w:hAnsi="宋体" w:cs="宋体"/>
                <w:b w:val="0"/>
                <w:bCs w:val="0"/>
                <w:color w:val="auto"/>
                <w:kern w:val="0"/>
                <w:sz w:val="24"/>
                <w:szCs w:val="24"/>
                <w:highlight w:val="none"/>
                <w:lang w:val="en-US" w:eastAsia="zh-CN" w:bidi="ar"/>
              </w:rPr>
              <w:t>清运</w:t>
            </w:r>
            <w:r>
              <w:rPr>
                <w:rFonts w:hint="default" w:ascii="宋体" w:hAnsi="宋体" w:eastAsia="宋体" w:cs="宋体"/>
                <w:b w:val="0"/>
                <w:bCs w:val="0"/>
                <w:color w:val="auto"/>
                <w:kern w:val="0"/>
                <w:sz w:val="24"/>
                <w:szCs w:val="24"/>
                <w:highlight w:val="none"/>
                <w:lang w:val="en-US" w:eastAsia="zh-CN" w:bidi="ar"/>
              </w:rPr>
              <w:t>处置</w:t>
            </w:r>
            <w:r>
              <w:rPr>
                <w:rFonts w:hint="eastAsia" w:ascii="宋体" w:hAnsi="宋体" w:cs="宋体"/>
                <w:b w:val="0"/>
                <w:bCs w:val="0"/>
                <w:color w:val="auto"/>
                <w:kern w:val="0"/>
                <w:sz w:val="24"/>
                <w:szCs w:val="24"/>
                <w:highlight w:val="none"/>
                <w:lang w:val="en-US" w:eastAsia="zh-CN" w:bidi="ar"/>
              </w:rPr>
              <w:t>，一般工业固废分类收集暂存于一般固废暂存处，定期外售处理，</w:t>
            </w:r>
            <w:r>
              <w:rPr>
                <w:rFonts w:hint="default" w:ascii="宋体" w:hAnsi="宋体" w:eastAsia="宋体" w:cs="宋体"/>
                <w:b w:val="0"/>
                <w:bCs w:val="0"/>
                <w:color w:val="auto"/>
                <w:kern w:val="0"/>
                <w:sz w:val="24"/>
                <w:szCs w:val="24"/>
                <w:highlight w:val="none"/>
                <w:lang w:val="en-US" w:eastAsia="zh-CN" w:bidi="ar"/>
              </w:rPr>
              <w:t>危废</w:t>
            </w:r>
            <w:r>
              <w:rPr>
                <w:rFonts w:hint="eastAsia" w:ascii="宋体" w:hAnsi="宋体" w:cs="宋体"/>
                <w:b w:val="0"/>
                <w:bCs w:val="0"/>
                <w:color w:val="auto"/>
                <w:kern w:val="0"/>
                <w:sz w:val="24"/>
                <w:szCs w:val="24"/>
                <w:highlight w:val="none"/>
                <w:lang w:val="en-US" w:eastAsia="zh-CN" w:bidi="ar"/>
              </w:rPr>
              <w:t>分类</w:t>
            </w:r>
            <w:r>
              <w:rPr>
                <w:rFonts w:hint="default" w:ascii="宋体" w:hAnsi="宋体" w:eastAsia="宋体" w:cs="宋体"/>
                <w:b w:val="0"/>
                <w:bCs w:val="0"/>
                <w:color w:val="auto"/>
                <w:kern w:val="0"/>
                <w:sz w:val="24"/>
                <w:szCs w:val="24"/>
                <w:highlight w:val="none"/>
                <w:lang w:val="en-US" w:eastAsia="zh-CN" w:bidi="ar"/>
              </w:rPr>
              <w:t>收集后</w:t>
            </w:r>
            <w:r>
              <w:rPr>
                <w:rFonts w:hint="eastAsia" w:ascii="宋体" w:hAnsi="宋体" w:cs="宋体"/>
                <w:b w:val="0"/>
                <w:bCs w:val="0"/>
                <w:color w:val="auto"/>
                <w:kern w:val="0"/>
                <w:sz w:val="24"/>
                <w:szCs w:val="24"/>
                <w:highlight w:val="none"/>
                <w:lang w:val="en-US" w:eastAsia="zh-CN" w:bidi="ar"/>
              </w:rPr>
              <w:t>暂存于危险废物暂存间，定期</w:t>
            </w:r>
            <w:r>
              <w:rPr>
                <w:rFonts w:hint="default" w:ascii="宋体" w:hAnsi="宋体" w:eastAsia="宋体" w:cs="宋体"/>
                <w:b w:val="0"/>
                <w:bCs w:val="0"/>
                <w:color w:val="auto"/>
                <w:kern w:val="0"/>
                <w:sz w:val="24"/>
                <w:szCs w:val="24"/>
                <w:highlight w:val="none"/>
                <w:lang w:val="en-US" w:eastAsia="zh-CN" w:bidi="ar"/>
              </w:rPr>
              <w:t>委托有资质单位</w:t>
            </w:r>
            <w:r>
              <w:rPr>
                <w:rFonts w:hint="eastAsia" w:ascii="宋体" w:hAnsi="宋体" w:cs="宋体"/>
                <w:b w:val="0"/>
                <w:bCs w:val="0"/>
                <w:color w:val="auto"/>
                <w:kern w:val="0"/>
                <w:sz w:val="24"/>
                <w:szCs w:val="24"/>
                <w:highlight w:val="none"/>
                <w:lang w:val="en-US" w:eastAsia="zh-CN" w:bidi="ar"/>
              </w:rPr>
              <w:t>清运处置</w:t>
            </w:r>
            <w:r>
              <w:rPr>
                <w:rFonts w:hint="default" w:ascii="宋体" w:hAnsi="宋体" w:eastAsia="宋体" w:cs="宋体"/>
                <w:b w:val="0"/>
                <w:bCs w:val="0"/>
                <w:color w:val="auto"/>
                <w:kern w:val="0"/>
                <w:sz w:val="24"/>
                <w:szCs w:val="24"/>
                <w:highlight w:val="none"/>
                <w:lang w:val="en-US" w:eastAsia="zh-CN" w:bidi="ar"/>
              </w:rPr>
              <w:t>。项目选址符合《云南省牛栏江保护条例》中的选址要求。</w:t>
            </w:r>
          </w:p>
          <w:p w14:paraId="0331D80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综上所述，项目选址符合《牛栏江流域 (云南部分) 水环境保护规划 (</w:t>
            </w:r>
            <w:r>
              <w:rPr>
                <w:rFonts w:hint="default" w:ascii="Times New Roman" w:hAnsi="Times New Roman" w:eastAsia="宋体" w:cs="Times New Roman"/>
                <w:b w:val="0"/>
                <w:bCs w:val="0"/>
                <w:color w:val="auto"/>
                <w:kern w:val="0"/>
                <w:sz w:val="24"/>
                <w:szCs w:val="24"/>
                <w:highlight w:val="none"/>
                <w:lang w:val="en-US" w:eastAsia="zh-CN" w:bidi="ar"/>
              </w:rPr>
              <w:t>2009</w:t>
            </w:r>
            <w:r>
              <w:rPr>
                <w:rFonts w:hint="default" w:ascii="Times New Roman" w:hAnsi="Times New Roman" w:cs="Times New Roman"/>
                <w:b/>
                <w:bCs w:val="0"/>
                <w:color w:val="auto"/>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bidi="ar"/>
              </w:rPr>
              <w:t>2030</w:t>
            </w:r>
            <w:r>
              <w:rPr>
                <w:rFonts w:hint="default" w:ascii="宋体" w:hAnsi="宋体" w:eastAsia="宋体" w:cs="宋体"/>
                <w:b w:val="0"/>
                <w:bCs w:val="0"/>
                <w:color w:val="auto"/>
                <w:kern w:val="0"/>
                <w:sz w:val="24"/>
                <w:szCs w:val="24"/>
                <w:highlight w:val="none"/>
                <w:lang w:val="en-US" w:eastAsia="zh-CN" w:bidi="ar"/>
              </w:rPr>
              <w:t>)》对重点污染控制区的水环境保护要求。</w:t>
            </w:r>
          </w:p>
          <w:p w14:paraId="73056CBB">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8、</w:t>
            </w:r>
            <w:r>
              <w:rPr>
                <w:rFonts w:hint="default" w:ascii="Times New Roman" w:hAnsi="Times New Roman" w:cs="Times New Roman"/>
                <w:b/>
                <w:bCs w:val="0"/>
                <w:color w:val="auto"/>
                <w:sz w:val="24"/>
                <w:szCs w:val="24"/>
                <w:highlight w:val="none"/>
                <w:lang w:val="en-US" w:eastAsia="zh-CN"/>
              </w:rPr>
              <w:t>项目与《牛栏江流域 (昆明段) 水环境保护规划 (2009~2030)》 的相符性分析</w:t>
            </w:r>
          </w:p>
          <w:p w14:paraId="571A657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本项目位于云南省昆明市寻甸县特色产业园区羊街片区，根据《牛栏江(昆明段)水环境保护规划(</w:t>
            </w:r>
            <w:r>
              <w:rPr>
                <w:rFonts w:hint="default" w:ascii="Times New Roman" w:hAnsi="Times New Roman" w:eastAsia="宋体" w:cs="Times New Roman"/>
                <w:b w:val="0"/>
                <w:bCs w:val="0"/>
                <w:color w:val="auto"/>
                <w:kern w:val="0"/>
                <w:sz w:val="24"/>
                <w:szCs w:val="24"/>
                <w:highlight w:val="none"/>
                <w:lang w:val="en-US" w:eastAsia="zh-CN" w:bidi="ar"/>
              </w:rPr>
              <w:t>2011</w:t>
            </w:r>
            <w:r>
              <w:rPr>
                <w:rFonts w:hint="default" w:ascii="Times New Roman" w:hAnsi="Times New Roman" w:cs="Times New Roman"/>
                <w:b/>
                <w:bCs w:val="0"/>
                <w:color w:val="auto"/>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bidi="ar"/>
              </w:rPr>
              <w:t>2030</w:t>
            </w:r>
            <w:r>
              <w:rPr>
                <w:rFonts w:hint="default" w:ascii="宋体" w:hAnsi="宋体" w:eastAsia="宋体" w:cs="宋体"/>
                <w:b w:val="0"/>
                <w:bCs w:val="0"/>
                <w:color w:val="auto"/>
                <w:kern w:val="0"/>
                <w:sz w:val="24"/>
                <w:szCs w:val="24"/>
                <w:highlight w:val="none"/>
                <w:lang w:val="en-US" w:eastAsia="zh-CN" w:bidi="ar"/>
              </w:rPr>
              <w:t>)》规划图叠图(见附图</w:t>
            </w:r>
            <w:r>
              <w:rPr>
                <w:rFonts w:hint="eastAsia" w:cs="Times New Roman"/>
                <w:b w:val="0"/>
                <w:bCs w:val="0"/>
                <w:color w:val="auto"/>
                <w:kern w:val="0"/>
                <w:sz w:val="24"/>
                <w:szCs w:val="24"/>
                <w:highlight w:val="none"/>
                <w:lang w:val="en-US" w:eastAsia="zh-CN" w:bidi="ar"/>
              </w:rPr>
              <w:t>10</w:t>
            </w:r>
            <w:r>
              <w:rPr>
                <w:rFonts w:hint="default" w:ascii="宋体" w:hAnsi="宋体" w:eastAsia="宋体" w:cs="宋体"/>
                <w:b w:val="0"/>
                <w:bCs w:val="0"/>
                <w:color w:val="auto"/>
                <w:kern w:val="0"/>
                <w:sz w:val="24"/>
                <w:szCs w:val="24"/>
                <w:highlight w:val="none"/>
                <w:lang w:val="en-US" w:eastAsia="zh-CN" w:bidi="ar"/>
              </w:rPr>
              <w:t>)分析可知，本项目属于重点污染控制区。项目选址与《牛栏江(昆明段)水环境保护规划</w:t>
            </w:r>
            <w:r>
              <w:rPr>
                <w:rFonts w:hint="eastAsia" w:ascii="宋体" w:hAnsi="宋体" w:cs="宋体"/>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2009</w:t>
            </w:r>
            <w:r>
              <w:rPr>
                <w:rFonts w:hint="default" w:ascii="Times New Roman" w:hAnsi="Times New Roman" w:cs="Times New Roman"/>
                <w:b/>
                <w:bCs w:val="0"/>
                <w:color w:val="auto"/>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bidi="ar"/>
              </w:rPr>
              <w:t>2030</w:t>
            </w:r>
            <w:r>
              <w:rPr>
                <w:rFonts w:hint="eastAsia" w:ascii="宋体" w:hAnsi="宋体" w:cs="宋体"/>
                <w:b w:val="0"/>
                <w:bCs w:val="0"/>
                <w:color w:val="auto"/>
                <w:kern w:val="0"/>
                <w:sz w:val="24"/>
                <w:szCs w:val="24"/>
                <w:highlight w:val="none"/>
                <w:lang w:val="en-US" w:eastAsia="zh-CN" w:bidi="ar"/>
              </w:rPr>
              <w:t>）</w:t>
            </w:r>
            <w:r>
              <w:rPr>
                <w:rFonts w:hint="default" w:ascii="宋体" w:hAnsi="宋体" w:eastAsia="宋体" w:cs="宋体"/>
                <w:b w:val="0"/>
                <w:bCs w:val="0"/>
                <w:color w:val="auto"/>
                <w:kern w:val="0"/>
                <w:sz w:val="24"/>
                <w:szCs w:val="24"/>
                <w:highlight w:val="none"/>
                <w:lang w:val="en-US" w:eastAsia="zh-CN" w:bidi="ar"/>
              </w:rPr>
              <w:t>》中对重点污染控制区的水环境保护策略符合性分析详见表</w:t>
            </w:r>
            <w:r>
              <w:rPr>
                <w:rFonts w:hint="default" w:ascii="Times New Roman" w:hAnsi="Times New Roman" w:eastAsia="宋体" w:cs="Times New Roman"/>
                <w:b w:val="0"/>
                <w:bCs w:val="0"/>
                <w:color w:val="auto"/>
                <w:kern w:val="0"/>
                <w:sz w:val="24"/>
                <w:szCs w:val="24"/>
                <w:highlight w:val="none"/>
                <w:lang w:val="en-US" w:eastAsia="zh-CN" w:bidi="ar"/>
              </w:rPr>
              <w:t>1-</w:t>
            </w:r>
            <w:r>
              <w:rPr>
                <w:rFonts w:hint="default" w:ascii="Times New Roman" w:hAnsi="Times New Roman" w:cs="Times New Roman"/>
                <w:b w:val="0"/>
                <w:bCs w:val="0"/>
                <w:color w:val="auto"/>
                <w:kern w:val="0"/>
                <w:sz w:val="24"/>
                <w:szCs w:val="24"/>
                <w:highlight w:val="none"/>
                <w:lang w:val="en-US" w:eastAsia="zh-CN" w:bidi="ar"/>
              </w:rPr>
              <w:t>7</w:t>
            </w:r>
            <w:r>
              <w:rPr>
                <w:rFonts w:hint="default" w:ascii="宋体" w:hAnsi="宋体" w:eastAsia="宋体" w:cs="宋体"/>
                <w:b w:val="0"/>
                <w:bCs w:val="0"/>
                <w:color w:val="auto"/>
                <w:kern w:val="0"/>
                <w:sz w:val="24"/>
                <w:szCs w:val="24"/>
                <w:highlight w:val="none"/>
                <w:lang w:val="en-US" w:eastAsia="zh-CN" w:bidi="ar"/>
              </w:rPr>
              <w:t>。</w:t>
            </w:r>
          </w:p>
          <w:p w14:paraId="17EC4E68">
            <w:pPr>
              <w:keepNext w:val="0"/>
              <w:keepLines w:val="0"/>
              <w:widowControl/>
              <w:suppressLineNumbers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w:t>
            </w:r>
            <w:r>
              <w:rPr>
                <w:rFonts w:hint="eastAsia" w:cs="Times New Roman"/>
                <w:b/>
                <w:bCs/>
                <w:color w:val="auto"/>
                <w:kern w:val="0"/>
                <w:sz w:val="21"/>
                <w:szCs w:val="21"/>
                <w:highlight w:val="none"/>
                <w:lang w:val="en-US" w:eastAsia="zh-CN"/>
              </w:rPr>
              <w:t>7</w:t>
            </w:r>
            <w:r>
              <w:rPr>
                <w:rFonts w:hint="default" w:ascii="Times New Roman" w:hAnsi="Times New Roman" w:eastAsia="宋体" w:cs="Times New Roman"/>
                <w:b/>
                <w:bCs/>
                <w:color w:val="auto"/>
                <w:kern w:val="0"/>
                <w:sz w:val="21"/>
                <w:szCs w:val="21"/>
                <w:highlight w:val="none"/>
              </w:rPr>
              <w:t xml:space="preserve">  项目选址与《牛栏江流域（</w:t>
            </w:r>
            <w:r>
              <w:rPr>
                <w:rFonts w:hint="eastAsia" w:cs="Times New Roman"/>
                <w:b/>
                <w:bCs/>
                <w:color w:val="auto"/>
                <w:kern w:val="0"/>
                <w:sz w:val="21"/>
                <w:szCs w:val="21"/>
                <w:highlight w:val="none"/>
                <w:lang w:val="en-US" w:eastAsia="zh-CN"/>
              </w:rPr>
              <w:t>昆明</w:t>
            </w:r>
            <w:r>
              <w:rPr>
                <w:rFonts w:hint="default" w:ascii="Times New Roman" w:hAnsi="Times New Roman" w:eastAsia="宋体" w:cs="Times New Roman"/>
                <w:b/>
                <w:bCs/>
                <w:color w:val="auto"/>
                <w:kern w:val="0"/>
                <w:sz w:val="21"/>
                <w:szCs w:val="21"/>
                <w:highlight w:val="none"/>
              </w:rPr>
              <w:t>段）水环境保护规划》对照分析</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2459"/>
              <w:gridCol w:w="3870"/>
              <w:gridCol w:w="716"/>
            </w:tblGrid>
            <w:tr w14:paraId="6D4B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95" w:type="pct"/>
                  <w:noWrap w:val="0"/>
                  <w:vAlign w:val="center"/>
                </w:tcPr>
                <w:p w14:paraId="041648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641" w:type="pct"/>
                  <w:noWrap w:val="0"/>
                  <w:vAlign w:val="center"/>
                </w:tcPr>
                <w:p w14:paraId="002C0A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《牛栏江流域（</w:t>
                  </w:r>
                  <w:r>
                    <w:rPr>
                      <w:rFonts w:hint="default" w:ascii="Times New Roman" w:hAnsi="Times New Roman" w:eastAsia="宋体" w:cs="Times New Roman"/>
                      <w:b/>
                      <w:bCs/>
                      <w:color w:val="auto"/>
                      <w:sz w:val="21"/>
                      <w:szCs w:val="21"/>
                      <w:highlight w:val="none"/>
                      <w:lang w:val="en-US" w:eastAsia="zh-CN"/>
                    </w:rPr>
                    <w:t>昆明</w:t>
                  </w:r>
                  <w:r>
                    <w:rPr>
                      <w:rFonts w:hint="default" w:ascii="Times New Roman" w:hAnsi="Times New Roman" w:eastAsia="宋体" w:cs="Times New Roman"/>
                      <w:b/>
                      <w:bCs/>
                      <w:color w:val="auto"/>
                      <w:sz w:val="21"/>
                      <w:szCs w:val="21"/>
                      <w:highlight w:val="none"/>
                    </w:rPr>
                    <w:t>段）水环境保护规划》选址条件</w:t>
                  </w:r>
                </w:p>
              </w:tc>
              <w:tc>
                <w:tcPr>
                  <w:tcW w:w="2584" w:type="pct"/>
                  <w:noWrap w:val="0"/>
                  <w:vAlign w:val="center"/>
                </w:tcPr>
                <w:p w14:paraId="431002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本项目实际情况</w:t>
                  </w:r>
                </w:p>
              </w:tc>
              <w:tc>
                <w:tcPr>
                  <w:tcW w:w="478" w:type="pct"/>
                  <w:noWrap w:val="0"/>
                  <w:vAlign w:val="center"/>
                </w:tcPr>
                <w:p w14:paraId="6242F2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4ACB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5" w:type="pct"/>
                  <w:vMerge w:val="restart"/>
                  <w:noWrap w:val="0"/>
                  <w:vAlign w:val="center"/>
                </w:tcPr>
                <w:p w14:paraId="37FA55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641" w:type="pct"/>
                  <w:noWrap w:val="0"/>
                  <w:vAlign w:val="center"/>
                </w:tcPr>
                <w:p w14:paraId="48F3FB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加强对重点工业污染源的监督，确保牛栏江流域（</w:t>
                  </w:r>
                  <w:r>
                    <w:rPr>
                      <w:rFonts w:hint="default" w:ascii="Times New Roman" w:hAnsi="Times New Roman" w:eastAsia="宋体" w:cs="Times New Roman"/>
                      <w:color w:val="auto"/>
                      <w:sz w:val="21"/>
                      <w:szCs w:val="21"/>
                      <w:highlight w:val="none"/>
                      <w:lang w:val="en-US" w:eastAsia="zh-CN"/>
                    </w:rPr>
                    <w:t>昆明</w:t>
                  </w:r>
                  <w:r>
                    <w:rPr>
                      <w:rFonts w:hint="default" w:ascii="Times New Roman" w:hAnsi="Times New Roman" w:eastAsia="宋体" w:cs="Times New Roman"/>
                      <w:color w:val="auto"/>
                      <w:sz w:val="21"/>
                      <w:szCs w:val="21"/>
                      <w:highlight w:val="none"/>
                    </w:rPr>
                    <w:t>段）内重点企业污水稳定达标排放并实现“零排放”。</w:t>
                  </w:r>
                </w:p>
              </w:tc>
              <w:tc>
                <w:tcPr>
                  <w:tcW w:w="2584" w:type="pct"/>
                  <w:noWrap w:val="0"/>
                  <w:vAlign w:val="center"/>
                </w:tcPr>
                <w:p w14:paraId="442FA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zh-CN" w:eastAsia="zh-CN" w:bidi="ar"/>
                    </w:rPr>
                    <w:t>项目生产</w:t>
                  </w:r>
                  <w:r>
                    <w:rPr>
                      <w:rFonts w:hint="eastAsia" w:cs="Times New Roman"/>
                      <w:color w:val="auto"/>
                      <w:kern w:val="2"/>
                      <w:sz w:val="21"/>
                      <w:szCs w:val="21"/>
                      <w:highlight w:val="none"/>
                      <w:lang w:val="en-US" w:eastAsia="zh-CN" w:bidi="ar"/>
                    </w:rPr>
                    <w:t>废水经收集后统一进入调节池、生产废水处理设施处理达标后回用于水洗补水，不外排；生活污水经化粪池处理后进入原项目自建生活污水处理站处理达标后回用于项目区绿化和道路广场浇洒，不外排。</w:t>
                  </w:r>
                </w:p>
              </w:tc>
              <w:tc>
                <w:tcPr>
                  <w:tcW w:w="478" w:type="pct"/>
                  <w:noWrap w:val="0"/>
                  <w:vAlign w:val="center"/>
                </w:tcPr>
                <w:p w14:paraId="35C2FE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EAB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95" w:type="pct"/>
                  <w:vMerge w:val="continue"/>
                  <w:noWrap w:val="0"/>
                  <w:vAlign w:val="center"/>
                </w:tcPr>
                <w:p w14:paraId="1AFCCA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641" w:type="pct"/>
                  <w:noWrap w:val="0"/>
                  <w:vAlign w:val="center"/>
                </w:tcPr>
                <w:p w14:paraId="27F92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固体废弃物最大程度重复利用和安全处置，消除工业企业的环境安全隐患，确保环保设施的正常运行，杜绝工业企业偷排、漏排污染物的现象。</w:t>
                  </w:r>
                </w:p>
              </w:tc>
              <w:tc>
                <w:tcPr>
                  <w:tcW w:w="2584" w:type="pct"/>
                  <w:noWrap w:val="0"/>
                  <w:vAlign w:val="center"/>
                </w:tcPr>
                <w:p w14:paraId="546927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项目产生的废包装材料、废原辅料包装袋收集后暂存于一般固废暂存处，定期外售废品收购站；废弃玻璃和边角料、不合格品收集后暂存于一般固废暂存处，后定期出售给废玻璃回收商；磨边废水沉淀池沉渣</w:t>
                  </w:r>
                  <w:r>
                    <w:rPr>
                      <w:rFonts w:hint="eastAsia" w:cs="Times New Roman"/>
                      <w:color w:val="auto"/>
                      <w:sz w:val="21"/>
                      <w:szCs w:val="21"/>
                      <w:highlight w:val="none"/>
                      <w:lang w:val="en-US" w:eastAsia="zh-CN"/>
                    </w:rPr>
                    <w:t>（玻璃碎屑）</w:t>
                  </w:r>
                  <w:r>
                    <w:rPr>
                      <w:rFonts w:hint="default" w:ascii="Times New Roman" w:hAnsi="Times New Roman" w:eastAsia="宋体" w:cs="Times New Roman"/>
                      <w:color w:val="auto"/>
                      <w:sz w:val="21"/>
                      <w:szCs w:val="21"/>
                      <w:highlight w:val="none"/>
                      <w:lang w:val="en-US" w:eastAsia="zh-CN"/>
                    </w:rPr>
                    <w:t>定期打捞，经碎玻璃收集箱收集后暂存于一般固废暂存处，</w:t>
                  </w:r>
                  <w:r>
                    <w:rPr>
                      <w:rFonts w:hint="eastAsia" w:ascii="Times New Roman" w:hAnsi="Times New Roman"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lang w:val="en-US" w:eastAsia="zh-CN"/>
                    </w:rPr>
                    <w:t>定期外售废品收购站。生活垃圾集中收集于垃圾桶内，委托环卫部门清运处置；食堂泔水、隔油池废油脂统一收集后委托有资质的单位清运、处置；化粪池污泥、生活污水处理站污泥委托环卫部门定期进行清掏、清运、处置。废机油、生产废水处理站污泥分类收集暂存于危险废物暂存间，定期委托有资质的单位清运处置；空硫酸桶、空盐酸桶、空防火液桶分类收集暂存于危险废物暂存间，由原料厂家定期回收。</w:t>
                  </w:r>
                  <w:r>
                    <w:rPr>
                      <w:rFonts w:hint="default" w:ascii="Times New Roman" w:hAnsi="Times New Roman" w:eastAsia="宋体" w:cs="Times New Roman"/>
                      <w:color w:val="auto"/>
                      <w:sz w:val="21"/>
                      <w:szCs w:val="21"/>
                      <w:highlight w:val="none"/>
                    </w:rPr>
                    <w:t>固废处置率为100%</w:t>
                  </w:r>
                  <w:r>
                    <w:rPr>
                      <w:rFonts w:hint="eastAsia" w:cs="Times New Roman"/>
                      <w:color w:val="auto"/>
                      <w:sz w:val="21"/>
                      <w:szCs w:val="21"/>
                      <w:highlight w:val="none"/>
                      <w:lang w:eastAsia="zh-CN"/>
                    </w:rPr>
                    <w:t>。</w:t>
                  </w:r>
                </w:p>
              </w:tc>
              <w:tc>
                <w:tcPr>
                  <w:tcW w:w="478" w:type="pct"/>
                  <w:noWrap w:val="0"/>
                  <w:vAlign w:val="center"/>
                </w:tcPr>
                <w:p w14:paraId="7AFB34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AF8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295" w:type="pct"/>
                  <w:noWrap w:val="0"/>
                  <w:vAlign w:val="center"/>
                </w:tcPr>
                <w:p w14:paraId="280BC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641" w:type="pct"/>
                  <w:noWrap w:val="0"/>
                  <w:vAlign w:val="center"/>
                </w:tcPr>
                <w:p w14:paraId="4DCD3C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shd w:val="clear" w:color="auto" w:fill="auto"/>
                    </w:rPr>
                    <w:t>建设再生水回用系统，污染控制区内不得建设不符合国家产业政策的工业项目及高污染工业项目</w:t>
                  </w:r>
                  <w:r>
                    <w:rPr>
                      <w:rFonts w:hint="eastAsia" w:cs="Times New Roman"/>
                      <w:color w:val="auto"/>
                      <w:sz w:val="21"/>
                      <w:szCs w:val="21"/>
                      <w:highlight w:val="none"/>
                      <w:shd w:val="clear" w:color="auto" w:fill="auto"/>
                      <w:lang w:eastAsia="zh-CN"/>
                    </w:rPr>
                    <w:t>。</w:t>
                  </w:r>
                </w:p>
              </w:tc>
              <w:tc>
                <w:tcPr>
                  <w:tcW w:w="2584" w:type="pct"/>
                  <w:noWrap w:val="0"/>
                  <w:vAlign w:val="center"/>
                </w:tcPr>
                <w:p w14:paraId="4F1F99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项目不属于高污染工业项目，</w:t>
                  </w:r>
                  <w:r>
                    <w:rPr>
                      <w:rStyle w:val="90"/>
                      <w:rFonts w:hint="default" w:ascii="Times New Roman" w:hAnsi="Times New Roman" w:eastAsia="宋体" w:cs="Times New Roman"/>
                      <w:color w:val="auto"/>
                      <w:sz w:val="21"/>
                      <w:szCs w:val="21"/>
                      <w:highlight w:val="none"/>
                    </w:rPr>
                    <w:t>不属于限制类和淘汰类项目</w:t>
                  </w:r>
                  <w:r>
                    <w:rPr>
                      <w:rFonts w:hint="default" w:ascii="Times New Roman" w:hAnsi="Times New Roman" w:eastAsia="宋体" w:cs="Times New Roman"/>
                      <w:color w:val="auto"/>
                      <w:sz w:val="21"/>
                      <w:szCs w:val="21"/>
                      <w:highlight w:val="none"/>
                    </w:rPr>
                    <w:t>，符合国家产业政策</w:t>
                  </w:r>
                  <w:r>
                    <w:rPr>
                      <w:rFonts w:hint="eastAsia" w:cs="Times New Roman"/>
                      <w:color w:val="auto"/>
                      <w:sz w:val="21"/>
                      <w:szCs w:val="21"/>
                      <w:highlight w:val="none"/>
                      <w:lang w:eastAsia="zh-CN"/>
                    </w:rPr>
                    <w:t>。</w:t>
                  </w:r>
                </w:p>
              </w:tc>
              <w:tc>
                <w:tcPr>
                  <w:tcW w:w="478" w:type="pct"/>
                  <w:noWrap w:val="0"/>
                  <w:vAlign w:val="center"/>
                </w:tcPr>
                <w:p w14:paraId="11D3A6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60E1AA8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综上所述，项目与《牛栏江(昆明段)水环境保护规划(</w:t>
            </w:r>
            <w:r>
              <w:rPr>
                <w:rFonts w:hint="default" w:ascii="Times New Roman" w:hAnsi="Times New Roman" w:eastAsia="宋体" w:cs="Times New Roman"/>
                <w:b w:val="0"/>
                <w:bCs w:val="0"/>
                <w:color w:val="auto"/>
                <w:kern w:val="0"/>
                <w:sz w:val="24"/>
                <w:szCs w:val="24"/>
                <w:highlight w:val="none"/>
                <w:lang w:val="en-US" w:eastAsia="zh-CN" w:bidi="ar"/>
              </w:rPr>
              <w:t>2011</w:t>
            </w:r>
            <w:r>
              <w:rPr>
                <w:rFonts w:hint="default" w:ascii="Times New Roman" w:hAnsi="Times New Roman" w:cs="Times New Roman"/>
                <w:b/>
                <w:bCs w:val="0"/>
                <w:color w:val="auto"/>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bidi="ar"/>
              </w:rPr>
              <w:t>2030</w:t>
            </w:r>
            <w:r>
              <w:rPr>
                <w:rFonts w:hint="default" w:ascii="宋体" w:hAnsi="宋体" w:eastAsia="宋体" w:cs="宋体"/>
                <w:b w:val="0"/>
                <w:bCs w:val="0"/>
                <w:color w:val="auto"/>
                <w:kern w:val="0"/>
                <w:sz w:val="24"/>
                <w:szCs w:val="24"/>
                <w:highlight w:val="none"/>
                <w:lang w:val="en-US" w:eastAsia="zh-CN" w:bidi="ar"/>
              </w:rPr>
              <w:t>)》 相符。</w:t>
            </w:r>
          </w:p>
          <w:p w14:paraId="193B3EA3">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color w:val="auto"/>
                <w:kern w:val="0"/>
                <w:sz w:val="24"/>
                <w:highlight w:val="none"/>
              </w:rPr>
            </w:pPr>
            <w:r>
              <w:rPr>
                <w:rFonts w:hint="eastAsia"/>
                <w:b/>
                <w:bCs/>
                <w:color w:val="auto"/>
                <w:kern w:val="0"/>
                <w:sz w:val="24"/>
                <w:highlight w:val="none"/>
                <w:lang w:val="en-US" w:eastAsia="zh-CN"/>
              </w:rPr>
              <w:t>9、</w:t>
            </w:r>
            <w:r>
              <w:rPr>
                <w:rFonts w:hint="default"/>
                <w:b/>
                <w:bCs/>
                <w:color w:val="auto"/>
                <w:kern w:val="0"/>
                <w:sz w:val="24"/>
                <w:highlight w:val="none"/>
              </w:rPr>
              <w:t>与《牛栏江流域（寻甸段）水环境保护规划</w:t>
            </w:r>
            <w:r>
              <w:rPr>
                <w:rFonts w:hint="default" w:ascii="Times New Roman" w:hAnsi="Times New Roman" w:eastAsia="宋体" w:cs="Times New Roman"/>
                <w:b/>
                <w:bCs/>
                <w:color w:val="auto"/>
                <w:kern w:val="0"/>
                <w:sz w:val="24"/>
                <w:szCs w:val="24"/>
                <w:highlight w:val="none"/>
              </w:rPr>
              <w:t>（20</w:t>
            </w:r>
            <w:r>
              <w:rPr>
                <w:rFonts w:hint="eastAsia" w:cs="Times New Roman"/>
                <w:b/>
                <w:bCs/>
                <w:color w:val="auto"/>
                <w:kern w:val="0"/>
                <w:sz w:val="24"/>
                <w:szCs w:val="24"/>
                <w:highlight w:val="none"/>
                <w:lang w:val="en-US" w:eastAsia="zh-CN"/>
              </w:rPr>
              <w:t>09</w:t>
            </w:r>
            <w:r>
              <w:rPr>
                <w:rFonts w:hint="default" w:ascii="Times New Roman" w:hAnsi="Times New Roman" w:eastAsia="宋体" w:cs="Times New Roman"/>
                <w:b/>
                <w:bCs/>
                <w:color w:val="auto"/>
                <w:kern w:val="0"/>
                <w:sz w:val="24"/>
                <w:szCs w:val="24"/>
                <w:highlight w:val="none"/>
              </w:rPr>
              <w:t>~2030）</w:t>
            </w:r>
            <w:r>
              <w:rPr>
                <w:rFonts w:hint="default"/>
                <w:b/>
                <w:bCs/>
                <w:color w:val="auto"/>
                <w:kern w:val="0"/>
                <w:sz w:val="24"/>
                <w:highlight w:val="none"/>
              </w:rPr>
              <w:t>》的相符性分析</w:t>
            </w:r>
          </w:p>
          <w:p w14:paraId="56AF22B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根据《牛栏江流域（寻甸段）水环境保护规划》分区结果，牛栏江流域（寻甸段）共分为三个区进行保护，水源保护核心区、重点污染控制区、重点水源涵养区，各分区范围节点如下：</w:t>
            </w:r>
          </w:p>
          <w:p w14:paraId="6177183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①水源保护核心区范围为牛栏江流域（寻甸段）干流1000m范围</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水源保护核心区分为禁止建设区、限制建设区两个区，禁止建设区范围指干流河面水域及沿岸外延200m的区</w:t>
            </w:r>
            <w:r>
              <w:rPr>
                <w:rFonts w:hint="default" w:ascii="Times New Roman" w:hAnsi="Times New Roman" w:eastAsia="宋体" w:cs="Times New Roman"/>
                <w:color w:val="auto"/>
                <w:kern w:val="0"/>
                <w:sz w:val="24"/>
                <w:highlight w:val="none"/>
              </w:rPr>
              <w:t>域，限制建设区范围指干流沿岸外200m—1000m之间的区域。</w:t>
            </w:r>
          </w:p>
          <w:p w14:paraId="0DE8523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color w:val="auto"/>
                <w:kern w:val="0"/>
                <w:sz w:val="24"/>
                <w:highlight w:val="none"/>
              </w:rPr>
            </w:pPr>
            <w:r>
              <w:rPr>
                <w:rFonts w:hint="default"/>
                <w:color w:val="auto"/>
                <w:kern w:val="0"/>
                <w:sz w:val="24"/>
                <w:highlight w:val="none"/>
              </w:rPr>
              <w:t>②重点污染控制区范围指水体保护核心区外，主要入江支流水域外延3000m的区域和流域范围内的坝区，若区域范围超过一级山脊，按一级山脊线划定。</w:t>
            </w:r>
          </w:p>
          <w:p w14:paraId="3DFD5BD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③重点水源涵养区范围指流域范围内除水源保护核心区、重点污染控制区以外的区域。</w:t>
            </w:r>
          </w:p>
          <w:p w14:paraId="47B21E4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宋体" w:hAnsi="宋体" w:eastAsia="宋体" w:cs="宋体"/>
                <w:b w:val="0"/>
                <w:bCs w:val="0"/>
                <w:color w:val="auto"/>
                <w:kern w:val="0"/>
                <w:sz w:val="24"/>
                <w:szCs w:val="24"/>
                <w:highlight w:val="none"/>
                <w:lang w:val="en-US" w:eastAsia="zh-CN" w:bidi="ar"/>
              </w:rPr>
            </w:pPr>
            <w:r>
              <w:rPr>
                <w:rFonts w:hint="default"/>
                <w:color w:val="auto"/>
                <w:kern w:val="0"/>
                <w:sz w:val="24"/>
                <w:highlight w:val="none"/>
              </w:rPr>
              <w:t>本项目位于寻甸特色产业园区</w:t>
            </w:r>
            <w:r>
              <w:rPr>
                <w:rFonts w:hint="eastAsia"/>
                <w:color w:val="auto"/>
                <w:kern w:val="0"/>
                <w:sz w:val="24"/>
                <w:highlight w:val="none"/>
                <w:lang w:val="en-US" w:eastAsia="zh-CN"/>
              </w:rPr>
              <w:t>羊街</w:t>
            </w:r>
            <w:r>
              <w:rPr>
                <w:rFonts w:hint="default"/>
                <w:color w:val="auto"/>
                <w:kern w:val="0"/>
                <w:sz w:val="24"/>
                <w:highlight w:val="none"/>
              </w:rPr>
              <w:t>片区，属重点污染控制区。对照《牛栏江（寻甸段）水环境保护规划（2011~2030）》对重点污染控制区的水环境保护策略，项目符合性分析见表1-</w:t>
            </w:r>
            <w:r>
              <w:rPr>
                <w:rFonts w:hint="eastAsia"/>
                <w:color w:val="auto"/>
                <w:kern w:val="0"/>
                <w:sz w:val="24"/>
                <w:highlight w:val="none"/>
                <w:lang w:val="en-US" w:eastAsia="zh-CN"/>
              </w:rPr>
              <w:t>8</w:t>
            </w:r>
            <w:r>
              <w:rPr>
                <w:rFonts w:hint="default"/>
                <w:color w:val="auto"/>
                <w:kern w:val="0"/>
                <w:sz w:val="24"/>
                <w:highlight w:val="none"/>
              </w:rPr>
              <w:t>。</w:t>
            </w:r>
          </w:p>
          <w:p w14:paraId="05B75CC1">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表1-</w:t>
            </w:r>
            <w:r>
              <w:rPr>
                <w:rFonts w:hint="eastAsia"/>
                <w:b/>
                <w:bCs/>
                <w:color w:val="auto"/>
                <w:kern w:val="0"/>
                <w:szCs w:val="21"/>
                <w:highlight w:val="none"/>
                <w:lang w:val="en-US" w:eastAsia="zh-CN"/>
              </w:rPr>
              <w:t>8</w:t>
            </w:r>
            <w:r>
              <w:rPr>
                <w:rFonts w:hint="default"/>
                <w:b/>
                <w:bCs/>
                <w:color w:val="auto"/>
                <w:kern w:val="0"/>
                <w:szCs w:val="21"/>
                <w:highlight w:val="none"/>
              </w:rPr>
              <w:t xml:space="preserve">  </w:t>
            </w:r>
            <w:r>
              <w:rPr>
                <w:rFonts w:hint="eastAsia"/>
                <w:b/>
                <w:bCs/>
                <w:color w:val="auto"/>
                <w:kern w:val="0"/>
                <w:szCs w:val="21"/>
                <w:highlight w:val="none"/>
                <w:lang w:val="en-US" w:eastAsia="zh-CN"/>
              </w:rPr>
              <w:t>与牛栏江（寻甸段）水环境保护规划（2011~2030）</w:t>
            </w:r>
            <w:r>
              <w:rPr>
                <w:rFonts w:hint="default"/>
                <w:b/>
                <w:bCs/>
                <w:color w:val="auto"/>
                <w:kern w:val="0"/>
                <w:szCs w:val="21"/>
                <w:highlight w:val="none"/>
              </w:rPr>
              <w:t>对照分析表</w:t>
            </w:r>
          </w:p>
          <w:tbl>
            <w:tblPr>
              <w:tblStyle w:val="25"/>
              <w:tblW w:w="7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4100"/>
              <w:gridCol w:w="2492"/>
              <w:gridCol w:w="667"/>
            </w:tblGrid>
            <w:tr w14:paraId="78E2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64" w:type="pct"/>
                  <w:noWrap w:val="0"/>
                  <w:vAlign w:val="center"/>
                </w:tcPr>
                <w:p w14:paraId="36BBB467">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1"/>
                      <w:szCs w:val="21"/>
                      <w:highlight w:val="none"/>
                    </w:rPr>
                  </w:pPr>
                  <w:r>
                    <w:rPr>
                      <w:rFonts w:hint="default"/>
                      <w:b/>
                      <w:bCs/>
                      <w:color w:val="auto"/>
                      <w:kern w:val="0"/>
                      <w:sz w:val="21"/>
                      <w:szCs w:val="21"/>
                      <w:highlight w:val="none"/>
                    </w:rPr>
                    <w:t>序号</w:t>
                  </w:r>
                </w:p>
              </w:tc>
              <w:tc>
                <w:tcPr>
                  <w:tcW w:w="2674" w:type="pct"/>
                  <w:noWrap w:val="0"/>
                  <w:vAlign w:val="center"/>
                </w:tcPr>
                <w:p w14:paraId="1CA585EE">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1"/>
                      <w:szCs w:val="21"/>
                      <w:highlight w:val="none"/>
                    </w:rPr>
                  </w:pPr>
                  <w:r>
                    <w:rPr>
                      <w:rFonts w:hint="default"/>
                      <w:b/>
                      <w:bCs/>
                      <w:color w:val="auto"/>
                      <w:kern w:val="0"/>
                      <w:sz w:val="21"/>
                      <w:szCs w:val="21"/>
                      <w:highlight w:val="none"/>
                    </w:rPr>
                    <w:t>《牛栏江流域（寻甸段）水环境保护规划》重点污染控制区水环境保护策略</w:t>
                  </w:r>
                </w:p>
              </w:tc>
              <w:tc>
                <w:tcPr>
                  <w:tcW w:w="1625" w:type="pct"/>
                  <w:noWrap w:val="0"/>
                  <w:vAlign w:val="center"/>
                </w:tcPr>
                <w:p w14:paraId="3D5D089E">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1"/>
                      <w:szCs w:val="21"/>
                      <w:highlight w:val="none"/>
                    </w:rPr>
                  </w:pPr>
                  <w:r>
                    <w:rPr>
                      <w:rFonts w:hint="default"/>
                      <w:b/>
                      <w:bCs/>
                      <w:color w:val="auto"/>
                      <w:kern w:val="0"/>
                      <w:sz w:val="21"/>
                      <w:szCs w:val="21"/>
                      <w:highlight w:val="none"/>
                    </w:rPr>
                    <w:t>该项目情况</w:t>
                  </w:r>
                </w:p>
              </w:tc>
              <w:tc>
                <w:tcPr>
                  <w:tcW w:w="435" w:type="pct"/>
                  <w:noWrap w:val="0"/>
                  <w:vAlign w:val="center"/>
                </w:tcPr>
                <w:p w14:paraId="7FA9D2CF">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1"/>
                      <w:szCs w:val="21"/>
                      <w:highlight w:val="none"/>
                    </w:rPr>
                  </w:pPr>
                  <w:r>
                    <w:rPr>
                      <w:rFonts w:hint="default"/>
                      <w:b/>
                      <w:bCs/>
                      <w:color w:val="auto"/>
                      <w:kern w:val="0"/>
                      <w:sz w:val="21"/>
                      <w:szCs w:val="21"/>
                      <w:highlight w:val="none"/>
                    </w:rPr>
                    <w:t>相符性</w:t>
                  </w:r>
                </w:p>
              </w:tc>
            </w:tr>
            <w:tr w14:paraId="0145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4" w:type="pct"/>
                  <w:noWrap w:val="0"/>
                  <w:vAlign w:val="center"/>
                </w:tcPr>
                <w:p w14:paraId="298354C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1</w:t>
                  </w:r>
                </w:p>
              </w:tc>
              <w:tc>
                <w:tcPr>
                  <w:tcW w:w="2674" w:type="pct"/>
                  <w:noWrap w:val="0"/>
                  <w:vAlign w:val="center"/>
                </w:tcPr>
                <w:p w14:paraId="6E8C024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1625" w:type="pct"/>
                  <w:noWrap w:val="0"/>
                  <w:vAlign w:val="center"/>
                </w:tcPr>
                <w:p w14:paraId="37D8A8AE">
                  <w:pPr>
                    <w:keepNext w:val="0"/>
                    <w:keepLines w:val="0"/>
                    <w:suppressLineNumbers w:val="0"/>
                    <w:autoSpaceDE w:val="0"/>
                    <w:autoSpaceDN w:val="0"/>
                    <w:adjustRightInd w:val="0"/>
                    <w:snapToGrid w:val="0"/>
                    <w:spacing w:before="0" w:beforeAutospacing="0" w:after="0" w:afterAutospacing="0"/>
                    <w:ind w:left="0" w:right="0"/>
                    <w:jc w:val="both"/>
                    <w:rPr>
                      <w:rFonts w:hint="eastAsia" w:cs="Times New Roman"/>
                      <w:color w:val="auto"/>
                      <w:kern w:val="2"/>
                      <w:sz w:val="21"/>
                      <w:szCs w:val="21"/>
                      <w:highlight w:val="none"/>
                      <w:lang w:val="en-US" w:eastAsia="zh-CN" w:bidi="ar"/>
                    </w:rPr>
                  </w:pPr>
                  <w:r>
                    <w:rPr>
                      <w:rFonts w:hint="default"/>
                      <w:color w:val="auto"/>
                      <w:kern w:val="0"/>
                      <w:sz w:val="21"/>
                      <w:szCs w:val="21"/>
                      <w:highlight w:val="none"/>
                    </w:rPr>
                    <w:t>项目</w:t>
                  </w:r>
                  <w:r>
                    <w:rPr>
                      <w:rFonts w:hint="eastAsia"/>
                      <w:color w:val="auto"/>
                      <w:kern w:val="0"/>
                      <w:sz w:val="21"/>
                      <w:szCs w:val="21"/>
                      <w:highlight w:val="none"/>
                      <w:lang w:eastAsia="zh-CN"/>
                    </w:rPr>
                    <w:t>生活</w:t>
                  </w:r>
                  <w:r>
                    <w:rPr>
                      <w:rFonts w:hint="eastAsia"/>
                      <w:color w:val="auto"/>
                      <w:kern w:val="0"/>
                      <w:sz w:val="21"/>
                      <w:szCs w:val="21"/>
                      <w:highlight w:val="none"/>
                      <w:lang w:val="en-US" w:eastAsia="zh-CN"/>
                    </w:rPr>
                    <w:t>污水</w:t>
                  </w:r>
                  <w:r>
                    <w:rPr>
                      <w:rFonts w:hint="eastAsia"/>
                      <w:color w:val="auto"/>
                      <w:kern w:val="0"/>
                      <w:sz w:val="21"/>
                      <w:szCs w:val="21"/>
                      <w:highlight w:val="none"/>
                      <w:lang w:eastAsia="zh-CN"/>
                    </w:rPr>
                    <w:t>经</w:t>
                  </w:r>
                  <w:r>
                    <w:rPr>
                      <w:rFonts w:hint="default"/>
                      <w:color w:val="auto"/>
                      <w:kern w:val="0"/>
                      <w:sz w:val="21"/>
                      <w:szCs w:val="21"/>
                      <w:highlight w:val="none"/>
                    </w:rPr>
                    <w:t>化粪池</w:t>
                  </w:r>
                  <w:r>
                    <w:rPr>
                      <w:rFonts w:hint="eastAsia"/>
                      <w:color w:val="auto"/>
                      <w:kern w:val="0"/>
                      <w:sz w:val="21"/>
                      <w:szCs w:val="21"/>
                      <w:highlight w:val="none"/>
                      <w:lang w:eastAsia="zh-CN"/>
                    </w:rPr>
                    <w:t>处理后进入原项目自建生活污水处理站</w:t>
                  </w:r>
                  <w:r>
                    <w:rPr>
                      <w:rFonts w:hint="default"/>
                      <w:color w:val="auto"/>
                      <w:kern w:val="0"/>
                      <w:sz w:val="21"/>
                      <w:szCs w:val="21"/>
                      <w:highlight w:val="none"/>
                    </w:rPr>
                    <w:t>处理</w:t>
                  </w:r>
                  <w:r>
                    <w:rPr>
                      <w:rFonts w:hint="eastAsia"/>
                      <w:color w:val="auto"/>
                      <w:kern w:val="0"/>
                      <w:sz w:val="21"/>
                      <w:szCs w:val="21"/>
                      <w:highlight w:val="none"/>
                      <w:lang w:eastAsia="zh-CN"/>
                    </w:rPr>
                    <w:t>达标</w:t>
                  </w:r>
                  <w:r>
                    <w:rPr>
                      <w:rFonts w:hint="default"/>
                      <w:color w:val="auto"/>
                      <w:kern w:val="0"/>
                      <w:sz w:val="21"/>
                      <w:szCs w:val="21"/>
                      <w:highlight w:val="none"/>
                    </w:rPr>
                    <w:t>后</w:t>
                  </w:r>
                  <w:r>
                    <w:rPr>
                      <w:rFonts w:hint="default"/>
                      <w:color w:val="auto"/>
                      <w:kern w:val="0"/>
                      <w:sz w:val="21"/>
                      <w:szCs w:val="21"/>
                      <w:highlight w:val="none"/>
                      <w:lang w:val="zh-CN"/>
                    </w:rPr>
                    <w:t>回用于</w:t>
                  </w:r>
                  <w:r>
                    <w:rPr>
                      <w:rFonts w:hint="eastAsia"/>
                      <w:color w:val="auto"/>
                      <w:kern w:val="0"/>
                      <w:sz w:val="21"/>
                      <w:szCs w:val="21"/>
                      <w:highlight w:val="none"/>
                      <w:lang w:val="zh-CN"/>
                    </w:rPr>
                    <w:t>项目区</w:t>
                  </w:r>
                  <w:r>
                    <w:rPr>
                      <w:rFonts w:hint="default"/>
                      <w:color w:val="auto"/>
                      <w:kern w:val="0"/>
                      <w:sz w:val="21"/>
                      <w:szCs w:val="21"/>
                      <w:highlight w:val="none"/>
                      <w:lang w:val="zh-CN"/>
                    </w:rPr>
                    <w:t>绿化和</w:t>
                  </w:r>
                  <w:r>
                    <w:rPr>
                      <w:rFonts w:hint="eastAsia"/>
                      <w:color w:val="auto"/>
                      <w:kern w:val="0"/>
                      <w:sz w:val="21"/>
                      <w:szCs w:val="21"/>
                      <w:highlight w:val="none"/>
                      <w:lang w:eastAsia="zh-CN"/>
                    </w:rPr>
                    <w:t>道路广场浇洒</w:t>
                  </w:r>
                  <w:r>
                    <w:rPr>
                      <w:rFonts w:hint="default"/>
                      <w:color w:val="auto"/>
                      <w:kern w:val="0"/>
                      <w:sz w:val="21"/>
                      <w:szCs w:val="21"/>
                      <w:highlight w:val="none"/>
                    </w:rPr>
                    <w:t>，不外排</w:t>
                  </w:r>
                  <w:r>
                    <w:rPr>
                      <w:rFonts w:hint="eastAsia"/>
                      <w:color w:val="auto"/>
                      <w:kern w:val="0"/>
                      <w:sz w:val="21"/>
                      <w:szCs w:val="21"/>
                      <w:highlight w:val="none"/>
                      <w:lang w:eastAsia="zh-CN"/>
                    </w:rPr>
                    <w:t>；</w:t>
                  </w:r>
                  <w:r>
                    <w:rPr>
                      <w:rFonts w:hint="eastAsia" w:ascii="Times New Roman" w:hAnsi="Times New Roman" w:eastAsia="宋体" w:cs="Times New Roman"/>
                      <w:color w:val="auto"/>
                      <w:kern w:val="2"/>
                      <w:sz w:val="21"/>
                      <w:szCs w:val="21"/>
                      <w:highlight w:val="none"/>
                      <w:lang w:val="zh-CN" w:eastAsia="zh-CN" w:bidi="ar"/>
                    </w:rPr>
                    <w:t>生产</w:t>
                  </w:r>
                  <w:r>
                    <w:rPr>
                      <w:rFonts w:hint="eastAsia" w:cs="Times New Roman"/>
                      <w:color w:val="auto"/>
                      <w:kern w:val="2"/>
                      <w:sz w:val="21"/>
                      <w:szCs w:val="21"/>
                      <w:highlight w:val="none"/>
                      <w:lang w:val="en-US" w:eastAsia="zh-CN" w:bidi="ar"/>
                    </w:rPr>
                    <w:t>废水经收集后统一进入调节池、生产废水处理设施处理达标后回用于水洗补水，不外排。</w:t>
                  </w:r>
                </w:p>
                <w:p w14:paraId="5CA42BDD">
                  <w:pPr>
                    <w:keepNext w:val="0"/>
                    <w:keepLines w:val="0"/>
                    <w:suppressLineNumbers w:val="0"/>
                    <w:autoSpaceDE w:val="0"/>
                    <w:autoSpaceDN w:val="0"/>
                    <w:adjustRightInd w:val="0"/>
                    <w:snapToGrid w:val="0"/>
                    <w:spacing w:before="0" w:beforeAutospacing="0" w:after="0" w:afterAutospacing="0"/>
                    <w:ind w:left="0" w:right="0"/>
                    <w:jc w:val="both"/>
                    <w:rPr>
                      <w:rFonts w:hint="default"/>
                      <w:color w:val="auto"/>
                      <w:kern w:val="0"/>
                      <w:sz w:val="21"/>
                      <w:szCs w:val="21"/>
                      <w:highlight w:val="none"/>
                    </w:rPr>
                  </w:pPr>
                  <w:r>
                    <w:rPr>
                      <w:rFonts w:hint="default"/>
                      <w:color w:val="auto"/>
                      <w:kern w:val="0"/>
                      <w:sz w:val="21"/>
                      <w:szCs w:val="21"/>
                      <w:highlight w:val="none"/>
                    </w:rPr>
                    <w:t>能实现污水“零排放”</w:t>
                  </w:r>
                  <w:r>
                    <w:rPr>
                      <w:rFonts w:hint="eastAsia"/>
                      <w:color w:val="auto"/>
                      <w:kern w:val="0"/>
                      <w:sz w:val="21"/>
                      <w:szCs w:val="21"/>
                      <w:highlight w:val="none"/>
                      <w:lang w:eastAsia="zh-CN"/>
                    </w:rPr>
                    <w:t>，</w:t>
                  </w:r>
                  <w:r>
                    <w:rPr>
                      <w:rFonts w:hint="default"/>
                      <w:color w:val="auto"/>
                      <w:kern w:val="0"/>
                      <w:sz w:val="21"/>
                      <w:szCs w:val="21"/>
                      <w:highlight w:val="none"/>
                    </w:rPr>
                    <w:t>固废处置率100%。</w:t>
                  </w:r>
                </w:p>
              </w:tc>
              <w:tc>
                <w:tcPr>
                  <w:tcW w:w="435" w:type="pct"/>
                  <w:noWrap w:val="0"/>
                  <w:vAlign w:val="center"/>
                </w:tcPr>
                <w:p w14:paraId="796D4906">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符合</w:t>
                  </w:r>
                </w:p>
              </w:tc>
            </w:tr>
            <w:tr w14:paraId="2029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64" w:type="pct"/>
                  <w:noWrap w:val="0"/>
                  <w:vAlign w:val="center"/>
                </w:tcPr>
                <w:p w14:paraId="1D59F45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2</w:t>
                  </w:r>
                </w:p>
              </w:tc>
              <w:tc>
                <w:tcPr>
                  <w:tcW w:w="2674" w:type="pct"/>
                  <w:noWrap w:val="0"/>
                  <w:vAlign w:val="center"/>
                </w:tcPr>
                <w:p w14:paraId="64850FF5">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建设再生水回用系统，污染控制区内不得建设不符合国家产业政策的工业项目及高污染工业项目；新建工业项目废水不得排放有毒有害物质，改扩建项目不得新增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1625" w:type="pct"/>
                  <w:noWrap w:val="0"/>
                  <w:vAlign w:val="center"/>
                </w:tcPr>
                <w:p w14:paraId="3B194F6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项目不属于高污染工业项目，项目废水</w:t>
                  </w:r>
                  <w:r>
                    <w:rPr>
                      <w:rFonts w:hint="eastAsia"/>
                      <w:color w:val="auto"/>
                      <w:kern w:val="0"/>
                      <w:sz w:val="21"/>
                      <w:szCs w:val="21"/>
                      <w:highlight w:val="none"/>
                      <w:lang w:val="en-US" w:eastAsia="zh-CN"/>
                    </w:rPr>
                    <w:t>不</w:t>
                  </w:r>
                  <w:r>
                    <w:rPr>
                      <w:rFonts w:hint="default"/>
                      <w:color w:val="auto"/>
                      <w:kern w:val="0"/>
                      <w:sz w:val="21"/>
                      <w:szCs w:val="21"/>
                      <w:highlight w:val="none"/>
                    </w:rPr>
                    <w:t>外排，不会排放有毒有害物质。</w:t>
                  </w:r>
                </w:p>
              </w:tc>
              <w:tc>
                <w:tcPr>
                  <w:tcW w:w="435" w:type="pct"/>
                  <w:noWrap w:val="0"/>
                  <w:vAlign w:val="center"/>
                </w:tcPr>
                <w:p w14:paraId="65E98175">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符合</w:t>
                  </w:r>
                </w:p>
              </w:tc>
            </w:tr>
          </w:tbl>
          <w:p w14:paraId="7B60062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0"/>
                <w:highlight w:val="none"/>
                <w:lang w:val="en-US" w:eastAsia="zh-CN" w:bidi="ar-SA"/>
              </w:rPr>
            </w:pPr>
            <w:r>
              <w:rPr>
                <w:rFonts w:hint="eastAsia" w:ascii="宋体" w:hAnsi="宋体" w:eastAsia="宋体" w:cs="宋体"/>
                <w:color w:val="auto"/>
                <w:sz w:val="24"/>
                <w:szCs w:val="24"/>
                <w:highlight w:val="none"/>
              </w:rPr>
              <w:t>由上表</w:t>
            </w:r>
            <w:r>
              <w:rPr>
                <w:rFonts w:hint="eastAsia" w:ascii="宋体" w:hAnsi="宋体" w:cs="宋体"/>
                <w:color w:val="auto"/>
                <w:sz w:val="24"/>
                <w:szCs w:val="24"/>
                <w:highlight w:val="none"/>
                <w:lang w:val="en-US" w:eastAsia="zh-CN"/>
              </w:rPr>
              <w:t>分析</w:t>
            </w:r>
            <w:r>
              <w:rPr>
                <w:rFonts w:hint="eastAsia" w:ascii="宋体" w:hAnsi="宋体" w:eastAsia="宋体" w:cs="宋体"/>
                <w:color w:val="auto"/>
                <w:sz w:val="24"/>
                <w:szCs w:val="24"/>
                <w:highlight w:val="none"/>
              </w:rPr>
              <w:t>可知，</w:t>
            </w:r>
            <w:r>
              <w:rPr>
                <w:rFonts w:hint="default" w:ascii="Times New Roman" w:hAnsi="Times New Roman" w:eastAsia="宋体" w:cs="Times New Roman"/>
                <w:color w:val="auto"/>
                <w:kern w:val="0"/>
                <w:sz w:val="24"/>
                <w:szCs w:val="20"/>
                <w:highlight w:val="none"/>
                <w:lang w:val="en-US" w:eastAsia="zh-CN" w:bidi="ar-SA"/>
              </w:rPr>
              <w:t>项目符合《牛栏江流域（寻甸段）水环境保护规划》对重点污染控制区的相关要求。</w:t>
            </w:r>
          </w:p>
          <w:p w14:paraId="37A5DB5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highlight w:val="none"/>
              </w:rPr>
            </w:pPr>
            <w:r>
              <w:rPr>
                <w:rFonts w:hint="eastAsia" w:ascii="Times New Roman" w:hAnsi="Times New Roman" w:cs="Times New Roman"/>
                <w:b/>
                <w:bCs w:val="0"/>
                <w:color w:val="auto"/>
                <w:sz w:val="24"/>
                <w:szCs w:val="24"/>
                <w:highlight w:val="none"/>
                <w:lang w:val="en-US" w:eastAsia="zh-CN"/>
              </w:rPr>
              <w:t>10、</w:t>
            </w:r>
            <w:r>
              <w:rPr>
                <w:rFonts w:hint="default" w:ascii="Times New Roman" w:hAnsi="Times New Roman" w:eastAsia="宋体" w:cs="Times New Roman"/>
                <w:b/>
                <w:bCs/>
                <w:color w:val="auto"/>
                <w:kern w:val="0"/>
                <w:sz w:val="24"/>
                <w:szCs w:val="24"/>
                <w:highlight w:val="none"/>
              </w:rPr>
              <w:t>与《长江经济带发展负面清单指南（试行，2022年版）》符合性分析</w:t>
            </w:r>
          </w:p>
          <w:p w14:paraId="7858EFC4">
            <w:pPr>
              <w:pStyle w:val="10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96"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4"/>
                <w:szCs w:val="24"/>
                <w:highlight w:val="none"/>
              </w:rPr>
              <w:t>2022年1月长江经济带发展领导小组办公室印发了《长江经济带发展负面清单指南（试行，2022年版）》的通知（长江办〔2022〕7号），项目与《长江经济带发展负面清单指南（试行，2022年版）》相符性对比分析详见下表</w:t>
            </w:r>
            <w:r>
              <w:rPr>
                <w:rFonts w:hint="default" w:ascii="Times New Roman" w:hAnsi="Times New Roman" w:eastAsia="宋体" w:cs="Times New Roman"/>
                <w:color w:val="auto"/>
                <w:kern w:val="0"/>
                <w:sz w:val="24"/>
                <w:szCs w:val="24"/>
                <w:highlight w:val="none"/>
                <w:lang w:val="en-US" w:eastAsia="zh-CN" w:bidi="ar"/>
              </w:rPr>
              <w:t>。</w:t>
            </w:r>
          </w:p>
          <w:p w14:paraId="6AF7CF1B">
            <w:pPr>
              <w:pStyle w:val="103"/>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项目与《长江经济带发展负面清单指南》符合性分析</w:t>
            </w:r>
          </w:p>
          <w:tbl>
            <w:tblPr>
              <w:tblStyle w:val="25"/>
              <w:tblW w:w="7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855"/>
              <w:gridCol w:w="2023"/>
              <w:gridCol w:w="991"/>
            </w:tblGrid>
            <w:tr w14:paraId="3F93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041247A">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eastAsia="宋体" w:cs="Times New Roman"/>
                      <w:b/>
                      <w:bCs w:val="0"/>
                      <w:color w:val="auto"/>
                      <w:sz w:val="21"/>
                      <w:szCs w:val="21"/>
                      <w:highlight w:val="none"/>
                      <w:lang w:eastAsia="zh-CN"/>
                    </w:rPr>
                  </w:pPr>
                  <w:r>
                    <w:rPr>
                      <w:rFonts w:hint="eastAsia" w:cs="Times New Roman"/>
                      <w:b/>
                      <w:bCs w:val="0"/>
                      <w:color w:val="auto"/>
                      <w:sz w:val="21"/>
                      <w:szCs w:val="21"/>
                      <w:highlight w:val="none"/>
                      <w:lang w:eastAsia="zh-CN"/>
                    </w:rPr>
                    <w:t>序号</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2952AED9">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b/>
                      <w:bCs w:val="0"/>
                      <w:color w:val="auto"/>
                      <w:sz w:val="21"/>
                      <w:szCs w:val="21"/>
                      <w:highlight w:val="none"/>
                    </w:rPr>
                  </w:pPr>
                  <w:r>
                    <w:rPr>
                      <w:rFonts w:hint="eastAsia" w:cs="Times New Roman"/>
                      <w:b/>
                      <w:bCs w:val="0"/>
                      <w:color w:val="auto"/>
                      <w:sz w:val="21"/>
                      <w:szCs w:val="21"/>
                      <w:highlight w:val="none"/>
                      <w:lang w:eastAsia="zh-CN"/>
                    </w:rPr>
                    <w:t>文件</w:t>
                  </w:r>
                  <w:r>
                    <w:rPr>
                      <w:rFonts w:hint="default" w:cs="Times New Roman"/>
                      <w:b/>
                      <w:bCs w:val="0"/>
                      <w:color w:val="auto"/>
                      <w:sz w:val="21"/>
                      <w:szCs w:val="21"/>
                      <w:highlight w:val="none"/>
                    </w:rPr>
                    <w:t>要求</w:t>
                  </w:r>
                </w:p>
              </w:tc>
              <w:tc>
                <w:tcPr>
                  <w:tcW w:w="2023" w:type="dxa"/>
                  <w:tcBorders>
                    <w:top w:val="single" w:color="auto" w:sz="4" w:space="0"/>
                    <w:left w:val="nil"/>
                    <w:bottom w:val="single" w:color="auto" w:sz="4" w:space="0"/>
                    <w:right w:val="single" w:color="auto" w:sz="4" w:space="0"/>
                  </w:tcBorders>
                  <w:noWrap w:val="0"/>
                  <w:vAlign w:val="center"/>
                </w:tcPr>
                <w:p w14:paraId="2B5C21FB">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b/>
                      <w:bCs w:val="0"/>
                      <w:color w:val="auto"/>
                      <w:sz w:val="21"/>
                      <w:szCs w:val="21"/>
                      <w:highlight w:val="none"/>
                    </w:rPr>
                  </w:pPr>
                  <w:r>
                    <w:rPr>
                      <w:rFonts w:hint="default" w:cs="Times New Roman"/>
                      <w:b/>
                      <w:bCs w:val="0"/>
                      <w:color w:val="auto"/>
                      <w:sz w:val="21"/>
                      <w:szCs w:val="21"/>
                      <w:highlight w:val="none"/>
                    </w:rPr>
                    <w:t>本项目情况</w:t>
                  </w:r>
                </w:p>
              </w:tc>
              <w:tc>
                <w:tcPr>
                  <w:tcW w:w="991" w:type="dxa"/>
                  <w:tcBorders>
                    <w:top w:val="single" w:color="auto" w:sz="4" w:space="0"/>
                    <w:left w:val="nil"/>
                    <w:bottom w:val="single" w:color="auto" w:sz="4" w:space="0"/>
                    <w:right w:val="single" w:color="auto" w:sz="4" w:space="0"/>
                  </w:tcBorders>
                  <w:noWrap w:val="0"/>
                  <w:vAlign w:val="center"/>
                </w:tcPr>
                <w:p w14:paraId="4770126D">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b/>
                      <w:bCs w:val="0"/>
                      <w:color w:val="auto"/>
                      <w:sz w:val="21"/>
                      <w:szCs w:val="21"/>
                      <w:highlight w:val="none"/>
                    </w:rPr>
                  </w:pPr>
                  <w:r>
                    <w:rPr>
                      <w:rFonts w:hint="default" w:cs="Times New Roman"/>
                      <w:b/>
                      <w:bCs w:val="0"/>
                      <w:color w:val="auto"/>
                      <w:sz w:val="21"/>
                      <w:szCs w:val="21"/>
                      <w:highlight w:val="none"/>
                    </w:rPr>
                    <w:t>符合性</w:t>
                  </w:r>
                </w:p>
              </w:tc>
            </w:tr>
            <w:tr w14:paraId="51B3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7FFEF9D">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5FC488B7">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禁止建设不符合全国和省级港口布局规划以及港口总体规划的码头项目，禁止建设不符合《长江干线过江通道布局规划》的过长江通道项目。</w:t>
                  </w:r>
                </w:p>
              </w:tc>
              <w:tc>
                <w:tcPr>
                  <w:tcW w:w="2023" w:type="dxa"/>
                  <w:tcBorders>
                    <w:top w:val="single" w:color="auto" w:sz="4" w:space="0"/>
                    <w:left w:val="nil"/>
                    <w:bottom w:val="single" w:color="auto" w:sz="4" w:space="0"/>
                    <w:right w:val="single" w:color="auto" w:sz="4" w:space="0"/>
                  </w:tcBorders>
                  <w:noWrap w:val="0"/>
                  <w:vAlign w:val="center"/>
                </w:tcPr>
                <w:p w14:paraId="2802F21A">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本</w:t>
                  </w:r>
                  <w:r>
                    <w:rPr>
                      <w:rFonts w:hint="default" w:cs="Times New Roman"/>
                      <w:color w:val="auto"/>
                      <w:sz w:val="21"/>
                      <w:szCs w:val="21"/>
                      <w:highlight w:val="none"/>
                    </w:rPr>
                    <w:t>项目不属于码头</w:t>
                  </w:r>
                  <w:r>
                    <w:rPr>
                      <w:rFonts w:hint="eastAsia" w:cs="Times New Roman"/>
                      <w:color w:val="auto"/>
                      <w:sz w:val="21"/>
                      <w:szCs w:val="21"/>
                      <w:highlight w:val="none"/>
                      <w:lang w:eastAsia="zh-CN"/>
                    </w:rPr>
                    <w:t>及</w:t>
                  </w:r>
                  <w:r>
                    <w:rPr>
                      <w:rFonts w:hint="default" w:cs="Times New Roman"/>
                      <w:color w:val="auto"/>
                      <w:sz w:val="21"/>
                      <w:szCs w:val="21"/>
                      <w:highlight w:val="none"/>
                    </w:rPr>
                    <w:t>过长江通道项目</w:t>
                  </w:r>
                  <w:r>
                    <w:rPr>
                      <w:rFonts w:hint="eastAsia" w:cs="Times New Roman"/>
                      <w:color w:val="auto"/>
                      <w:sz w:val="21"/>
                      <w:szCs w:val="21"/>
                      <w:highlight w:val="none"/>
                      <w:lang w:eastAsia="zh-CN"/>
                    </w:rPr>
                    <w:t>。</w:t>
                  </w:r>
                </w:p>
              </w:tc>
              <w:tc>
                <w:tcPr>
                  <w:tcW w:w="991" w:type="dxa"/>
                  <w:tcBorders>
                    <w:top w:val="single" w:color="auto" w:sz="4" w:space="0"/>
                    <w:left w:val="nil"/>
                    <w:bottom w:val="single" w:color="auto" w:sz="4" w:space="0"/>
                    <w:right w:val="single" w:color="auto" w:sz="4" w:space="0"/>
                  </w:tcBorders>
                  <w:noWrap w:val="0"/>
                  <w:vAlign w:val="center"/>
                </w:tcPr>
                <w:p w14:paraId="3B4BD235">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3731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1701A69">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24E39CAE">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2023" w:type="dxa"/>
                  <w:tcBorders>
                    <w:top w:val="single" w:color="auto" w:sz="4" w:space="0"/>
                    <w:left w:val="nil"/>
                    <w:bottom w:val="single" w:color="auto" w:sz="4" w:space="0"/>
                    <w:right w:val="single" w:color="auto" w:sz="4" w:space="0"/>
                  </w:tcBorders>
                  <w:noWrap w:val="0"/>
                  <w:vAlign w:val="center"/>
                </w:tcPr>
                <w:p w14:paraId="6B46CD43">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项目位于</w:t>
                  </w:r>
                  <w:r>
                    <w:rPr>
                      <w:rFonts w:hint="default" w:cs="Times New Roman"/>
                      <w:color w:val="auto"/>
                      <w:sz w:val="21"/>
                      <w:szCs w:val="21"/>
                      <w:highlight w:val="none"/>
                      <w:lang w:val="en-US"/>
                    </w:rPr>
                    <w:t>云南省昆明市寻甸特色产业园区羊街片区</w:t>
                  </w:r>
                  <w:r>
                    <w:rPr>
                      <w:rFonts w:hint="default" w:cs="Times New Roman"/>
                      <w:color w:val="auto"/>
                      <w:sz w:val="21"/>
                      <w:szCs w:val="21"/>
                      <w:highlight w:val="none"/>
                    </w:rPr>
                    <w:t>，不在自然保护区及风景名胜区范围。</w:t>
                  </w:r>
                </w:p>
              </w:tc>
              <w:tc>
                <w:tcPr>
                  <w:tcW w:w="991" w:type="dxa"/>
                  <w:tcBorders>
                    <w:top w:val="single" w:color="auto" w:sz="4" w:space="0"/>
                    <w:left w:val="nil"/>
                    <w:bottom w:val="single" w:color="auto" w:sz="4" w:space="0"/>
                    <w:right w:val="single" w:color="auto" w:sz="4" w:space="0"/>
                  </w:tcBorders>
                  <w:noWrap w:val="0"/>
                  <w:vAlign w:val="center"/>
                </w:tcPr>
                <w:p w14:paraId="6D7A68C8">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1D6F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CEC5F7A">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64EE154D">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023" w:type="dxa"/>
                  <w:tcBorders>
                    <w:top w:val="single" w:color="auto" w:sz="4" w:space="0"/>
                    <w:left w:val="nil"/>
                    <w:bottom w:val="single" w:color="auto" w:sz="4" w:space="0"/>
                    <w:right w:val="single" w:color="auto" w:sz="4" w:space="0"/>
                  </w:tcBorders>
                  <w:noWrap w:val="0"/>
                  <w:vAlign w:val="center"/>
                </w:tcPr>
                <w:p w14:paraId="09A4A24D">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eastAsia" w:cs="Times New Roman"/>
                      <w:color w:val="auto"/>
                      <w:sz w:val="21"/>
                      <w:szCs w:val="21"/>
                      <w:highlight w:val="none"/>
                      <w:lang w:val="en-US" w:eastAsia="zh-CN"/>
                    </w:rPr>
                    <w:t>本</w:t>
                  </w:r>
                  <w:r>
                    <w:rPr>
                      <w:rFonts w:hint="default" w:cs="Times New Roman"/>
                      <w:color w:val="auto"/>
                      <w:sz w:val="21"/>
                      <w:szCs w:val="21"/>
                      <w:highlight w:val="none"/>
                    </w:rPr>
                    <w:t>项目不在饮用水水源地保护区。</w:t>
                  </w:r>
                </w:p>
              </w:tc>
              <w:tc>
                <w:tcPr>
                  <w:tcW w:w="991" w:type="dxa"/>
                  <w:tcBorders>
                    <w:top w:val="single" w:color="auto" w:sz="4" w:space="0"/>
                    <w:left w:val="nil"/>
                    <w:bottom w:val="single" w:color="auto" w:sz="4" w:space="0"/>
                    <w:right w:val="single" w:color="auto" w:sz="4" w:space="0"/>
                  </w:tcBorders>
                  <w:noWrap w:val="0"/>
                  <w:vAlign w:val="center"/>
                </w:tcPr>
                <w:p w14:paraId="78F46D8B">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0329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4A03468">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2A11D61E">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023" w:type="dxa"/>
                  <w:tcBorders>
                    <w:top w:val="single" w:color="auto" w:sz="4" w:space="0"/>
                    <w:left w:val="nil"/>
                    <w:bottom w:val="single" w:color="auto" w:sz="4" w:space="0"/>
                    <w:right w:val="single" w:color="auto" w:sz="4" w:space="0"/>
                  </w:tcBorders>
                  <w:noWrap w:val="0"/>
                  <w:vAlign w:val="center"/>
                </w:tcPr>
                <w:p w14:paraId="01E062C8">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eastAsia" w:cs="Times New Roman"/>
                      <w:color w:val="auto"/>
                      <w:sz w:val="21"/>
                      <w:szCs w:val="21"/>
                      <w:highlight w:val="none"/>
                      <w:lang w:val="en-US" w:eastAsia="zh-CN"/>
                    </w:rPr>
                    <w:t>本</w:t>
                  </w:r>
                  <w:r>
                    <w:rPr>
                      <w:rFonts w:hint="default" w:cs="Times New Roman"/>
                      <w:color w:val="auto"/>
                      <w:sz w:val="21"/>
                      <w:szCs w:val="21"/>
                      <w:highlight w:val="none"/>
                    </w:rPr>
                    <w:t>项目不在水产种质资源保护区及国家湿地公园范围。</w:t>
                  </w:r>
                </w:p>
              </w:tc>
              <w:tc>
                <w:tcPr>
                  <w:tcW w:w="991" w:type="dxa"/>
                  <w:tcBorders>
                    <w:top w:val="single" w:color="auto" w:sz="4" w:space="0"/>
                    <w:left w:val="nil"/>
                    <w:bottom w:val="single" w:color="auto" w:sz="4" w:space="0"/>
                    <w:right w:val="single" w:color="auto" w:sz="4" w:space="0"/>
                  </w:tcBorders>
                  <w:noWrap w:val="0"/>
                  <w:vAlign w:val="center"/>
                </w:tcPr>
                <w:p w14:paraId="338BF461">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6D78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73CC166">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3C71001E">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023" w:type="dxa"/>
                  <w:tcBorders>
                    <w:top w:val="single" w:color="auto" w:sz="4" w:space="0"/>
                    <w:left w:val="nil"/>
                    <w:bottom w:val="single" w:color="auto" w:sz="4" w:space="0"/>
                    <w:right w:val="single" w:color="auto" w:sz="4" w:space="0"/>
                  </w:tcBorders>
                  <w:noWrap w:val="0"/>
                  <w:vAlign w:val="center"/>
                </w:tcPr>
                <w:p w14:paraId="52630E1C">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本项目不在《长江岸线保护和开发利用总体规划》划定的岸线保护区内。</w:t>
                  </w:r>
                </w:p>
              </w:tc>
              <w:tc>
                <w:tcPr>
                  <w:tcW w:w="991" w:type="dxa"/>
                  <w:tcBorders>
                    <w:top w:val="single" w:color="auto" w:sz="4" w:space="0"/>
                    <w:left w:val="nil"/>
                    <w:bottom w:val="single" w:color="auto" w:sz="4" w:space="0"/>
                    <w:right w:val="single" w:color="auto" w:sz="4" w:space="0"/>
                  </w:tcBorders>
                  <w:noWrap w:val="0"/>
                  <w:vAlign w:val="center"/>
                </w:tcPr>
                <w:p w14:paraId="3E6EEB29">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11E4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CBB830C">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162D426F">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禁止未经许可在长江干支流及湖泊新设、改设或扩大排污口。</w:t>
                  </w:r>
                </w:p>
              </w:tc>
              <w:tc>
                <w:tcPr>
                  <w:tcW w:w="2023" w:type="dxa"/>
                  <w:tcBorders>
                    <w:top w:val="single" w:color="auto" w:sz="4" w:space="0"/>
                    <w:left w:val="nil"/>
                    <w:bottom w:val="single" w:color="auto" w:sz="4" w:space="0"/>
                    <w:right w:val="single" w:color="auto" w:sz="4" w:space="0"/>
                  </w:tcBorders>
                  <w:noWrap w:val="0"/>
                  <w:vAlign w:val="center"/>
                </w:tcPr>
                <w:p w14:paraId="4043AF34">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eastAsia" w:eastAsia="宋体" w:cs="Times New Roman"/>
                      <w:color w:val="auto"/>
                      <w:sz w:val="21"/>
                      <w:szCs w:val="21"/>
                      <w:highlight w:val="none"/>
                      <w:lang w:eastAsia="zh-CN"/>
                    </w:rPr>
                  </w:pPr>
                  <w:r>
                    <w:rPr>
                      <w:rFonts w:hint="default" w:cs="Times New Roman"/>
                      <w:color w:val="auto"/>
                      <w:sz w:val="21"/>
                      <w:szCs w:val="21"/>
                      <w:highlight w:val="none"/>
                    </w:rPr>
                    <w:t>本项目不在长江干支流范围</w:t>
                  </w:r>
                  <w:r>
                    <w:rPr>
                      <w:rFonts w:hint="eastAsia" w:cs="Times New Roman"/>
                      <w:color w:val="auto"/>
                      <w:sz w:val="21"/>
                      <w:szCs w:val="21"/>
                      <w:highlight w:val="none"/>
                      <w:lang w:eastAsia="zh-CN"/>
                    </w:rPr>
                    <w:t>。</w:t>
                  </w:r>
                </w:p>
              </w:tc>
              <w:tc>
                <w:tcPr>
                  <w:tcW w:w="991" w:type="dxa"/>
                  <w:tcBorders>
                    <w:top w:val="single" w:color="auto" w:sz="4" w:space="0"/>
                    <w:left w:val="nil"/>
                    <w:bottom w:val="single" w:color="auto" w:sz="4" w:space="0"/>
                    <w:right w:val="single" w:color="auto" w:sz="4" w:space="0"/>
                  </w:tcBorders>
                  <w:noWrap w:val="0"/>
                  <w:vAlign w:val="center"/>
                </w:tcPr>
                <w:p w14:paraId="42E25B4A">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52F2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F1F5AA1">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53E2E3B0">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禁止在“一江一口两湖七河”和332个水生生物保护区开展生产性捕捞。</w:t>
                  </w:r>
                </w:p>
              </w:tc>
              <w:tc>
                <w:tcPr>
                  <w:tcW w:w="2023" w:type="dxa"/>
                  <w:tcBorders>
                    <w:top w:val="single" w:color="auto" w:sz="4" w:space="0"/>
                    <w:left w:val="nil"/>
                    <w:bottom w:val="single" w:color="auto" w:sz="4" w:space="0"/>
                    <w:right w:val="single" w:color="auto" w:sz="4" w:space="0"/>
                  </w:tcBorders>
                  <w:noWrap w:val="0"/>
                  <w:vAlign w:val="center"/>
                </w:tcPr>
                <w:p w14:paraId="1D855C2D">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本项目不在</w:t>
                  </w:r>
                  <w:r>
                    <w:rPr>
                      <w:rFonts w:hint="eastAsia" w:cs="Times New Roman"/>
                      <w:color w:val="auto"/>
                      <w:sz w:val="21"/>
                      <w:szCs w:val="21"/>
                      <w:highlight w:val="none"/>
                      <w:lang w:eastAsia="zh-CN"/>
                    </w:rPr>
                    <w:t>“</w:t>
                  </w:r>
                  <w:r>
                    <w:rPr>
                      <w:rFonts w:hint="default" w:cs="Times New Roman"/>
                      <w:color w:val="auto"/>
                      <w:sz w:val="21"/>
                      <w:szCs w:val="21"/>
                      <w:highlight w:val="none"/>
                    </w:rPr>
                    <w:t>一江一口两湖七河</w:t>
                  </w:r>
                  <w:r>
                    <w:rPr>
                      <w:rFonts w:hint="eastAsia" w:cs="Times New Roman"/>
                      <w:color w:val="auto"/>
                      <w:sz w:val="21"/>
                      <w:szCs w:val="21"/>
                      <w:highlight w:val="none"/>
                      <w:lang w:eastAsia="zh-CN"/>
                    </w:rPr>
                    <w:t>”</w:t>
                  </w:r>
                  <w:r>
                    <w:rPr>
                      <w:rFonts w:hint="default" w:cs="Times New Roman"/>
                      <w:color w:val="auto"/>
                      <w:sz w:val="21"/>
                      <w:szCs w:val="21"/>
                      <w:highlight w:val="none"/>
                    </w:rPr>
                    <w:t>和332个水生生物保护区，且本项目不涉及生产性捕捞。</w:t>
                  </w:r>
                </w:p>
              </w:tc>
              <w:tc>
                <w:tcPr>
                  <w:tcW w:w="991" w:type="dxa"/>
                  <w:tcBorders>
                    <w:top w:val="single" w:color="auto" w:sz="4" w:space="0"/>
                    <w:left w:val="nil"/>
                    <w:bottom w:val="single" w:color="auto" w:sz="4" w:space="0"/>
                    <w:right w:val="single" w:color="auto" w:sz="4" w:space="0"/>
                  </w:tcBorders>
                  <w:noWrap w:val="0"/>
                  <w:vAlign w:val="center"/>
                </w:tcPr>
                <w:p w14:paraId="32F22FD4">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6AC6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9E99FEA">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5ECC44FF">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w:t>
                  </w:r>
                  <w:r>
                    <w:rPr>
                      <w:rFonts w:hint="eastAsia" w:cs="Times New Roman"/>
                      <w:color w:val="auto"/>
                      <w:sz w:val="21"/>
                      <w:szCs w:val="21"/>
                      <w:highlight w:val="none"/>
                      <w:lang w:eastAsia="zh-CN"/>
                    </w:rPr>
                    <w:t>的</w:t>
                  </w:r>
                  <w:r>
                    <w:rPr>
                      <w:rFonts w:hint="default" w:cs="Times New Roman"/>
                      <w:color w:val="auto"/>
                      <w:sz w:val="21"/>
                      <w:szCs w:val="21"/>
                      <w:highlight w:val="none"/>
                    </w:rPr>
                    <w:t>改建除外。</w:t>
                  </w:r>
                </w:p>
              </w:tc>
              <w:tc>
                <w:tcPr>
                  <w:tcW w:w="2023" w:type="dxa"/>
                  <w:tcBorders>
                    <w:top w:val="single" w:color="auto" w:sz="4" w:space="0"/>
                    <w:left w:val="nil"/>
                    <w:bottom w:val="single" w:color="auto" w:sz="4" w:space="0"/>
                    <w:right w:val="single" w:color="auto" w:sz="4" w:space="0"/>
                  </w:tcBorders>
                  <w:noWrap w:val="0"/>
                  <w:vAlign w:val="center"/>
                </w:tcPr>
                <w:p w14:paraId="08B54FFB">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本项目不在长江干支流、重要湖泊岸线一公里范围内、长江干流岸线三公里范围内和重要支流岸线一公里范围内。</w:t>
                  </w:r>
                </w:p>
              </w:tc>
              <w:tc>
                <w:tcPr>
                  <w:tcW w:w="991" w:type="dxa"/>
                  <w:tcBorders>
                    <w:top w:val="single" w:color="auto" w:sz="4" w:space="0"/>
                    <w:left w:val="nil"/>
                    <w:bottom w:val="single" w:color="auto" w:sz="4" w:space="0"/>
                    <w:right w:val="single" w:color="auto" w:sz="4" w:space="0"/>
                  </w:tcBorders>
                  <w:noWrap w:val="0"/>
                  <w:vAlign w:val="center"/>
                </w:tcPr>
                <w:p w14:paraId="05205377">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7C9E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F9953BD">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7D679759">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禁止在合规园区外新建、扩建钢铁、石化、化工、焦化、建材、有色、制浆造纸等高污染项目。</w:t>
                  </w:r>
                </w:p>
              </w:tc>
              <w:tc>
                <w:tcPr>
                  <w:tcW w:w="2023" w:type="dxa"/>
                  <w:tcBorders>
                    <w:top w:val="single" w:color="auto" w:sz="4" w:space="0"/>
                    <w:left w:val="nil"/>
                    <w:bottom w:val="single" w:color="auto" w:sz="4" w:space="0"/>
                    <w:right w:val="single" w:color="auto" w:sz="4" w:space="0"/>
                  </w:tcBorders>
                  <w:noWrap w:val="0"/>
                  <w:vAlign w:val="center"/>
                </w:tcPr>
                <w:p w14:paraId="4A3090FA">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lang w:val="en-US" w:eastAsia="zh-CN"/>
                    </w:rPr>
                    <w:t>钢铁、石化、化工、焦化、建材、有色、制浆造纸等高污染项目。</w:t>
                  </w:r>
                </w:p>
              </w:tc>
              <w:tc>
                <w:tcPr>
                  <w:tcW w:w="991" w:type="dxa"/>
                  <w:tcBorders>
                    <w:top w:val="single" w:color="auto" w:sz="4" w:space="0"/>
                    <w:left w:val="nil"/>
                    <w:bottom w:val="single" w:color="auto" w:sz="4" w:space="0"/>
                    <w:right w:val="single" w:color="auto" w:sz="4" w:space="0"/>
                  </w:tcBorders>
                  <w:noWrap w:val="0"/>
                  <w:vAlign w:val="center"/>
                </w:tcPr>
                <w:p w14:paraId="52649B8D">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962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471B925">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560FC3E0">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禁止新建、扩建不符合国家石化、现代煤化工等产业布局规划的项目。</w:t>
                  </w:r>
                </w:p>
              </w:tc>
              <w:tc>
                <w:tcPr>
                  <w:tcW w:w="2023" w:type="dxa"/>
                  <w:tcBorders>
                    <w:top w:val="single" w:color="auto" w:sz="4" w:space="0"/>
                    <w:left w:val="nil"/>
                    <w:bottom w:val="single" w:color="auto" w:sz="4" w:space="0"/>
                    <w:right w:val="single" w:color="auto" w:sz="4" w:space="0"/>
                  </w:tcBorders>
                  <w:noWrap w:val="0"/>
                  <w:vAlign w:val="center"/>
                </w:tcPr>
                <w:p w14:paraId="7E22FA63">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本项目为</w:t>
                  </w:r>
                  <w:r>
                    <w:rPr>
                      <w:rFonts w:hint="eastAsia" w:cs="Times New Roman"/>
                      <w:color w:val="auto"/>
                      <w:sz w:val="21"/>
                      <w:szCs w:val="21"/>
                      <w:highlight w:val="none"/>
                      <w:lang w:val="en-US" w:eastAsia="zh-CN"/>
                    </w:rPr>
                    <w:t>玻璃生产加工项目</w:t>
                  </w:r>
                  <w:r>
                    <w:rPr>
                      <w:rFonts w:hint="default" w:cs="Times New Roman"/>
                      <w:color w:val="auto"/>
                      <w:sz w:val="21"/>
                      <w:szCs w:val="21"/>
                      <w:highlight w:val="none"/>
                    </w:rPr>
                    <w:t>，不属于国家石化、现代煤化工等产业布局规划的项目。</w:t>
                  </w:r>
                </w:p>
              </w:tc>
              <w:tc>
                <w:tcPr>
                  <w:tcW w:w="991" w:type="dxa"/>
                  <w:tcBorders>
                    <w:top w:val="single" w:color="auto" w:sz="4" w:space="0"/>
                    <w:left w:val="nil"/>
                    <w:bottom w:val="single" w:color="auto" w:sz="4" w:space="0"/>
                    <w:right w:val="single" w:color="auto" w:sz="4" w:space="0"/>
                  </w:tcBorders>
                  <w:noWrap w:val="0"/>
                  <w:vAlign w:val="center"/>
                </w:tcPr>
                <w:p w14:paraId="2D4BE64A">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7639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D0248DF">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203F03BD">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2023" w:type="dxa"/>
                  <w:tcBorders>
                    <w:top w:val="single" w:color="auto" w:sz="4" w:space="0"/>
                    <w:left w:val="nil"/>
                    <w:bottom w:val="single" w:color="auto" w:sz="4" w:space="0"/>
                    <w:right w:val="single" w:color="auto" w:sz="4" w:space="0"/>
                  </w:tcBorders>
                  <w:noWrap w:val="0"/>
                  <w:vAlign w:val="center"/>
                </w:tcPr>
                <w:p w14:paraId="3319E885">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cs="Times New Roman"/>
                      <w:color w:val="auto"/>
                      <w:sz w:val="21"/>
                      <w:szCs w:val="21"/>
                      <w:highlight w:val="none"/>
                    </w:rPr>
                  </w:pPr>
                  <w:r>
                    <w:rPr>
                      <w:rFonts w:hint="default" w:cs="Times New Roman"/>
                      <w:color w:val="auto"/>
                      <w:sz w:val="21"/>
                      <w:szCs w:val="21"/>
                      <w:highlight w:val="none"/>
                    </w:rPr>
                    <w:t>本项目为</w:t>
                  </w:r>
                  <w:r>
                    <w:rPr>
                      <w:rFonts w:hint="eastAsia" w:cs="Times New Roman"/>
                      <w:color w:val="auto"/>
                      <w:sz w:val="21"/>
                      <w:szCs w:val="21"/>
                      <w:highlight w:val="none"/>
                      <w:lang w:val="en-US" w:eastAsia="zh-CN"/>
                    </w:rPr>
                    <w:t>玻璃生产加工项目</w:t>
                  </w:r>
                  <w:r>
                    <w:rPr>
                      <w:rFonts w:hint="default" w:cs="Times New Roman"/>
                      <w:color w:val="auto"/>
                      <w:sz w:val="21"/>
                      <w:szCs w:val="21"/>
                      <w:highlight w:val="none"/>
                    </w:rPr>
                    <w:t>，不属于法律法规和相关政策明令禁止的落后产能项目。项目不属于高耗能</w:t>
                  </w:r>
                  <w:r>
                    <w:rPr>
                      <w:rFonts w:hint="eastAsia" w:cs="Times New Roman"/>
                      <w:color w:val="auto"/>
                      <w:sz w:val="21"/>
                      <w:szCs w:val="21"/>
                      <w:highlight w:val="none"/>
                      <w:lang w:eastAsia="zh-CN"/>
                    </w:rPr>
                    <w:t>高排放</w:t>
                  </w:r>
                  <w:r>
                    <w:rPr>
                      <w:rFonts w:hint="default" w:cs="Times New Roman"/>
                      <w:color w:val="auto"/>
                      <w:sz w:val="21"/>
                      <w:szCs w:val="21"/>
                      <w:highlight w:val="none"/>
                    </w:rPr>
                    <w:t>项目。</w:t>
                  </w:r>
                </w:p>
              </w:tc>
              <w:tc>
                <w:tcPr>
                  <w:tcW w:w="991" w:type="dxa"/>
                  <w:tcBorders>
                    <w:top w:val="single" w:color="auto" w:sz="4" w:space="0"/>
                    <w:left w:val="nil"/>
                    <w:bottom w:val="single" w:color="auto" w:sz="4" w:space="0"/>
                    <w:right w:val="single" w:color="auto" w:sz="4" w:space="0"/>
                  </w:tcBorders>
                  <w:noWrap w:val="0"/>
                  <w:vAlign w:val="center"/>
                </w:tcPr>
                <w:p w14:paraId="651B5797">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符合</w:t>
                  </w:r>
                </w:p>
              </w:tc>
            </w:tr>
            <w:tr w14:paraId="2E28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F6887E0">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3855" w:type="dxa"/>
                  <w:tcBorders>
                    <w:top w:val="single" w:color="auto" w:sz="4" w:space="0"/>
                    <w:left w:val="single" w:color="auto" w:sz="4" w:space="0"/>
                    <w:bottom w:val="single" w:color="auto" w:sz="4" w:space="0"/>
                    <w:right w:val="single" w:color="auto" w:sz="4" w:space="0"/>
                  </w:tcBorders>
                  <w:noWrap w:val="0"/>
                  <w:vAlign w:val="center"/>
                </w:tcPr>
                <w:p w14:paraId="52761AAE">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法律法规及相关政策文件有更加严格规定的从其规定</w:t>
                  </w:r>
                </w:p>
              </w:tc>
              <w:tc>
                <w:tcPr>
                  <w:tcW w:w="2023" w:type="dxa"/>
                  <w:tcBorders>
                    <w:top w:val="single" w:color="auto" w:sz="4" w:space="0"/>
                    <w:left w:val="nil"/>
                    <w:bottom w:val="single" w:color="auto" w:sz="4" w:space="0"/>
                    <w:right w:val="single" w:color="auto" w:sz="4" w:space="0"/>
                  </w:tcBorders>
                  <w:noWrap w:val="0"/>
                  <w:vAlign w:val="center"/>
                </w:tcPr>
                <w:p w14:paraId="300E7FDA">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不属于其他规定禁止项目</w:t>
                  </w:r>
                  <w:r>
                    <w:rPr>
                      <w:rFonts w:hint="eastAsia" w:ascii="Times New Roman" w:hAnsi="Times New Roman" w:eastAsia="宋体" w:cs="Times New Roman"/>
                      <w:color w:val="auto"/>
                      <w:sz w:val="21"/>
                      <w:szCs w:val="21"/>
                      <w:highlight w:val="none"/>
                      <w:lang w:val="en-US" w:eastAsia="zh-CN"/>
                    </w:rPr>
                    <w:t>。</w:t>
                  </w:r>
                </w:p>
              </w:tc>
              <w:tc>
                <w:tcPr>
                  <w:tcW w:w="991" w:type="dxa"/>
                  <w:tcBorders>
                    <w:top w:val="single" w:color="auto" w:sz="4" w:space="0"/>
                    <w:left w:val="nil"/>
                    <w:bottom w:val="single" w:color="auto" w:sz="4" w:space="0"/>
                    <w:right w:val="single" w:color="auto" w:sz="4" w:space="0"/>
                  </w:tcBorders>
                  <w:noWrap w:val="0"/>
                  <w:vAlign w:val="center"/>
                </w:tcPr>
                <w:p w14:paraId="2B407173">
                  <w:pPr>
                    <w:pStyle w:val="103"/>
                    <w:keepNext w:val="0"/>
                    <w:keepLines w:val="0"/>
                    <w:widowControl/>
                    <w:suppressLineNumbers w:val="0"/>
                    <w:adjustRightInd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203FFB64">
            <w:pPr>
              <w:pStyle w:val="104"/>
              <w:keepNext w:val="0"/>
              <w:keepLines w:val="0"/>
              <w:suppressLineNumbers w:val="0"/>
              <w:spacing w:before="0" w:beforeAutospacing="0" w:after="0" w:afterAutospacing="0" w:line="360" w:lineRule="auto"/>
              <w:ind w:left="0" w:right="0" w:firstLine="47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综上所述，本项目建设符合《长江经济带发展负面清单指南（试行，2022年版</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rPr>
              <w:t>要求。</w:t>
            </w:r>
          </w:p>
          <w:p w14:paraId="1CE932C2">
            <w:pPr>
              <w:pStyle w:val="104"/>
              <w:keepNext w:val="0"/>
              <w:keepLines w:val="0"/>
              <w:suppressLineNumbers w:val="0"/>
              <w:spacing w:before="0" w:beforeAutospacing="0" w:after="0" w:afterAutospacing="0" w:line="360" w:lineRule="auto"/>
              <w:ind w:left="0" w:right="0" w:firstLine="470"/>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11、</w:t>
            </w:r>
            <w:r>
              <w:rPr>
                <w:rFonts w:hint="eastAsia" w:ascii="Times New Roman" w:hAnsi="Times New Roman" w:eastAsia="宋体" w:cs="Times New Roman"/>
                <w:b/>
                <w:bCs/>
                <w:color w:val="auto"/>
                <w:sz w:val="24"/>
                <w:szCs w:val="24"/>
                <w:highlight w:val="none"/>
                <w:lang w:val="en-US" w:eastAsia="zh-CN"/>
              </w:rPr>
              <w:t>与</w:t>
            </w:r>
            <w:r>
              <w:rPr>
                <w:rFonts w:hint="eastAsia" w:ascii="Times New Roman" w:hAnsi="Times New Roman" w:eastAsia="宋体" w:cs="Times New Roman"/>
                <w:b/>
                <w:bCs/>
                <w:color w:val="auto"/>
                <w:sz w:val="24"/>
                <w:szCs w:val="24"/>
                <w:highlight w:val="none"/>
                <w:lang w:eastAsia="zh-CN"/>
              </w:rPr>
              <w:t>《云南省长江经济带发展负面清单指南实施细则（试行，2022年版）》</w:t>
            </w:r>
            <w:r>
              <w:rPr>
                <w:rFonts w:hint="eastAsia" w:ascii="Times New Roman" w:hAnsi="Times New Roman" w:eastAsia="宋体" w:cs="Times New Roman"/>
                <w:b/>
                <w:bCs/>
                <w:color w:val="auto"/>
                <w:sz w:val="24"/>
                <w:szCs w:val="24"/>
                <w:highlight w:val="none"/>
                <w:lang w:val="en-US" w:eastAsia="zh-CN"/>
              </w:rPr>
              <w:t>符合性分析</w:t>
            </w:r>
          </w:p>
          <w:p w14:paraId="0C702105">
            <w:pPr>
              <w:pStyle w:val="104"/>
              <w:keepNext w:val="0"/>
              <w:keepLines w:val="0"/>
              <w:suppressLineNumbers w:val="0"/>
              <w:spacing w:before="0" w:beforeAutospacing="0" w:after="0" w:afterAutospacing="0" w:line="360" w:lineRule="auto"/>
              <w:ind w:left="0" w:right="0" w:firstLine="470"/>
              <w:rPr>
                <w:rFonts w:hint="default"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rPr>
              <w:t>云南省推动长江经济带发展领导小组办公室于2022年8月19日印发了《云南省长江经济带发展负面清单指南实施细则</w:t>
            </w:r>
            <w:bookmarkStart w:id="17" w:name="_Hlk115104277"/>
            <w:r>
              <w:rPr>
                <w:rFonts w:hint="default" w:ascii="Times New Roman" w:hAnsi="Times New Roman" w:eastAsia="宋体" w:cs="Times New Roman"/>
                <w:color w:val="auto"/>
                <w:sz w:val="24"/>
                <w:szCs w:val="24"/>
                <w:highlight w:val="none"/>
              </w:rPr>
              <w:t>（试行，2022年版）</w:t>
            </w:r>
            <w:bookmarkEnd w:id="17"/>
            <w:r>
              <w:rPr>
                <w:rFonts w:hint="default" w:ascii="Times New Roman" w:hAnsi="Times New Roman" w:eastAsia="宋体" w:cs="Times New Roman"/>
                <w:color w:val="auto"/>
                <w:sz w:val="24"/>
                <w:szCs w:val="24"/>
                <w:highlight w:val="none"/>
              </w:rPr>
              <w:t>》，本项目与其符合性见下表</w:t>
            </w:r>
            <w:r>
              <w:rPr>
                <w:rFonts w:hint="default" w:ascii="Times New Roman" w:hAnsi="Times New Roman" w:eastAsia="宋体" w:cs="Times New Roman"/>
                <w:color w:val="auto"/>
                <w:sz w:val="24"/>
                <w:szCs w:val="24"/>
                <w:highlight w:val="none"/>
                <w:lang w:eastAsia="zh-CN" w:bidi="ar"/>
              </w:rPr>
              <w:t>。</w:t>
            </w:r>
          </w:p>
          <w:p w14:paraId="6A377982">
            <w:pPr>
              <w:pStyle w:val="10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zh-TW" w:eastAsia="zh-CN"/>
              </w:rPr>
              <w:t>表</w:t>
            </w:r>
            <w:r>
              <w:rPr>
                <w:rFonts w:hint="eastAsia"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与《云南省长江经济带发展负面清单指南实施细则（试行，2022年版）》符合性</w:t>
            </w:r>
            <w:r>
              <w:rPr>
                <w:rFonts w:hint="eastAsia" w:cs="Times New Roman"/>
                <w:color w:val="auto"/>
                <w:highlight w:val="none"/>
                <w:lang w:val="en-US" w:eastAsia="zh-CN"/>
              </w:rPr>
              <w:t>分析</w:t>
            </w:r>
          </w:p>
          <w:tbl>
            <w:tblPr>
              <w:tblStyle w:val="25"/>
              <w:tblW w:w="7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3485"/>
              <w:gridCol w:w="3045"/>
              <w:gridCol w:w="600"/>
            </w:tblGrid>
            <w:tr w14:paraId="51A6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dxa"/>
                  <w:noWrap w:val="0"/>
                  <w:vAlign w:val="center"/>
                </w:tcPr>
                <w:p w14:paraId="016C4B05">
                  <w:pPr>
                    <w:pStyle w:val="10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eastAsia="zh-CN"/>
                    </w:rPr>
                    <w:t>序号</w:t>
                  </w:r>
                </w:p>
              </w:tc>
              <w:tc>
                <w:tcPr>
                  <w:tcW w:w="3485" w:type="dxa"/>
                  <w:noWrap w:val="0"/>
                  <w:vAlign w:val="center"/>
                </w:tcPr>
                <w:p w14:paraId="4417732F">
                  <w:pPr>
                    <w:pStyle w:val="10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rPr>
                  </w:pPr>
                  <w:r>
                    <w:rPr>
                      <w:rFonts w:hint="eastAsia" w:cs="Times New Roman"/>
                      <w:b/>
                      <w:color w:val="auto"/>
                      <w:sz w:val="21"/>
                      <w:szCs w:val="21"/>
                      <w:highlight w:val="none"/>
                      <w:lang w:eastAsia="zh-CN"/>
                    </w:rPr>
                    <w:t>相关规定</w:t>
                  </w:r>
                </w:p>
              </w:tc>
              <w:tc>
                <w:tcPr>
                  <w:tcW w:w="3045" w:type="dxa"/>
                  <w:noWrap w:val="0"/>
                  <w:vAlign w:val="center"/>
                </w:tcPr>
                <w:p w14:paraId="37C3E0E5">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本项目情况</w:t>
                  </w:r>
                </w:p>
              </w:tc>
              <w:tc>
                <w:tcPr>
                  <w:tcW w:w="600" w:type="dxa"/>
                  <w:noWrap w:val="0"/>
                  <w:vAlign w:val="center"/>
                </w:tcPr>
                <w:p w14:paraId="7038AEB8">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符合性</w:t>
                  </w:r>
                </w:p>
              </w:tc>
            </w:tr>
            <w:tr w14:paraId="2EF2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487" w:type="dxa"/>
                  <w:noWrap w:val="0"/>
                  <w:vAlign w:val="center"/>
                </w:tcPr>
                <w:p w14:paraId="45EE1D3B">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3485" w:type="dxa"/>
                  <w:noWrap w:val="0"/>
                  <w:vAlign w:val="center"/>
                </w:tcPr>
                <w:p w14:paraId="7D0D30A7">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一）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3045" w:type="dxa"/>
                  <w:noWrap w:val="0"/>
                  <w:vAlign w:val="center"/>
                </w:tcPr>
                <w:p w14:paraId="187A69E0">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本项目不属于码头及过长江通道项目。</w:t>
                  </w:r>
                </w:p>
              </w:tc>
              <w:tc>
                <w:tcPr>
                  <w:tcW w:w="600" w:type="dxa"/>
                  <w:noWrap w:val="0"/>
                  <w:vAlign w:val="center"/>
                </w:tcPr>
                <w:p w14:paraId="44530650">
                  <w:pPr>
                    <w:pStyle w:val="10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14:paraId="337E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dxa"/>
                  <w:noWrap w:val="0"/>
                  <w:vAlign w:val="center"/>
                </w:tcPr>
                <w:p w14:paraId="79EB9AB7">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3485" w:type="dxa"/>
                  <w:noWrap w:val="0"/>
                  <w:vAlign w:val="center"/>
                </w:tcPr>
                <w:p w14:paraId="413EEA8F">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二）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3045" w:type="dxa"/>
                  <w:noWrap w:val="0"/>
                  <w:vAlign w:val="center"/>
                </w:tcPr>
                <w:p w14:paraId="4FC39EDF">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项目位于</w:t>
                  </w:r>
                  <w:r>
                    <w:rPr>
                      <w:rFonts w:hint="default" w:cs="Times New Roman"/>
                      <w:color w:val="auto"/>
                      <w:sz w:val="21"/>
                      <w:szCs w:val="21"/>
                      <w:highlight w:val="none"/>
                      <w:lang w:val="en-US"/>
                    </w:rPr>
                    <w:t>云南省昆明市寻甸特色产业园区羊街片区</w:t>
                  </w:r>
                  <w:r>
                    <w:rPr>
                      <w:rFonts w:hint="default" w:ascii="Times New Roman" w:hAnsi="Times New Roman" w:eastAsia="宋体" w:cs="Times New Roman"/>
                      <w:bCs/>
                      <w:color w:val="auto"/>
                      <w:sz w:val="21"/>
                      <w:szCs w:val="21"/>
                      <w:highlight w:val="none"/>
                      <w:lang w:val="en-US" w:eastAsia="zh-CN"/>
                    </w:rPr>
                    <w:t>，用地不涉及自然保护区核心区、缓冲区的岸线和河段范围</w:t>
                  </w:r>
                  <w:r>
                    <w:rPr>
                      <w:rFonts w:hint="eastAsia" w:ascii="Times New Roman" w:hAnsi="Times New Roman" w:eastAsia="宋体" w:cs="Times New Roman"/>
                      <w:bCs/>
                      <w:color w:val="auto"/>
                      <w:sz w:val="21"/>
                      <w:szCs w:val="21"/>
                      <w:highlight w:val="none"/>
                      <w:lang w:val="en-US" w:eastAsia="zh-CN"/>
                    </w:rPr>
                    <w:t>。</w:t>
                  </w:r>
                </w:p>
              </w:tc>
              <w:tc>
                <w:tcPr>
                  <w:tcW w:w="600" w:type="dxa"/>
                  <w:noWrap w:val="0"/>
                  <w:vAlign w:val="center"/>
                </w:tcPr>
                <w:p w14:paraId="11BB192F">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07AD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dxa"/>
                  <w:noWrap w:val="0"/>
                  <w:vAlign w:val="center"/>
                </w:tcPr>
                <w:p w14:paraId="365E88C8">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w:t>
                  </w:r>
                </w:p>
              </w:tc>
              <w:tc>
                <w:tcPr>
                  <w:tcW w:w="3485" w:type="dxa"/>
                  <w:noWrap w:val="0"/>
                  <w:vAlign w:val="center"/>
                </w:tcPr>
                <w:p w14:paraId="1DE1264B">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三）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3045" w:type="dxa"/>
                  <w:noWrap w:val="0"/>
                  <w:vAlign w:val="center"/>
                </w:tcPr>
                <w:p w14:paraId="2BF12D8B">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项目位于</w:t>
                  </w:r>
                  <w:r>
                    <w:rPr>
                      <w:rFonts w:hint="default" w:cs="Times New Roman"/>
                      <w:color w:val="auto"/>
                      <w:sz w:val="21"/>
                      <w:szCs w:val="21"/>
                      <w:highlight w:val="none"/>
                      <w:lang w:val="en-US"/>
                    </w:rPr>
                    <w:t>云南省昆明市寻甸特色产业园区羊街片区</w:t>
                  </w:r>
                  <w:r>
                    <w:rPr>
                      <w:rFonts w:hint="default" w:ascii="Times New Roman" w:hAnsi="Times New Roman" w:eastAsia="宋体" w:cs="Times New Roman"/>
                      <w:bCs/>
                      <w:color w:val="auto"/>
                      <w:sz w:val="21"/>
                      <w:szCs w:val="21"/>
                      <w:highlight w:val="none"/>
                      <w:lang w:val="en-US" w:eastAsia="zh-CN"/>
                    </w:rPr>
                    <w:t>，用地不涉及风景名胜区核心景区的岸线和河段范围。</w:t>
                  </w:r>
                </w:p>
              </w:tc>
              <w:tc>
                <w:tcPr>
                  <w:tcW w:w="600" w:type="dxa"/>
                  <w:noWrap w:val="0"/>
                  <w:vAlign w:val="center"/>
                </w:tcPr>
                <w:p w14:paraId="4731DFA1">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2684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487" w:type="dxa"/>
                  <w:noWrap w:val="0"/>
                  <w:vAlign w:val="center"/>
                </w:tcPr>
                <w:p w14:paraId="6D8FA517">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p>
              </w:tc>
              <w:tc>
                <w:tcPr>
                  <w:tcW w:w="3485" w:type="dxa"/>
                  <w:noWrap w:val="0"/>
                  <w:vAlign w:val="center"/>
                </w:tcPr>
                <w:p w14:paraId="61893150">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四）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3045" w:type="dxa"/>
                  <w:noWrap w:val="0"/>
                  <w:vAlign w:val="center"/>
                </w:tcPr>
                <w:p w14:paraId="777B93E2">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项目位于</w:t>
                  </w:r>
                  <w:r>
                    <w:rPr>
                      <w:rFonts w:hint="default" w:cs="Times New Roman"/>
                      <w:color w:val="auto"/>
                      <w:sz w:val="21"/>
                      <w:szCs w:val="21"/>
                      <w:highlight w:val="none"/>
                      <w:lang w:val="en-US"/>
                    </w:rPr>
                    <w:t>云南省昆明市寻甸特色产业园区羊街片区</w:t>
                  </w:r>
                  <w:r>
                    <w:rPr>
                      <w:rFonts w:hint="default" w:ascii="Times New Roman" w:hAnsi="Times New Roman" w:eastAsia="宋体" w:cs="Times New Roman"/>
                      <w:bCs/>
                      <w:color w:val="auto"/>
                      <w:sz w:val="21"/>
                      <w:szCs w:val="21"/>
                      <w:highlight w:val="none"/>
                      <w:lang w:val="en-US" w:eastAsia="zh-CN"/>
                    </w:rPr>
                    <w:t>，用地不涉及饮用水水源一级、二级保护区的岸线和河段范围。</w:t>
                  </w:r>
                </w:p>
              </w:tc>
              <w:tc>
                <w:tcPr>
                  <w:tcW w:w="600" w:type="dxa"/>
                  <w:noWrap w:val="0"/>
                  <w:vAlign w:val="center"/>
                </w:tcPr>
                <w:p w14:paraId="077796DD">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7B2F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487" w:type="dxa"/>
                  <w:noWrap w:val="0"/>
                  <w:vAlign w:val="center"/>
                </w:tcPr>
                <w:p w14:paraId="6EEFD9A6">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w:t>
                  </w:r>
                </w:p>
              </w:tc>
              <w:tc>
                <w:tcPr>
                  <w:tcW w:w="3485" w:type="dxa"/>
                  <w:noWrap w:val="0"/>
                  <w:vAlign w:val="center"/>
                </w:tcPr>
                <w:p w14:paraId="73D2305F">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五）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3045" w:type="dxa"/>
                  <w:noWrap w:val="0"/>
                  <w:vAlign w:val="center"/>
                </w:tcPr>
                <w:p w14:paraId="4A88FEA1">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本项目用地不涉及水产种质资源保护区的岸线和河段范围。</w:t>
                  </w:r>
                </w:p>
              </w:tc>
              <w:tc>
                <w:tcPr>
                  <w:tcW w:w="600" w:type="dxa"/>
                  <w:noWrap w:val="0"/>
                  <w:vAlign w:val="center"/>
                </w:tcPr>
                <w:p w14:paraId="6019D124">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2ED6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87" w:type="dxa"/>
                  <w:noWrap w:val="0"/>
                  <w:vAlign w:val="center"/>
                </w:tcPr>
                <w:p w14:paraId="4340A92A">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w:t>
                  </w:r>
                </w:p>
              </w:tc>
              <w:tc>
                <w:tcPr>
                  <w:tcW w:w="3485" w:type="dxa"/>
                  <w:noWrap w:val="0"/>
                  <w:vAlign w:val="center"/>
                </w:tcPr>
                <w:p w14:paraId="75E79789">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（六）禁止违法利用、 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3045" w:type="dxa"/>
                  <w:noWrap w:val="0"/>
                  <w:vAlign w:val="center"/>
                </w:tcPr>
                <w:p w14:paraId="680F88BD">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本项目用地不涉及利用、占用长江流域河湖岸线，同时不涉及占用金沙江干流、九大高原湖泊保护区、保留区。</w:t>
                  </w:r>
                </w:p>
              </w:tc>
              <w:tc>
                <w:tcPr>
                  <w:tcW w:w="600" w:type="dxa"/>
                  <w:noWrap w:val="0"/>
                  <w:vAlign w:val="center"/>
                </w:tcPr>
                <w:p w14:paraId="082FC573">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41D0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noWrap w:val="0"/>
                  <w:vAlign w:val="center"/>
                </w:tcPr>
                <w:p w14:paraId="0B0CB900">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w:t>
                  </w:r>
                </w:p>
              </w:tc>
              <w:tc>
                <w:tcPr>
                  <w:tcW w:w="3485" w:type="dxa"/>
                  <w:noWrap w:val="0"/>
                  <w:vAlign w:val="center"/>
                </w:tcPr>
                <w:p w14:paraId="1D5F994A">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七）第七条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3045" w:type="dxa"/>
                  <w:noWrap w:val="0"/>
                  <w:vAlign w:val="center"/>
                </w:tcPr>
                <w:p w14:paraId="53FF2F89">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本项目不在金沙江干流、长江一级支流范围内，项目生产废水经收集后统一进入调节池、生产废水处理设施处理达《城市污水再生利用 工业用水水质》（GB/T 19923-2005）中的洗涤用水标准后回用于水洗补水，不外排；食堂废水经隔油池处理后与其</w:t>
                  </w:r>
                  <w:r>
                    <w:rPr>
                      <w:rFonts w:hint="eastAsia" w:cs="Times New Roman"/>
                      <w:bCs/>
                      <w:color w:val="auto"/>
                      <w:sz w:val="21"/>
                      <w:szCs w:val="21"/>
                      <w:highlight w:val="none"/>
                      <w:lang w:val="en-US" w:eastAsia="zh-CN"/>
                    </w:rPr>
                    <w:t>他</w:t>
                  </w:r>
                  <w:r>
                    <w:rPr>
                      <w:rFonts w:hint="default" w:ascii="Times New Roman" w:hAnsi="Times New Roman" w:eastAsia="宋体" w:cs="Times New Roman"/>
                      <w:bCs/>
                      <w:color w:val="auto"/>
                      <w:sz w:val="21"/>
                      <w:szCs w:val="21"/>
                      <w:highlight w:val="none"/>
                      <w:lang w:val="en-US" w:eastAsia="zh-CN"/>
                    </w:rPr>
                    <w:t>生活污水一起经化粪池预处理后，再进入原项目自建</w:t>
                  </w:r>
                  <w:r>
                    <w:rPr>
                      <w:rFonts w:hint="eastAsia" w:cs="Times New Roman"/>
                      <w:bCs/>
                      <w:color w:val="auto"/>
                      <w:sz w:val="21"/>
                      <w:szCs w:val="21"/>
                      <w:highlight w:val="none"/>
                      <w:lang w:val="en-US" w:eastAsia="zh-CN"/>
                    </w:rPr>
                    <w:t>生活</w:t>
                  </w:r>
                  <w:r>
                    <w:rPr>
                      <w:rFonts w:hint="default" w:ascii="Times New Roman" w:hAnsi="Times New Roman" w:eastAsia="宋体" w:cs="Times New Roman"/>
                      <w:bCs/>
                      <w:color w:val="auto"/>
                      <w:sz w:val="21"/>
                      <w:szCs w:val="21"/>
                      <w:highlight w:val="none"/>
                      <w:lang w:val="en-US" w:eastAsia="zh-CN"/>
                    </w:rPr>
                    <w:t>污水处理站处理达《城市污水再生利用 城市杂用水水质》（GB/T18920-2020）中城市绿化、道路广场浇洒、消防、建筑施工标准后，回用于项目区绿化和道路广场浇洒，不外排。</w:t>
                  </w:r>
                </w:p>
              </w:tc>
              <w:tc>
                <w:tcPr>
                  <w:tcW w:w="600" w:type="dxa"/>
                  <w:noWrap w:val="0"/>
                  <w:vAlign w:val="center"/>
                </w:tcPr>
                <w:p w14:paraId="6983D75D">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0E2C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487" w:type="dxa"/>
                  <w:noWrap w:val="0"/>
                  <w:vAlign w:val="center"/>
                </w:tcPr>
                <w:p w14:paraId="5B214408">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w:t>
                  </w:r>
                </w:p>
              </w:tc>
              <w:tc>
                <w:tcPr>
                  <w:tcW w:w="3485" w:type="dxa"/>
                  <w:noWrap w:val="0"/>
                  <w:vAlign w:val="center"/>
                </w:tcPr>
                <w:p w14:paraId="51A38130">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（八）禁止在金沙江干流、长江一级支流、水生生物保护区和长江流域禁捕水域开展天然渔业资源生产性捕捞。</w:t>
                  </w:r>
                </w:p>
              </w:tc>
              <w:tc>
                <w:tcPr>
                  <w:tcW w:w="3045" w:type="dxa"/>
                  <w:noWrap w:val="0"/>
                  <w:vAlign w:val="center"/>
                </w:tcPr>
                <w:p w14:paraId="249CE1CC">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项目选址位于</w:t>
                  </w:r>
                  <w:r>
                    <w:rPr>
                      <w:rFonts w:hint="default" w:cs="Times New Roman"/>
                      <w:color w:val="auto"/>
                      <w:sz w:val="21"/>
                      <w:szCs w:val="21"/>
                      <w:highlight w:val="none"/>
                      <w:lang w:val="en-US"/>
                    </w:rPr>
                    <w:t>云南省昆明市寻甸特色产业园区羊街片区</w:t>
                  </w:r>
                  <w:r>
                    <w:rPr>
                      <w:rFonts w:hint="default" w:ascii="Times New Roman" w:hAnsi="Times New Roman" w:eastAsia="宋体" w:cs="Times New Roman"/>
                      <w:bCs/>
                      <w:color w:val="auto"/>
                      <w:sz w:val="21"/>
                      <w:szCs w:val="21"/>
                      <w:highlight w:val="none"/>
                      <w:lang w:val="en-US" w:eastAsia="zh-CN"/>
                    </w:rPr>
                    <w:t>，不在金沙江干流、长江一级支流、水生生物保护区和长江流域内，不涉及捕捞。</w:t>
                  </w:r>
                </w:p>
              </w:tc>
              <w:tc>
                <w:tcPr>
                  <w:tcW w:w="600" w:type="dxa"/>
                  <w:noWrap w:val="0"/>
                  <w:vAlign w:val="center"/>
                </w:tcPr>
                <w:p w14:paraId="0E339B7F">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2CA9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jc w:val="center"/>
              </w:trPr>
              <w:tc>
                <w:tcPr>
                  <w:tcW w:w="487" w:type="dxa"/>
                  <w:noWrap w:val="0"/>
                  <w:vAlign w:val="center"/>
                </w:tcPr>
                <w:p w14:paraId="39EA6B67">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w:t>
                  </w:r>
                </w:p>
              </w:tc>
              <w:tc>
                <w:tcPr>
                  <w:tcW w:w="3485" w:type="dxa"/>
                  <w:noWrap w:val="0"/>
                  <w:vAlign w:val="center"/>
                </w:tcPr>
                <w:p w14:paraId="162E10FC">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九）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3045" w:type="dxa"/>
                  <w:noWrap w:val="0"/>
                  <w:vAlign w:val="center"/>
                </w:tcPr>
                <w:p w14:paraId="04EB9F86">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本项目位于</w:t>
                  </w:r>
                  <w:r>
                    <w:rPr>
                      <w:rFonts w:hint="default" w:cs="Times New Roman"/>
                      <w:color w:val="auto"/>
                      <w:sz w:val="21"/>
                      <w:szCs w:val="21"/>
                      <w:highlight w:val="none"/>
                      <w:lang w:val="en-US"/>
                    </w:rPr>
                    <w:t>云南省昆明市寻甸特色产业园区羊街片区</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玻璃深加工</w:t>
                  </w:r>
                  <w:r>
                    <w:rPr>
                      <w:rFonts w:hint="default" w:ascii="Times New Roman" w:hAnsi="Times New Roman" w:eastAsia="宋体" w:cs="Times New Roman"/>
                      <w:bCs/>
                      <w:color w:val="auto"/>
                      <w:sz w:val="21"/>
                      <w:szCs w:val="21"/>
                      <w:highlight w:val="none"/>
                      <w:lang w:val="en-US" w:eastAsia="zh-CN"/>
                    </w:rPr>
                    <w:t>项目，不属于化工项目。项目</w:t>
                  </w:r>
                  <w:r>
                    <w:rPr>
                      <w:rFonts w:hint="eastAsia" w:ascii="Times New Roman" w:hAnsi="Times New Roman" w:eastAsia="宋体" w:cs="Times New Roman"/>
                      <w:bCs/>
                      <w:color w:val="auto"/>
                      <w:sz w:val="21"/>
                      <w:szCs w:val="21"/>
                      <w:highlight w:val="none"/>
                      <w:lang w:val="en-US" w:eastAsia="zh-CN"/>
                    </w:rPr>
                    <w:t>属牛栏江支流，</w:t>
                  </w:r>
                  <w:r>
                    <w:rPr>
                      <w:rFonts w:hint="default" w:ascii="Times New Roman" w:hAnsi="Times New Roman" w:eastAsia="宋体" w:cs="Times New Roman"/>
                      <w:bCs/>
                      <w:color w:val="auto"/>
                      <w:sz w:val="21"/>
                      <w:szCs w:val="21"/>
                      <w:highlight w:val="none"/>
                      <w:lang w:val="en-US" w:eastAsia="zh-CN"/>
                    </w:rPr>
                    <w:t>对照云南省推动长江经济带发展领导小组办公室于2022年8月19日印发了《云南省长江经济带发展负面清单指南实施细则（试行，2022年版）》中的“云南省长江经济带负面清单重点管控区名录”，</w:t>
                  </w:r>
                  <w:r>
                    <w:rPr>
                      <w:rFonts w:hint="eastAsia" w:ascii="Times New Roman" w:hAnsi="Times New Roman" w:eastAsia="宋体" w:cs="Times New Roman"/>
                      <w:bCs/>
                      <w:color w:val="auto"/>
                      <w:sz w:val="21"/>
                      <w:szCs w:val="21"/>
                      <w:highlight w:val="none"/>
                      <w:lang w:val="en-US" w:eastAsia="zh-CN"/>
                    </w:rPr>
                    <w:t>牛栏江支流</w:t>
                  </w:r>
                  <w:r>
                    <w:rPr>
                      <w:rFonts w:hint="default" w:ascii="Times New Roman" w:hAnsi="Times New Roman" w:eastAsia="宋体" w:cs="Times New Roman"/>
                      <w:bCs/>
                      <w:color w:val="auto"/>
                      <w:sz w:val="21"/>
                      <w:szCs w:val="21"/>
                      <w:highlight w:val="none"/>
                      <w:lang w:val="en-US" w:eastAsia="zh-CN"/>
                    </w:rPr>
                    <w:t>不属于长江重点干支流。</w:t>
                  </w:r>
                </w:p>
              </w:tc>
              <w:tc>
                <w:tcPr>
                  <w:tcW w:w="600" w:type="dxa"/>
                  <w:noWrap w:val="0"/>
                  <w:vAlign w:val="center"/>
                </w:tcPr>
                <w:p w14:paraId="464C0438">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4960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487" w:type="dxa"/>
                  <w:noWrap w:val="0"/>
                  <w:vAlign w:val="center"/>
                </w:tcPr>
                <w:p w14:paraId="170E3C71">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w:t>
                  </w:r>
                </w:p>
              </w:tc>
              <w:tc>
                <w:tcPr>
                  <w:tcW w:w="3485" w:type="dxa"/>
                  <w:noWrap w:val="0"/>
                  <w:vAlign w:val="center"/>
                </w:tcPr>
                <w:p w14:paraId="2846C8AA">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（十）禁止在合规园区外新建、扩建钢铁、石化、化工、焦化、建材、有色、制浆造纸行业中的高污染项目。</w:t>
                  </w:r>
                </w:p>
              </w:tc>
              <w:tc>
                <w:tcPr>
                  <w:tcW w:w="3045" w:type="dxa"/>
                  <w:noWrap w:val="0"/>
                  <w:vAlign w:val="center"/>
                </w:tcPr>
                <w:p w14:paraId="508992E0">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本项目不属于</w:t>
                  </w:r>
                  <w:r>
                    <w:rPr>
                      <w:rFonts w:hint="default" w:ascii="Times New Roman" w:hAnsi="Times New Roman" w:eastAsia="宋体" w:cs="Times New Roman"/>
                      <w:bCs/>
                      <w:color w:val="auto"/>
                      <w:sz w:val="21"/>
                      <w:szCs w:val="21"/>
                      <w:highlight w:val="none"/>
                      <w:lang w:val="en-US" w:eastAsia="zh-CN"/>
                    </w:rPr>
                    <w:t>钢铁、石化、化工、焦化、建材、有色、制浆造纸行业中的高污染项目。</w:t>
                  </w:r>
                </w:p>
              </w:tc>
              <w:tc>
                <w:tcPr>
                  <w:tcW w:w="600" w:type="dxa"/>
                  <w:noWrap w:val="0"/>
                  <w:vAlign w:val="center"/>
                </w:tcPr>
                <w:p w14:paraId="7C50C2DC">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463E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487" w:type="dxa"/>
                  <w:noWrap w:val="0"/>
                  <w:vAlign w:val="center"/>
                </w:tcPr>
                <w:p w14:paraId="4E30281F">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11</w:t>
                  </w:r>
                </w:p>
              </w:tc>
              <w:tc>
                <w:tcPr>
                  <w:tcW w:w="3485" w:type="dxa"/>
                  <w:noWrap w:val="0"/>
                  <w:vAlign w:val="center"/>
                </w:tcPr>
                <w:p w14:paraId="7A3DB369">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（十一）禁止新建、 扩建不符合国家石化、现代煤化工等产业布局规划的项目。禁止列入《云南省城镇人口密集区危险化学品生产企业搬迁改造名单》的搬迁改造企业在原址新建、扩建危险化学品生产项目。</w:t>
                  </w:r>
                </w:p>
              </w:tc>
              <w:tc>
                <w:tcPr>
                  <w:tcW w:w="3045" w:type="dxa"/>
                  <w:noWrap w:val="0"/>
                  <w:vAlign w:val="center"/>
                </w:tcPr>
                <w:p w14:paraId="16ACFF1F">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本项目不属于</w:t>
                  </w:r>
                  <w:r>
                    <w:rPr>
                      <w:rFonts w:hint="default" w:ascii="Times New Roman" w:hAnsi="Times New Roman" w:eastAsia="宋体" w:cs="Times New Roman"/>
                      <w:bCs/>
                      <w:color w:val="auto"/>
                      <w:sz w:val="21"/>
                      <w:szCs w:val="21"/>
                      <w:highlight w:val="none"/>
                      <w:lang w:val="en-US" w:eastAsia="zh-CN"/>
                    </w:rPr>
                    <w:t>石化、现代煤化工等产业布局规划的项</w:t>
                  </w:r>
                  <w:r>
                    <w:rPr>
                      <w:rFonts w:hint="eastAsia" w:ascii="Times New Roman" w:hAnsi="Times New Roman" w:eastAsia="宋体" w:cs="Times New Roman"/>
                      <w:bCs/>
                      <w:color w:val="auto"/>
                      <w:sz w:val="21"/>
                      <w:szCs w:val="21"/>
                      <w:highlight w:val="none"/>
                      <w:lang w:val="en-US" w:eastAsia="zh-CN"/>
                    </w:rPr>
                    <w:t>目，也不属于</w:t>
                  </w:r>
                  <w:r>
                    <w:rPr>
                      <w:rFonts w:hint="default" w:ascii="Times New Roman" w:hAnsi="Times New Roman" w:eastAsia="宋体" w:cs="Times New Roman"/>
                      <w:bCs/>
                      <w:color w:val="auto"/>
                      <w:sz w:val="21"/>
                      <w:szCs w:val="21"/>
                      <w:highlight w:val="none"/>
                      <w:lang w:val="en-US" w:eastAsia="zh-CN"/>
                    </w:rPr>
                    <w:t>危险化学品生产项目</w:t>
                  </w:r>
                  <w:r>
                    <w:rPr>
                      <w:rFonts w:hint="eastAsia" w:ascii="Times New Roman" w:hAnsi="Times New Roman" w:eastAsia="宋体" w:cs="Times New Roman"/>
                      <w:bCs/>
                      <w:color w:val="auto"/>
                      <w:sz w:val="21"/>
                      <w:szCs w:val="21"/>
                      <w:highlight w:val="none"/>
                      <w:lang w:val="en-US" w:eastAsia="zh-CN"/>
                    </w:rPr>
                    <w:t>。</w:t>
                  </w:r>
                </w:p>
              </w:tc>
              <w:tc>
                <w:tcPr>
                  <w:tcW w:w="600" w:type="dxa"/>
                  <w:noWrap w:val="0"/>
                  <w:vAlign w:val="center"/>
                </w:tcPr>
                <w:p w14:paraId="65CA3600">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r w14:paraId="4E28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7" w:type="dxa"/>
                  <w:noWrap w:val="0"/>
                  <w:vAlign w:val="center"/>
                </w:tcPr>
                <w:p w14:paraId="37A72EF7">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12</w:t>
                  </w:r>
                </w:p>
              </w:tc>
              <w:tc>
                <w:tcPr>
                  <w:tcW w:w="3485" w:type="dxa"/>
                  <w:noWrap w:val="0"/>
                  <w:vAlign w:val="center"/>
                </w:tcPr>
                <w:p w14:paraId="3FB422FF">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十二）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3045" w:type="dxa"/>
                  <w:noWrap w:val="0"/>
                  <w:vAlign w:val="center"/>
                </w:tcPr>
                <w:p w14:paraId="0065D754">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w:t>
                  </w:r>
                  <w:r>
                    <w:rPr>
                      <w:rFonts w:hint="eastAsia"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玻璃生产加工</w:t>
                  </w:r>
                  <w:r>
                    <w:rPr>
                      <w:rFonts w:hint="default" w:ascii="Times New Roman" w:hAnsi="Times New Roman" w:eastAsia="宋体" w:cs="Times New Roman"/>
                      <w:bCs/>
                      <w:color w:val="auto"/>
                      <w:sz w:val="21"/>
                      <w:szCs w:val="21"/>
                      <w:highlight w:val="none"/>
                      <w:lang w:val="en-US" w:eastAsia="zh-CN"/>
                    </w:rPr>
                    <w:t>项目，不属于《产业结构调整指导目录（2019年本）》</w:t>
                  </w:r>
                  <w:r>
                    <w:rPr>
                      <w:rFonts w:hint="eastAsia" w:ascii="Times New Roman" w:hAnsi="Times New Roman" w:eastAsia="宋体" w:cs="Times New Roman"/>
                      <w:bCs/>
                      <w:color w:val="auto"/>
                      <w:sz w:val="21"/>
                      <w:szCs w:val="21"/>
                      <w:highlight w:val="none"/>
                      <w:lang w:val="en-US" w:eastAsia="zh-CN"/>
                    </w:rPr>
                    <w:t>（2021年修订）</w:t>
                  </w:r>
                  <w:r>
                    <w:rPr>
                      <w:rFonts w:hint="default" w:ascii="Times New Roman" w:hAnsi="Times New Roman" w:eastAsia="宋体" w:cs="Times New Roman"/>
                      <w:bCs/>
                      <w:color w:val="auto"/>
                      <w:sz w:val="21"/>
                      <w:szCs w:val="21"/>
                      <w:highlight w:val="none"/>
                      <w:lang w:val="en-US" w:eastAsia="zh-CN"/>
                    </w:rPr>
                    <w:t>“鼓励类”、“限制类”和“淘汰类”项目，为“允许类”项目。根据《环境保护综合名录（2021年版）》，本项目不涉及高污染排放、高环境风险的产品、工艺和设备。对照《市场准入负面清单（2022年版》，本项目建设内容不属于其中所列举的禁止准入和许可准入类，属于允许类项目。</w:t>
                  </w:r>
                </w:p>
              </w:tc>
              <w:tc>
                <w:tcPr>
                  <w:tcW w:w="600" w:type="dxa"/>
                  <w:noWrap w:val="0"/>
                  <w:vAlign w:val="center"/>
                </w:tcPr>
                <w:p w14:paraId="43BDE15D">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符合</w:t>
                  </w:r>
                </w:p>
              </w:tc>
            </w:tr>
          </w:tbl>
          <w:p w14:paraId="1FFAF33B">
            <w:pPr>
              <w:pStyle w:val="35"/>
              <w:keepNext w:val="0"/>
              <w:keepLines w:val="0"/>
              <w:suppressLineNumbers w:val="0"/>
              <w:spacing w:before="0" w:beforeAutospacing="0" w:after="0" w:afterAutospacing="0"/>
              <w:ind w:left="0" w:right="0"/>
              <w:jc w:val="both"/>
              <w:rPr>
                <w:rFonts w:hint="eastAsia"/>
                <w:color w:val="auto"/>
                <w:sz w:val="24"/>
                <w:szCs w:val="24"/>
                <w:highlight w:val="none"/>
                <w:lang w:val="en-US" w:eastAsia="zh-CN"/>
              </w:rPr>
            </w:pPr>
            <w:r>
              <w:rPr>
                <w:rFonts w:hint="eastAsia"/>
                <w:color w:val="auto"/>
                <w:sz w:val="24"/>
                <w:szCs w:val="24"/>
                <w:highlight w:val="none"/>
                <w:lang w:val="en-US" w:eastAsia="zh-CN"/>
              </w:rPr>
              <w:t>综上，本项目建设符合《云南省长江经济带发展负面清单指南实施细则（试行，2022年版）》中相关要求。</w:t>
            </w:r>
          </w:p>
          <w:p w14:paraId="643F2442">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w:t>
            </w:r>
            <w:r>
              <w:rPr>
                <w:rFonts w:hint="eastAsia" w:ascii="Times New Roman" w:hAnsi="Times New Roman" w:cs="Times New Roman"/>
                <w:b/>
                <w:bCs w:val="0"/>
                <w:color w:val="auto"/>
                <w:sz w:val="24"/>
                <w:szCs w:val="24"/>
                <w:highlight w:val="none"/>
                <w:lang w:val="en-US" w:eastAsia="zh-CN"/>
              </w:rPr>
              <w:t>2、</w:t>
            </w:r>
            <w:r>
              <w:rPr>
                <w:rFonts w:hint="default" w:ascii="Times New Roman" w:hAnsi="Times New Roman" w:cs="Times New Roman"/>
                <w:b/>
                <w:bCs w:val="0"/>
                <w:color w:val="auto"/>
                <w:sz w:val="24"/>
                <w:szCs w:val="24"/>
                <w:highlight w:val="none"/>
                <w:lang w:val="en-US" w:eastAsia="zh-CN"/>
              </w:rPr>
              <w:t>与《中华人民共和国长江保护法》相符性分析</w:t>
            </w:r>
          </w:p>
          <w:p w14:paraId="56CAE57E">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2020年12月26日第十三届全国人民代表大会常务委员会第二十四次会议通过</w:t>
            </w:r>
            <w:r>
              <w:rPr>
                <w:rFonts w:hint="eastAsia" w:ascii="Times New Roman" w:hAnsi="Times New Roman" w:eastAsia="宋体" w:cs="Times New Roman"/>
                <w:color w:val="auto"/>
                <w:sz w:val="24"/>
                <w:szCs w:val="24"/>
                <w:highlight w:val="none"/>
                <w:lang w:eastAsia="zh-CN"/>
              </w:rPr>
              <w:t>《中华人民共和国长江保护法》。</w:t>
            </w:r>
          </w:p>
          <w:p w14:paraId="6DEE4330">
            <w:pPr>
              <w:keepNext w:val="0"/>
              <w:keepLines w:val="0"/>
              <w:pageBreakBefore w:val="0"/>
              <w:widowControl w:val="0"/>
              <w:numPr>
                <w:ilvl w:val="0"/>
                <w:numId w:val="0"/>
              </w:numPr>
              <w:suppressLineNumbers w:val="0"/>
              <w:kinsoku/>
              <w:wordWrap/>
              <w:overflowPunct/>
              <w:topLinePunct w:val="0"/>
              <w:autoSpaceDE/>
              <w:autoSpaceDN w:val="0"/>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本项目主要从事</w:t>
            </w:r>
            <w:r>
              <w:rPr>
                <w:rFonts w:hint="eastAsia"/>
                <w:color w:val="auto"/>
                <w:sz w:val="24"/>
                <w:highlight w:val="none"/>
                <w:lang w:eastAsia="zh-CN"/>
              </w:rPr>
              <w:t>玻璃</w:t>
            </w:r>
            <w:r>
              <w:rPr>
                <w:rFonts w:hint="default" w:ascii="Times New Roman" w:hAnsi="Times New Roman" w:eastAsia="宋体" w:cs="Times New Roman"/>
                <w:color w:val="auto"/>
                <w:sz w:val="24"/>
                <w:szCs w:val="24"/>
                <w:highlight w:val="none"/>
                <w:lang w:val="en-US" w:eastAsia="zh-CN"/>
              </w:rPr>
              <w:t>生产</w:t>
            </w:r>
            <w:r>
              <w:rPr>
                <w:rFonts w:hint="eastAsia" w:cs="Times New Roman"/>
                <w:color w:val="auto"/>
                <w:sz w:val="24"/>
                <w:szCs w:val="24"/>
                <w:highlight w:val="none"/>
                <w:lang w:val="en-US" w:eastAsia="zh-CN"/>
              </w:rPr>
              <w:t>加工</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不属于</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中华人民共和国长江保护法</w:t>
            </w:r>
            <w:r>
              <w:rPr>
                <w:rFonts w:hint="default" w:ascii="Times New Roman" w:hAnsi="Times New Roman" w:eastAsia="宋体" w:cs="Times New Roman"/>
                <w:color w:val="auto"/>
                <w:sz w:val="24"/>
                <w:szCs w:val="24"/>
                <w:highlight w:val="none"/>
              </w:rPr>
              <w:t>》中</w:t>
            </w:r>
            <w:r>
              <w:rPr>
                <w:rFonts w:hint="eastAsia" w:ascii="Times New Roman" w:hAnsi="Times New Roman" w:eastAsia="宋体" w:cs="Times New Roman"/>
                <w:color w:val="auto"/>
                <w:sz w:val="24"/>
                <w:szCs w:val="24"/>
                <w:highlight w:val="none"/>
                <w:lang w:eastAsia="zh-CN"/>
              </w:rPr>
              <w:t>禁止建设的行业，不</w:t>
            </w:r>
            <w:r>
              <w:rPr>
                <w:rFonts w:hint="default" w:ascii="Times New Roman" w:hAnsi="Times New Roman" w:eastAsia="宋体" w:cs="Times New Roman"/>
                <w:color w:val="auto"/>
                <w:sz w:val="24"/>
                <w:szCs w:val="24"/>
                <w:highlight w:val="none"/>
              </w:rPr>
              <w:t>违反生态环境准入清单的规定进行生产建设活动</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符合国家产业政策</w:t>
            </w:r>
            <w:r>
              <w:rPr>
                <w:rFonts w:hint="eastAsia"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选址不涉及自然保护区、饮用水源保护区、水产种质资源保护区、生态红线、基本农田等环境敏感区域，满足《</w:t>
            </w:r>
            <w:r>
              <w:rPr>
                <w:rFonts w:hint="eastAsia" w:ascii="Times New Roman" w:hAnsi="Times New Roman" w:eastAsia="宋体" w:cs="Times New Roman"/>
                <w:color w:val="auto"/>
                <w:sz w:val="24"/>
                <w:szCs w:val="24"/>
                <w:highlight w:val="none"/>
                <w:lang w:eastAsia="zh-CN"/>
              </w:rPr>
              <w:t>中华人民共和国长江保护法</w:t>
            </w:r>
            <w:r>
              <w:rPr>
                <w:rFonts w:hint="default" w:ascii="Times New Roman" w:hAnsi="Times New Roman" w:eastAsia="宋体" w:cs="Times New Roman"/>
                <w:color w:val="auto"/>
                <w:sz w:val="24"/>
                <w:szCs w:val="24"/>
                <w:highlight w:val="none"/>
              </w:rPr>
              <w:t>》中的要求。</w:t>
            </w:r>
          </w:p>
          <w:p w14:paraId="14ED16A5">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w:t>
            </w:r>
            <w:r>
              <w:rPr>
                <w:rFonts w:hint="eastAsia" w:ascii="Times New Roman" w:hAnsi="Times New Roman" w:cs="Times New Roman"/>
                <w:b/>
                <w:bCs w:val="0"/>
                <w:color w:val="auto"/>
                <w:sz w:val="24"/>
                <w:szCs w:val="24"/>
                <w:highlight w:val="none"/>
                <w:lang w:val="en-US" w:eastAsia="zh-CN"/>
              </w:rPr>
              <w:t>3、</w:t>
            </w:r>
            <w:r>
              <w:rPr>
                <w:rFonts w:hint="default" w:ascii="Times New Roman" w:hAnsi="Times New Roman" w:cs="Times New Roman"/>
                <w:b/>
                <w:bCs w:val="0"/>
                <w:color w:val="auto"/>
                <w:sz w:val="24"/>
                <w:szCs w:val="24"/>
                <w:highlight w:val="none"/>
                <w:lang w:val="en-US" w:eastAsia="zh-CN"/>
              </w:rPr>
              <w:t>与《云南省重点行业挥发性有机物综合治理实施方案》符合性分析</w:t>
            </w:r>
          </w:p>
          <w:p w14:paraId="24F5484A">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2019年9月4日，云南省生态环境厅印发了《云南省重点行业挥发性有机物综合治理实施方案》（云环通〔2019〕125号）。项目与《云南省重点行业挥发性有机物综合治理实施方案》的相符性分析见表1-</w:t>
            </w:r>
            <w:r>
              <w:rPr>
                <w:rFonts w:hint="eastAsia"/>
                <w:color w:val="auto"/>
                <w:sz w:val="24"/>
                <w:highlight w:val="none"/>
                <w:lang w:val="en-US" w:eastAsia="zh-CN"/>
              </w:rPr>
              <w:t>11</w:t>
            </w:r>
            <w:r>
              <w:rPr>
                <w:rFonts w:hint="default"/>
                <w:color w:val="auto"/>
                <w:sz w:val="24"/>
                <w:highlight w:val="none"/>
              </w:rPr>
              <w:t>。</w:t>
            </w:r>
          </w:p>
          <w:p w14:paraId="3C5AAB03">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表1-</w:t>
            </w:r>
            <w:r>
              <w:rPr>
                <w:rFonts w:hint="eastAsia"/>
                <w:b/>
                <w:color w:val="auto"/>
                <w:szCs w:val="21"/>
                <w:highlight w:val="none"/>
                <w:lang w:val="en-US" w:eastAsia="zh-CN"/>
              </w:rPr>
              <w:t>11</w:t>
            </w:r>
            <w:r>
              <w:rPr>
                <w:rFonts w:hint="default"/>
                <w:b/>
                <w:color w:val="auto"/>
                <w:szCs w:val="21"/>
                <w:highlight w:val="none"/>
              </w:rPr>
              <w:t xml:space="preserve">  项目与《云南省重点行业挥发性有机物综合治理实施方案》的相符性分析</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5"/>
              <w:gridCol w:w="2896"/>
              <w:gridCol w:w="697"/>
            </w:tblGrid>
            <w:tr w14:paraId="021B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600" w:type="pct"/>
                  <w:noWrap w:val="0"/>
                  <w:vAlign w:val="center"/>
                </w:tcPr>
                <w:p w14:paraId="27B0C2E2">
                  <w:pPr>
                    <w:pStyle w:val="2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《云南省重点行业挥发性有机物综合治理实施方案》</w:t>
                  </w:r>
                </w:p>
              </w:tc>
              <w:tc>
                <w:tcPr>
                  <w:tcW w:w="1933" w:type="pct"/>
                  <w:noWrap w:val="0"/>
                  <w:vAlign w:val="center"/>
                </w:tcPr>
                <w:p w14:paraId="58DAE92A">
                  <w:pPr>
                    <w:keepNext w:val="0"/>
                    <w:keepLines w:val="0"/>
                    <w:suppressLineNumbers w:val="0"/>
                    <w:adjustRightInd w:val="0"/>
                    <w:snapToGrid w:val="0"/>
                    <w:spacing w:before="0" w:beforeAutospacing="0" w:after="0" w:afterAutospacing="0"/>
                    <w:ind w:left="0" w:right="0"/>
                    <w:jc w:val="center"/>
                    <w:rPr>
                      <w:rFonts w:hint="default" w:eastAsia="宋体"/>
                      <w:b/>
                      <w:color w:val="auto"/>
                      <w:sz w:val="21"/>
                      <w:szCs w:val="21"/>
                      <w:highlight w:val="none"/>
                    </w:rPr>
                  </w:pPr>
                  <w:r>
                    <w:rPr>
                      <w:rFonts w:hint="default" w:eastAsia="宋体"/>
                      <w:b/>
                      <w:color w:val="auto"/>
                      <w:sz w:val="21"/>
                      <w:szCs w:val="21"/>
                      <w:highlight w:val="none"/>
                    </w:rPr>
                    <w:t>本项目</w:t>
                  </w:r>
                </w:p>
              </w:tc>
              <w:tc>
                <w:tcPr>
                  <w:tcW w:w="465" w:type="pct"/>
                  <w:noWrap w:val="0"/>
                  <w:vAlign w:val="center"/>
                </w:tcPr>
                <w:p w14:paraId="1C4D5A04">
                  <w:pPr>
                    <w:keepNext w:val="0"/>
                    <w:keepLines w:val="0"/>
                    <w:suppressLineNumbers w:val="0"/>
                    <w:adjustRightInd w:val="0"/>
                    <w:snapToGrid w:val="0"/>
                    <w:spacing w:before="0" w:beforeAutospacing="0" w:after="0" w:afterAutospacing="0"/>
                    <w:ind w:left="0" w:right="0"/>
                    <w:jc w:val="center"/>
                    <w:rPr>
                      <w:rFonts w:hint="default" w:eastAsia="宋体"/>
                      <w:b/>
                      <w:color w:val="auto"/>
                      <w:sz w:val="21"/>
                      <w:szCs w:val="21"/>
                      <w:highlight w:val="none"/>
                    </w:rPr>
                  </w:pPr>
                  <w:r>
                    <w:rPr>
                      <w:rFonts w:hint="default" w:eastAsia="宋体"/>
                      <w:b/>
                      <w:color w:val="auto"/>
                      <w:sz w:val="21"/>
                      <w:szCs w:val="21"/>
                      <w:highlight w:val="none"/>
                    </w:rPr>
                    <w:t>相符性</w:t>
                  </w:r>
                </w:p>
              </w:tc>
            </w:tr>
            <w:tr w14:paraId="7BBE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600" w:type="pct"/>
                  <w:noWrap w:val="0"/>
                  <w:vAlign w:val="center"/>
                </w:tcPr>
                <w:p w14:paraId="7C2D0D88">
                  <w:pPr>
                    <w:pStyle w:val="22"/>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933" w:type="pct"/>
                  <w:noWrap w:val="0"/>
                  <w:vAlign w:val="center"/>
                </w:tcPr>
                <w:p w14:paraId="19EEF508">
                  <w:pPr>
                    <w:keepNext w:val="0"/>
                    <w:keepLines w:val="0"/>
                    <w:suppressLineNumbers w:val="0"/>
                    <w:adjustRightInd w:val="0"/>
                    <w:snapToGrid w:val="0"/>
                    <w:spacing w:before="0" w:beforeAutospacing="0" w:after="0" w:afterAutospacing="0"/>
                    <w:ind w:left="0" w:right="0"/>
                    <w:jc w:val="left"/>
                    <w:rPr>
                      <w:rFonts w:hint="eastAsia" w:eastAsia="宋体"/>
                      <w:color w:val="auto"/>
                      <w:sz w:val="21"/>
                      <w:szCs w:val="21"/>
                      <w:highlight w:val="none"/>
                      <w:lang w:eastAsia="zh-CN" w:bidi="ar"/>
                    </w:rPr>
                  </w:pPr>
                  <w:r>
                    <w:rPr>
                      <w:rFonts w:hint="eastAsia"/>
                      <w:color w:val="auto"/>
                      <w:sz w:val="21"/>
                      <w:szCs w:val="21"/>
                      <w:highlight w:val="none"/>
                      <w:lang w:eastAsia="zh-CN" w:bidi="ar"/>
                    </w:rPr>
                    <w:t>本</w:t>
                  </w:r>
                  <w:r>
                    <w:rPr>
                      <w:rFonts w:hint="eastAsia" w:eastAsia="宋体"/>
                      <w:color w:val="auto"/>
                      <w:sz w:val="21"/>
                      <w:szCs w:val="21"/>
                      <w:highlight w:val="none"/>
                      <w:lang w:eastAsia="zh-CN" w:bidi="ar"/>
                    </w:rPr>
                    <w:t>项目</w:t>
                  </w:r>
                  <w:r>
                    <w:rPr>
                      <w:rFonts w:hint="eastAsia"/>
                      <w:color w:val="auto"/>
                      <w:sz w:val="21"/>
                      <w:szCs w:val="21"/>
                      <w:highlight w:val="none"/>
                      <w:lang w:eastAsia="zh-CN" w:bidi="ar"/>
                    </w:rPr>
                    <w:t>不涉及</w:t>
                  </w:r>
                  <w:r>
                    <w:rPr>
                      <w:rFonts w:hint="eastAsia"/>
                      <w:color w:val="auto"/>
                      <w:sz w:val="21"/>
                      <w:szCs w:val="21"/>
                      <w:highlight w:val="none"/>
                      <w:lang w:val="en-US" w:eastAsia="zh-CN" w:bidi="ar"/>
                    </w:rPr>
                    <w:t>VOCs，原项目已采取含VOCs 物料（包括含 VOCs 原辅材料、含 VOCs 产品、含 VOCs 废料以及有机聚合物材料等）储存、转移和输送、设备与管线组件泄漏、敞开液面逸散以及工艺过程等五类排放源实施管控，原项目产生的VOCs（以非甲烷总烃计）经集气罩+活性炭吸附净化装置处理后（处理效率80%）通过1根15m高排气筒（DA001）排放。</w:t>
                  </w:r>
                </w:p>
              </w:tc>
              <w:tc>
                <w:tcPr>
                  <w:tcW w:w="465" w:type="pct"/>
                  <w:noWrap w:val="0"/>
                  <w:vAlign w:val="center"/>
                </w:tcPr>
                <w:p w14:paraId="42A104AF">
                  <w:pPr>
                    <w:pStyle w:val="2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14:paraId="1BE8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9" w:hRule="atLeast"/>
                <w:jc w:val="center"/>
              </w:trPr>
              <w:tc>
                <w:tcPr>
                  <w:tcW w:w="2600" w:type="pct"/>
                  <w:noWrap w:val="0"/>
                  <w:vAlign w:val="center"/>
                </w:tcPr>
                <w:p w14:paraId="6976495E">
                  <w:pPr>
                    <w:pStyle w:val="22"/>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 0.3米/秒，有行业要求的按相关规定执行。</w:t>
                  </w:r>
                </w:p>
              </w:tc>
              <w:tc>
                <w:tcPr>
                  <w:tcW w:w="1933" w:type="pct"/>
                  <w:noWrap w:val="0"/>
                  <w:vAlign w:val="center"/>
                </w:tcPr>
                <w:p w14:paraId="096B51C8">
                  <w:pPr>
                    <w:pStyle w:val="22"/>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bidi="ar"/>
                    </w:rPr>
                  </w:pPr>
                  <w:r>
                    <w:rPr>
                      <w:rFonts w:hint="default" w:ascii="Times New Roman" w:hAnsi="Times New Roman" w:eastAsia="宋体" w:cs="Times New Roman"/>
                      <w:color w:val="auto"/>
                      <w:kern w:val="2"/>
                      <w:sz w:val="21"/>
                      <w:szCs w:val="21"/>
                      <w:highlight w:val="none"/>
                      <w:lang w:val="en-US" w:eastAsia="zh-CN" w:bidi="ar"/>
                    </w:rPr>
                    <w:t>本项目不产生VOCs，</w:t>
                  </w:r>
                  <w:r>
                    <w:rPr>
                      <w:rFonts w:hint="eastAsia" w:ascii="Times New Roman" w:hAnsi="Times New Roman" w:eastAsia="宋体" w:cs="Times New Roman"/>
                      <w:color w:val="auto"/>
                      <w:kern w:val="2"/>
                      <w:sz w:val="21"/>
                      <w:szCs w:val="21"/>
                      <w:highlight w:val="none"/>
                      <w:lang w:val="en-US" w:eastAsia="zh-CN" w:bidi="ar"/>
                    </w:rPr>
                    <w:t>原项目产生的VOCs（以非甲烷总烃计）经集气罩+活性炭吸附净化装置处理后通过1根15m高排气筒（DA001）排放；</w:t>
                  </w:r>
                  <w:r>
                    <w:rPr>
                      <w:rFonts w:hint="default" w:ascii="Times New Roman" w:hAnsi="Times New Roman" w:eastAsia="宋体" w:cs="Times New Roman"/>
                      <w:color w:val="auto"/>
                      <w:kern w:val="2"/>
                      <w:sz w:val="21"/>
                      <w:szCs w:val="21"/>
                      <w:highlight w:val="none"/>
                      <w:lang w:val="en-US" w:eastAsia="zh-CN" w:bidi="ar"/>
                    </w:rPr>
                    <w:t>有机废气收集效率为</w:t>
                  </w:r>
                  <w:r>
                    <w:rPr>
                      <w:rFonts w:hint="eastAsia" w:ascii="Times New Roman" w:hAnsi="Times New Roman" w:eastAsia="宋体" w:cs="Times New Roman"/>
                      <w:color w:val="auto"/>
                      <w:kern w:val="2"/>
                      <w:sz w:val="21"/>
                      <w:szCs w:val="21"/>
                      <w:highlight w:val="none"/>
                      <w:lang w:val="en-US" w:eastAsia="zh-CN" w:bidi="ar"/>
                    </w:rPr>
                    <w:t>90</w:t>
                  </w:r>
                  <w:r>
                    <w:rPr>
                      <w:rFonts w:hint="default" w:ascii="Times New Roman" w:hAnsi="Times New Roman" w:eastAsia="宋体" w:cs="Times New Roman"/>
                      <w:color w:val="auto"/>
                      <w:kern w:val="2"/>
                      <w:sz w:val="21"/>
                      <w:szCs w:val="21"/>
                      <w:highlight w:val="none"/>
                      <w:lang w:val="en-US" w:eastAsia="zh-CN" w:bidi="ar"/>
                    </w:rPr>
                    <w:t>%，净化效率为80%。</w:t>
                  </w:r>
                </w:p>
              </w:tc>
              <w:tc>
                <w:tcPr>
                  <w:tcW w:w="465" w:type="pct"/>
                  <w:noWrap w:val="0"/>
                  <w:vAlign w:val="center"/>
                </w:tcPr>
                <w:p w14:paraId="62955D6C">
                  <w:pPr>
                    <w:pStyle w:val="2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bl>
          <w:p w14:paraId="42F8BD0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综上所述，项目与《云南省重点行业挥发性有机物综合治理实施方案》（云环通〔2019〕125号）相符。</w:t>
            </w:r>
          </w:p>
          <w:p w14:paraId="22E6684E">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w:t>
            </w:r>
            <w:r>
              <w:rPr>
                <w:rFonts w:hint="eastAsia" w:ascii="Times New Roman" w:hAnsi="Times New Roman" w:cs="Times New Roman"/>
                <w:b/>
                <w:bCs w:val="0"/>
                <w:color w:val="auto"/>
                <w:sz w:val="24"/>
                <w:szCs w:val="24"/>
                <w:highlight w:val="none"/>
                <w:lang w:val="en-US" w:eastAsia="zh-CN"/>
              </w:rPr>
              <w:t>4</w:t>
            </w:r>
            <w:r>
              <w:rPr>
                <w:rFonts w:hint="default" w:ascii="Times New Roman" w:hAnsi="Times New Roman" w:cs="Times New Roman"/>
                <w:b/>
                <w:bCs w:val="0"/>
                <w:color w:val="auto"/>
                <w:sz w:val="24"/>
                <w:szCs w:val="24"/>
                <w:highlight w:val="none"/>
                <w:lang w:val="en-US" w:eastAsia="zh-CN"/>
              </w:rPr>
              <w:t>、与《昆明市大气污染防治条例》相符性分析</w:t>
            </w:r>
          </w:p>
          <w:p w14:paraId="29F4ADA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 xml:space="preserve">项目与《昆明市大气污染防治条例》相符性分析见表 </w:t>
            </w:r>
            <w:r>
              <w:rPr>
                <w:rFonts w:hint="default" w:ascii="Times New Roman" w:hAnsi="Times New Roman" w:eastAsia="宋体" w:cs="Times New Roman"/>
                <w:b w:val="0"/>
                <w:bCs w:val="0"/>
                <w:color w:val="auto"/>
                <w:kern w:val="0"/>
                <w:sz w:val="24"/>
                <w:szCs w:val="24"/>
                <w:highlight w:val="none"/>
                <w:lang w:val="en-US" w:eastAsia="zh-CN" w:bidi="ar"/>
              </w:rPr>
              <w:t>1-</w:t>
            </w:r>
            <w:r>
              <w:rPr>
                <w:rFonts w:hint="default" w:ascii="Times New Roman" w:hAnsi="Times New Roman" w:cs="Times New Roman"/>
                <w:b w:val="0"/>
                <w:bCs w:val="0"/>
                <w:color w:val="auto"/>
                <w:kern w:val="0"/>
                <w:sz w:val="24"/>
                <w:szCs w:val="24"/>
                <w:highlight w:val="none"/>
                <w:lang w:val="en-US" w:eastAsia="zh-CN" w:bidi="ar"/>
              </w:rPr>
              <w:t>1</w:t>
            </w:r>
            <w:r>
              <w:rPr>
                <w:rFonts w:hint="eastAsia" w:cs="Times New Roman"/>
                <w:b w:val="0"/>
                <w:bCs w:val="0"/>
                <w:color w:val="auto"/>
                <w:kern w:val="0"/>
                <w:sz w:val="24"/>
                <w:szCs w:val="24"/>
                <w:highlight w:val="none"/>
                <w:lang w:val="en-US" w:eastAsia="zh-CN" w:bidi="ar"/>
              </w:rPr>
              <w:t>2</w:t>
            </w:r>
            <w:r>
              <w:rPr>
                <w:rFonts w:hint="default" w:ascii="宋体" w:hAnsi="宋体" w:eastAsia="宋体" w:cs="宋体"/>
                <w:b w:val="0"/>
                <w:bCs w:val="0"/>
                <w:color w:val="auto"/>
                <w:kern w:val="0"/>
                <w:sz w:val="24"/>
                <w:szCs w:val="24"/>
                <w:highlight w:val="none"/>
                <w:lang w:val="en-US" w:eastAsia="zh-CN" w:bidi="ar"/>
              </w:rPr>
              <w:t>。</w:t>
            </w:r>
          </w:p>
          <w:p w14:paraId="3B5CB4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76" w:lineRule="auto"/>
              <w:ind w:left="0" w:righ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eastAsia" w:ascii="Times New Roman" w:hAnsi="Times New Roman" w:eastAsia="宋体" w:cs="Times New Roman"/>
                <w:b/>
                <w:bCs/>
                <w:color w:val="auto"/>
                <w:spacing w:val="-2"/>
                <w:sz w:val="21"/>
                <w:szCs w:val="21"/>
                <w:highlight w:val="none"/>
              </w:rPr>
              <w:t>表1-</w:t>
            </w:r>
            <w:r>
              <w:rPr>
                <w:rFonts w:hint="eastAsia" w:cs="Times New Roman"/>
                <w:b/>
                <w:bCs/>
                <w:color w:val="auto"/>
                <w:spacing w:val="-2"/>
                <w:sz w:val="21"/>
                <w:szCs w:val="21"/>
                <w:highlight w:val="none"/>
                <w:lang w:val="en-US" w:eastAsia="zh-CN"/>
              </w:rPr>
              <w:t>12</w:t>
            </w:r>
            <w:r>
              <w:rPr>
                <w:rFonts w:hint="eastAsia" w:ascii="Times New Roman" w:hAnsi="Times New Roman" w:eastAsia="宋体" w:cs="Times New Roman"/>
                <w:b/>
                <w:bCs/>
                <w:color w:val="auto"/>
                <w:spacing w:val="-2"/>
                <w:sz w:val="21"/>
                <w:szCs w:val="21"/>
                <w:highlight w:val="none"/>
              </w:rPr>
              <w:t xml:space="preserve"> </w:t>
            </w:r>
            <w:r>
              <w:rPr>
                <w:rFonts w:hint="eastAsia" w:ascii="Times New Roman" w:hAnsi="Times New Roman" w:eastAsia="宋体" w:cs="Times New Roman"/>
                <w:b/>
                <w:bCs/>
                <w:color w:val="auto"/>
                <w:spacing w:val="-2"/>
                <w:sz w:val="21"/>
                <w:szCs w:val="21"/>
                <w:highlight w:val="none"/>
                <w:lang w:val="en-US" w:eastAsia="zh-CN"/>
              </w:rPr>
              <w:t xml:space="preserve"> </w:t>
            </w:r>
            <w:r>
              <w:rPr>
                <w:rFonts w:hint="eastAsia" w:ascii="Times New Roman" w:hAnsi="Times New Roman" w:eastAsia="宋体" w:cs="Times New Roman"/>
                <w:b/>
                <w:bCs/>
                <w:color w:val="auto"/>
                <w:spacing w:val="-2"/>
                <w:sz w:val="21"/>
                <w:szCs w:val="21"/>
                <w:highlight w:val="none"/>
                <w:lang w:eastAsia="zh-CN"/>
              </w:rPr>
              <w:t>与《昆明市大气污染防治条例》</w:t>
            </w:r>
            <w:r>
              <w:rPr>
                <w:rFonts w:hint="eastAsia" w:ascii="Times New Roman" w:hAnsi="Times New Roman" w:eastAsia="宋体" w:cs="Times New Roman"/>
                <w:b/>
                <w:bCs/>
                <w:color w:val="auto"/>
                <w:spacing w:val="-2"/>
                <w:sz w:val="21"/>
                <w:szCs w:val="21"/>
                <w:highlight w:val="none"/>
              </w:rPr>
              <w:t>的符合性分析</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5"/>
              <w:gridCol w:w="2419"/>
              <w:gridCol w:w="681"/>
            </w:tblGrid>
            <w:tr w14:paraId="5A7A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929" w:type="pct"/>
                  <w:noWrap w:val="0"/>
                  <w:vAlign w:val="center"/>
                </w:tcPr>
                <w:p w14:paraId="21DEF4D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val="en-US" w:eastAsia="zh-CN"/>
                    </w:rPr>
                    <w:t>昆明市大气污染防治条例</w:t>
                  </w:r>
                  <w:r>
                    <w:rPr>
                      <w:rFonts w:hint="default" w:ascii="Times New Roman" w:hAnsi="Times New Roman" w:cs="Times New Roman"/>
                      <w:b/>
                      <w:bCs/>
                      <w:color w:val="auto"/>
                      <w:kern w:val="0"/>
                      <w:sz w:val="21"/>
                      <w:szCs w:val="21"/>
                      <w:highlight w:val="none"/>
                    </w:rPr>
                    <w:t>要求</w:t>
                  </w:r>
                </w:p>
              </w:tc>
              <w:tc>
                <w:tcPr>
                  <w:tcW w:w="1615" w:type="pct"/>
                  <w:noWrap w:val="0"/>
                  <w:vAlign w:val="center"/>
                </w:tcPr>
                <w:p w14:paraId="2828105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rPr>
                    <w:t>项目情况</w:t>
                  </w:r>
                </w:p>
              </w:tc>
              <w:tc>
                <w:tcPr>
                  <w:tcW w:w="454" w:type="pct"/>
                  <w:noWrap w:val="0"/>
                  <w:vAlign w:val="center"/>
                </w:tcPr>
                <w:p w14:paraId="3556011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rPr>
                    <w:t>符合性</w:t>
                  </w:r>
                </w:p>
              </w:tc>
            </w:tr>
            <w:tr w14:paraId="3DB1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29" w:type="pct"/>
                  <w:noWrap w:val="0"/>
                  <w:vAlign w:val="center"/>
                </w:tcPr>
                <w:p w14:paraId="0859B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禁止通过偷排、篡改或者伪造监测数据、以逃避现场检查为目的的临时停产、非紧急情况下开启应急排放通道、擅自拆除或者不正常运行大气污染防治设施等逃避监管的方式排放大气污染物。</w:t>
                  </w:r>
                </w:p>
              </w:tc>
              <w:tc>
                <w:tcPr>
                  <w:tcW w:w="1615" w:type="pct"/>
                  <w:noWrap w:val="0"/>
                  <w:vAlign w:val="center"/>
                </w:tcPr>
                <w:p w14:paraId="08493B2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zh-CN" w:eastAsia="zh-CN"/>
                    </w:rPr>
                    <w:t>硫酸稀释、蒙砂液配制与蒙砂过程共同置于封闭生产车间内，生产车间保持负压状态，并在上方设置集气管道，</w:t>
                  </w:r>
                  <w:r>
                    <w:rPr>
                      <w:rFonts w:hint="default" w:ascii="Times New Roman" w:hAnsi="Times New Roman" w:cs="Times New Roman"/>
                      <w:color w:val="auto"/>
                      <w:sz w:val="21"/>
                      <w:szCs w:val="21"/>
                      <w:highlight w:val="none"/>
                      <w:lang w:val="zh-CN" w:eastAsia="zh-CN"/>
                    </w:rPr>
                    <w:t>硫酸挥发废气、配料废气</w:t>
                  </w:r>
                  <w:r>
                    <w:rPr>
                      <w:rFonts w:hint="eastAsia" w:cs="Times New Roman"/>
                      <w:color w:val="auto"/>
                      <w:sz w:val="21"/>
                      <w:szCs w:val="21"/>
                      <w:highlight w:val="none"/>
                      <w:lang w:val="zh-CN" w:eastAsia="zh-CN"/>
                    </w:rPr>
                    <w:t>和蒙砂</w:t>
                  </w:r>
                  <w:r>
                    <w:rPr>
                      <w:rFonts w:hint="default" w:ascii="Times New Roman" w:hAnsi="Times New Roman" w:cs="Times New Roman"/>
                      <w:color w:val="auto"/>
                      <w:sz w:val="21"/>
                      <w:szCs w:val="21"/>
                      <w:highlight w:val="none"/>
                      <w:lang w:val="zh-CN" w:eastAsia="zh-CN"/>
                    </w:rPr>
                    <w:t>废气由</w:t>
                  </w:r>
                  <w:r>
                    <w:rPr>
                      <w:rFonts w:hint="eastAsia" w:cs="Times New Roman"/>
                      <w:color w:val="auto"/>
                      <w:sz w:val="21"/>
                      <w:szCs w:val="21"/>
                      <w:highlight w:val="none"/>
                      <w:lang w:val="zh-CN" w:eastAsia="zh-CN"/>
                    </w:rPr>
                    <w:t>封</w:t>
                  </w:r>
                  <w:r>
                    <w:rPr>
                      <w:rFonts w:hint="default" w:ascii="Times New Roman" w:hAnsi="Times New Roman" w:cs="Times New Roman"/>
                      <w:color w:val="auto"/>
                      <w:sz w:val="21"/>
                      <w:szCs w:val="21"/>
                      <w:highlight w:val="none"/>
                      <w:lang w:val="zh-CN" w:eastAsia="zh-CN"/>
                    </w:rPr>
                    <w:t>闭生产</w:t>
                  </w:r>
                  <w:r>
                    <w:rPr>
                      <w:rFonts w:hint="eastAsia" w:cs="Times New Roman"/>
                      <w:color w:val="auto"/>
                      <w:sz w:val="21"/>
                      <w:szCs w:val="21"/>
                      <w:highlight w:val="none"/>
                      <w:lang w:val="zh-CN" w:eastAsia="zh-CN"/>
                    </w:rPr>
                    <w:t>车间</w:t>
                  </w:r>
                  <w:r>
                    <w:rPr>
                      <w:rFonts w:hint="default" w:ascii="Times New Roman" w:hAnsi="Times New Roman" w:cs="Times New Roman"/>
                      <w:color w:val="auto"/>
                      <w:sz w:val="21"/>
                      <w:szCs w:val="21"/>
                      <w:highlight w:val="none"/>
                      <w:lang w:val="en-US" w:eastAsia="zh-CN"/>
                    </w:rPr>
                    <w:t>集气管道</w:t>
                  </w:r>
                  <w:r>
                    <w:rPr>
                      <w:rFonts w:hint="default" w:ascii="Times New Roman" w:hAnsi="Times New Roman" w:cs="Times New Roman"/>
                      <w:color w:val="auto"/>
                      <w:sz w:val="21"/>
                      <w:szCs w:val="21"/>
                      <w:highlight w:val="none"/>
                      <w:lang w:val="zh-CN" w:eastAsia="zh-CN"/>
                    </w:rPr>
                    <w:t>收集后，</w:t>
                  </w:r>
                  <w:r>
                    <w:rPr>
                      <w:rFonts w:hint="eastAsia" w:ascii="Times New Roman" w:hAnsi="Times New Roman" w:cs="Times New Roman"/>
                      <w:color w:val="auto"/>
                      <w:sz w:val="21"/>
                      <w:szCs w:val="21"/>
                      <w:highlight w:val="none"/>
                      <w:lang w:val="zh-CN" w:eastAsia="zh-CN"/>
                    </w:rPr>
                    <w:t>通过</w:t>
                  </w:r>
                  <w:r>
                    <w:rPr>
                      <w:rFonts w:hint="default" w:ascii="Times New Roman" w:hAnsi="Times New Roman" w:cs="Times New Roman"/>
                      <w:color w:val="auto"/>
                      <w:sz w:val="21"/>
                      <w:szCs w:val="21"/>
                      <w:highlight w:val="none"/>
                      <w:lang w:val="zh-CN" w:eastAsia="zh-CN"/>
                    </w:rPr>
                    <w:t>一套碱液喷淋洗涤塔废气治理设施处理，</w:t>
                  </w:r>
                  <w:r>
                    <w:rPr>
                      <w:rFonts w:hint="eastAsia" w:cs="Times New Roman"/>
                      <w:color w:val="auto"/>
                      <w:sz w:val="21"/>
                      <w:szCs w:val="21"/>
                      <w:highlight w:val="none"/>
                      <w:lang w:val="zh-CN" w:eastAsia="zh-CN"/>
                    </w:rPr>
                    <w:t>后</w:t>
                  </w:r>
                  <w:r>
                    <w:rPr>
                      <w:rFonts w:hint="default" w:ascii="Times New Roman" w:hAnsi="Times New Roman" w:cs="Times New Roman"/>
                      <w:color w:val="auto"/>
                      <w:sz w:val="21"/>
                      <w:szCs w:val="21"/>
                      <w:highlight w:val="none"/>
                      <w:lang w:val="zh-CN" w:eastAsia="zh-CN"/>
                    </w:rPr>
                    <w:t>经15m高排气筒（</w:t>
                  </w: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z w:val="21"/>
                      <w:szCs w:val="21"/>
                      <w:highlight w:val="none"/>
                      <w:lang w:val="zh-CN" w:eastAsia="zh-CN"/>
                    </w:rPr>
                    <w:t>）排放</w:t>
                  </w:r>
                  <w:r>
                    <w:rPr>
                      <w:rFonts w:hint="default" w:ascii="Times New Roman" w:hAnsi="Times New Roman" w:cs="Times New Roman"/>
                      <w:color w:val="auto"/>
                      <w:sz w:val="21"/>
                      <w:szCs w:val="21"/>
                      <w:highlight w:val="none"/>
                      <w:lang w:eastAsia="zh-CN"/>
                    </w:rPr>
                    <w:t>。食堂油烟</w:t>
                  </w:r>
                  <w:r>
                    <w:rPr>
                      <w:rFonts w:hint="eastAsia" w:cs="Times New Roman"/>
                      <w:color w:val="auto"/>
                      <w:sz w:val="21"/>
                      <w:szCs w:val="21"/>
                      <w:highlight w:val="none"/>
                      <w:lang w:eastAsia="zh-CN"/>
                    </w:rPr>
                    <w:t>通过</w:t>
                  </w:r>
                  <w:r>
                    <w:rPr>
                      <w:rFonts w:hint="default" w:ascii="Times New Roman" w:hAnsi="Times New Roman" w:cs="Times New Roman"/>
                      <w:color w:val="auto"/>
                      <w:sz w:val="21"/>
                      <w:szCs w:val="21"/>
                      <w:highlight w:val="none"/>
                      <w:lang w:eastAsia="zh-CN"/>
                    </w:rPr>
                    <w:t>油烟净化器处理后</w:t>
                  </w:r>
                  <w:r>
                    <w:rPr>
                      <w:rFonts w:hint="eastAsia" w:cs="Times New Roman"/>
                      <w:color w:val="auto"/>
                      <w:sz w:val="21"/>
                      <w:szCs w:val="21"/>
                      <w:highlight w:val="none"/>
                      <w:lang w:eastAsia="zh-CN"/>
                    </w:rPr>
                    <w:t>由专门的油烟管道</w:t>
                  </w:r>
                  <w:r>
                    <w:rPr>
                      <w:rFonts w:hint="default" w:ascii="Times New Roman" w:hAnsi="Times New Roman" w:cs="Times New Roman"/>
                      <w:color w:val="auto"/>
                      <w:sz w:val="21"/>
                      <w:szCs w:val="21"/>
                      <w:highlight w:val="none"/>
                      <w:lang w:eastAsia="zh-CN"/>
                    </w:rPr>
                    <w:t>排放。本项目废气均设置合理的处置措施处理后达标排放，不存在偷排</w:t>
                  </w:r>
                  <w:r>
                    <w:rPr>
                      <w:rFonts w:hint="default" w:ascii="Times New Roman" w:hAnsi="Times New Roman" w:cs="Times New Roman"/>
                      <w:b w:val="0"/>
                      <w:bCs w:val="0"/>
                      <w:snapToGrid w:val="0"/>
                      <w:color w:val="auto"/>
                      <w:kern w:val="0"/>
                      <w:sz w:val="21"/>
                      <w:szCs w:val="21"/>
                      <w:highlight w:val="none"/>
                      <w:lang w:eastAsia="zh-CN"/>
                    </w:rPr>
                    <w:t>。</w:t>
                  </w:r>
                </w:p>
              </w:tc>
              <w:tc>
                <w:tcPr>
                  <w:tcW w:w="454" w:type="pct"/>
                  <w:noWrap w:val="0"/>
                  <w:vAlign w:val="center"/>
                </w:tcPr>
                <w:p w14:paraId="4B99073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符合</w:t>
                  </w:r>
                </w:p>
              </w:tc>
            </w:tr>
            <w:tr w14:paraId="2195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9" w:type="pct"/>
                  <w:noWrap w:val="0"/>
                  <w:vAlign w:val="center"/>
                </w:tcPr>
                <w:p w14:paraId="711D65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615" w:type="pct"/>
                  <w:noWrap w:val="0"/>
                  <w:vAlign w:val="center"/>
                </w:tcPr>
                <w:p w14:paraId="0090FD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本项目为</w:t>
                  </w:r>
                  <w:r>
                    <w:rPr>
                      <w:rFonts w:hint="eastAsia" w:cs="Times New Roman"/>
                      <w:color w:val="auto"/>
                      <w:sz w:val="21"/>
                      <w:szCs w:val="21"/>
                      <w:highlight w:val="none"/>
                      <w:lang w:eastAsia="zh-CN"/>
                    </w:rPr>
                    <w:t>玻璃生产加工</w:t>
                  </w:r>
                  <w:r>
                    <w:rPr>
                      <w:rFonts w:hint="default" w:ascii="Times New Roman" w:hAnsi="Times New Roman" w:cs="Times New Roman"/>
                      <w:color w:val="auto"/>
                      <w:sz w:val="21"/>
                      <w:szCs w:val="21"/>
                      <w:highlight w:val="none"/>
                      <w:lang w:eastAsia="zh-CN"/>
                    </w:rPr>
                    <w:t>项目，</w:t>
                  </w:r>
                  <w:r>
                    <w:rPr>
                      <w:rFonts w:hint="eastAsia" w:cs="Times New Roman"/>
                      <w:color w:val="auto"/>
                      <w:sz w:val="21"/>
                      <w:szCs w:val="21"/>
                      <w:highlight w:val="none"/>
                      <w:lang w:eastAsia="zh-CN"/>
                    </w:rPr>
                    <w:t>生产运行过程中不产生</w:t>
                  </w:r>
                  <w:r>
                    <w:rPr>
                      <w:rFonts w:hint="default" w:ascii="Times New Roman" w:hAnsi="Times New Roman" w:eastAsia="宋体" w:cs="Times New Roman"/>
                      <w:color w:val="auto"/>
                      <w:sz w:val="21"/>
                      <w:szCs w:val="21"/>
                      <w:highlight w:val="none"/>
                    </w:rPr>
                    <w:t>含挥发性有机</w:t>
                  </w:r>
                  <w:r>
                    <w:rPr>
                      <w:rFonts w:hint="eastAsia" w:cs="Times New Roman"/>
                      <w:color w:val="auto"/>
                      <w:sz w:val="21"/>
                      <w:szCs w:val="21"/>
                      <w:highlight w:val="none"/>
                      <w:lang w:eastAsia="zh-CN"/>
                    </w:rPr>
                    <w:t>物</w:t>
                  </w:r>
                  <w:r>
                    <w:rPr>
                      <w:rFonts w:hint="default" w:ascii="Times New Roman" w:hAnsi="Times New Roman" w:eastAsia="宋体" w:cs="Times New Roman"/>
                      <w:color w:val="auto"/>
                      <w:sz w:val="21"/>
                      <w:szCs w:val="21"/>
                      <w:highlight w:val="none"/>
                    </w:rPr>
                    <w:t>废气</w:t>
                  </w:r>
                  <w:r>
                    <w:rPr>
                      <w:rFonts w:hint="eastAsia" w:ascii="Times New Roman" w:hAnsi="Times New Roman" w:cs="Times New Roman"/>
                      <w:color w:val="auto"/>
                      <w:sz w:val="21"/>
                      <w:szCs w:val="21"/>
                      <w:highlight w:val="none"/>
                      <w:lang w:eastAsia="zh-CN"/>
                    </w:rPr>
                    <w:t>，产生的</w:t>
                  </w:r>
                  <w:r>
                    <w:rPr>
                      <w:rFonts w:hint="eastAsia" w:ascii="Times New Roman" w:hAnsi="Times New Roman" w:cs="Times New Roman"/>
                      <w:color w:val="auto"/>
                      <w:sz w:val="21"/>
                      <w:szCs w:val="21"/>
                      <w:highlight w:val="none"/>
                      <w:lang w:val="zh-CN" w:eastAsia="zh-CN"/>
                    </w:rPr>
                    <w:t>硫酸挥发废气、配料废气</w:t>
                  </w:r>
                  <w:r>
                    <w:rPr>
                      <w:rFonts w:hint="eastAsia" w:cs="Times New Roman"/>
                      <w:color w:val="auto"/>
                      <w:sz w:val="21"/>
                      <w:szCs w:val="21"/>
                      <w:highlight w:val="none"/>
                      <w:lang w:val="zh-CN" w:eastAsia="zh-CN"/>
                    </w:rPr>
                    <w:t>和蒙砂</w:t>
                  </w:r>
                  <w:r>
                    <w:rPr>
                      <w:rFonts w:hint="eastAsia" w:ascii="Times New Roman" w:hAnsi="Times New Roman" w:cs="Times New Roman"/>
                      <w:color w:val="auto"/>
                      <w:sz w:val="21"/>
                      <w:szCs w:val="21"/>
                      <w:highlight w:val="none"/>
                      <w:lang w:val="zh-CN" w:eastAsia="zh-CN"/>
                    </w:rPr>
                    <w:t>废气由</w:t>
                  </w:r>
                  <w:r>
                    <w:rPr>
                      <w:rFonts w:hint="eastAsia" w:cs="Times New Roman"/>
                      <w:color w:val="auto"/>
                      <w:sz w:val="21"/>
                      <w:szCs w:val="21"/>
                      <w:highlight w:val="none"/>
                      <w:lang w:val="zh-CN" w:eastAsia="zh-CN"/>
                    </w:rPr>
                    <w:t>封</w:t>
                  </w:r>
                  <w:r>
                    <w:rPr>
                      <w:rFonts w:hint="eastAsia" w:ascii="Times New Roman" w:hAnsi="Times New Roman" w:cs="Times New Roman"/>
                      <w:color w:val="auto"/>
                      <w:sz w:val="21"/>
                      <w:szCs w:val="21"/>
                      <w:highlight w:val="none"/>
                      <w:lang w:val="zh-CN" w:eastAsia="zh-CN"/>
                    </w:rPr>
                    <w:t>闭生产</w:t>
                  </w:r>
                  <w:r>
                    <w:rPr>
                      <w:rFonts w:hint="eastAsia" w:cs="Times New Roman"/>
                      <w:color w:val="auto"/>
                      <w:sz w:val="21"/>
                      <w:szCs w:val="21"/>
                      <w:highlight w:val="none"/>
                      <w:lang w:val="zh-CN" w:eastAsia="zh-CN"/>
                    </w:rPr>
                    <w:t>车间集气管道</w:t>
                  </w:r>
                  <w:r>
                    <w:rPr>
                      <w:rFonts w:hint="eastAsia" w:ascii="Times New Roman" w:hAnsi="Times New Roman" w:cs="Times New Roman"/>
                      <w:color w:val="auto"/>
                      <w:sz w:val="21"/>
                      <w:szCs w:val="21"/>
                      <w:highlight w:val="none"/>
                      <w:lang w:val="zh-CN" w:eastAsia="zh-CN"/>
                    </w:rPr>
                    <w:t>收集后，通过一套碱液喷淋洗涤塔废气治理设施处理，</w:t>
                  </w:r>
                  <w:r>
                    <w:rPr>
                      <w:rFonts w:hint="eastAsia" w:cs="Times New Roman"/>
                      <w:color w:val="auto"/>
                      <w:sz w:val="21"/>
                      <w:szCs w:val="21"/>
                      <w:highlight w:val="none"/>
                      <w:lang w:val="zh-CN" w:eastAsia="zh-CN"/>
                    </w:rPr>
                    <w:t>后</w:t>
                  </w:r>
                  <w:r>
                    <w:rPr>
                      <w:rFonts w:hint="eastAsia" w:ascii="Times New Roman" w:hAnsi="Times New Roman" w:cs="Times New Roman"/>
                      <w:color w:val="auto"/>
                      <w:sz w:val="21"/>
                      <w:szCs w:val="21"/>
                      <w:highlight w:val="none"/>
                      <w:lang w:val="zh-CN" w:eastAsia="zh-CN"/>
                    </w:rPr>
                    <w:t>经15m高排气筒（</w:t>
                  </w:r>
                  <w:r>
                    <w:rPr>
                      <w:rFonts w:hint="eastAsia" w:ascii="Times New Roman" w:hAnsi="Times New Roman" w:cs="Times New Roman"/>
                      <w:color w:val="auto"/>
                      <w:sz w:val="21"/>
                      <w:szCs w:val="21"/>
                      <w:highlight w:val="none"/>
                      <w:lang w:val="en-US" w:eastAsia="zh-CN"/>
                    </w:rPr>
                    <w:t>DA002</w:t>
                  </w:r>
                  <w:r>
                    <w:rPr>
                      <w:rFonts w:hint="eastAsia" w:ascii="Times New Roman" w:hAnsi="Times New Roman" w:cs="Times New Roman"/>
                      <w:color w:val="auto"/>
                      <w:sz w:val="21"/>
                      <w:szCs w:val="21"/>
                      <w:highlight w:val="none"/>
                      <w:lang w:val="zh-CN" w:eastAsia="zh-CN"/>
                    </w:rPr>
                    <w:t>）排放</w:t>
                  </w:r>
                  <w:r>
                    <w:rPr>
                      <w:rFonts w:hint="default" w:ascii="Times New Roman" w:hAnsi="Times New Roman" w:cs="Times New Roman"/>
                      <w:color w:val="auto"/>
                      <w:sz w:val="21"/>
                      <w:szCs w:val="21"/>
                      <w:highlight w:val="none"/>
                      <w:lang w:eastAsia="zh-CN"/>
                    </w:rPr>
                    <w:t>。</w:t>
                  </w:r>
                </w:p>
              </w:tc>
              <w:tc>
                <w:tcPr>
                  <w:tcW w:w="454" w:type="pct"/>
                  <w:noWrap w:val="0"/>
                  <w:vAlign w:val="center"/>
                </w:tcPr>
                <w:p w14:paraId="63FAB47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符合</w:t>
                  </w:r>
                </w:p>
              </w:tc>
            </w:tr>
            <w:tr w14:paraId="42A9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9" w:type="pct"/>
                  <w:noWrap w:val="0"/>
                  <w:vAlign w:val="center"/>
                </w:tcPr>
                <w:p w14:paraId="4730C5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615" w:type="pct"/>
                  <w:noWrap w:val="0"/>
                  <w:vAlign w:val="center"/>
                </w:tcPr>
                <w:p w14:paraId="2FC3495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本项目</w:t>
                  </w:r>
                  <w:r>
                    <w:rPr>
                      <w:rFonts w:hint="eastAsia"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生产、进口、销售和使用含挥发性有机物原材料和产品</w:t>
                  </w:r>
                  <w:r>
                    <w:rPr>
                      <w:rFonts w:hint="eastAsia" w:ascii="Times New Roman" w:hAnsi="Times New Roman" w:cs="Times New Roman"/>
                      <w:color w:val="auto"/>
                      <w:sz w:val="21"/>
                      <w:szCs w:val="21"/>
                      <w:highlight w:val="none"/>
                      <w:lang w:eastAsia="zh-CN"/>
                    </w:rPr>
                    <w:t>。</w:t>
                  </w:r>
                </w:p>
              </w:tc>
              <w:tc>
                <w:tcPr>
                  <w:tcW w:w="454" w:type="pct"/>
                  <w:noWrap w:val="0"/>
                  <w:vAlign w:val="center"/>
                </w:tcPr>
                <w:p w14:paraId="3DE501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符合</w:t>
                  </w:r>
                </w:p>
              </w:tc>
            </w:tr>
          </w:tbl>
          <w:p w14:paraId="0FB0705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综上，项目符合《昆明市大气污染防治条例》要求。</w:t>
            </w:r>
          </w:p>
          <w:p w14:paraId="65875611">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15、环境相容性分析</w:t>
            </w:r>
          </w:p>
          <w:p w14:paraId="4EF13E06">
            <w:pPr>
              <w:keepNext w:val="0"/>
              <w:keepLines w:val="0"/>
              <w:suppressLineNumbers w:val="0"/>
              <w:spacing w:before="0" w:beforeAutospacing="0" w:after="0" w:afterAutospacing="0" w:line="360" w:lineRule="auto"/>
              <w:ind w:left="0" w:right="0" w:firstLine="480" w:firstLineChars="200"/>
              <w:rPr>
                <w:rFonts w:ascii="宋体" w:hAnsi="宋体" w:eastAsia="宋体" w:cs="宋体"/>
                <w:color w:val="auto"/>
                <w:spacing w:val="-4"/>
                <w:sz w:val="24"/>
                <w:szCs w:val="24"/>
                <w:highlight w:val="none"/>
              </w:rPr>
            </w:pPr>
            <w:r>
              <w:rPr>
                <w:rFonts w:hint="default"/>
                <w:color w:val="auto"/>
                <w:sz w:val="24"/>
                <w:highlight w:val="none"/>
                <w:lang w:bidi="ar"/>
              </w:rPr>
              <w:t>项目位于</w:t>
            </w:r>
            <w:r>
              <w:rPr>
                <w:rFonts w:hint="eastAsia" w:ascii="宋体" w:hAnsi="宋体" w:cs="宋体"/>
                <w:color w:val="auto"/>
                <w:kern w:val="0"/>
                <w:sz w:val="24"/>
                <w:highlight w:val="none"/>
              </w:rPr>
              <w:t>云南省昆明市寻甸回族彝族自治县</w:t>
            </w:r>
            <w:r>
              <w:rPr>
                <w:rFonts w:hint="eastAsia" w:ascii="宋体" w:hAnsi="宋体" w:cs="宋体"/>
                <w:color w:val="auto"/>
                <w:kern w:val="0"/>
                <w:sz w:val="24"/>
                <w:highlight w:val="none"/>
                <w:lang w:val="en-US" w:eastAsia="zh-CN"/>
              </w:rPr>
              <w:t>羊街片区</w:t>
            </w:r>
            <w:r>
              <w:rPr>
                <w:rFonts w:hint="default"/>
                <w:color w:val="auto"/>
                <w:sz w:val="24"/>
                <w:highlight w:val="none"/>
                <w:lang w:bidi="ar"/>
              </w:rPr>
              <w:t>，</w:t>
            </w:r>
            <w:r>
              <w:rPr>
                <w:rFonts w:hint="default"/>
                <w:color w:val="auto"/>
                <w:sz w:val="24"/>
                <w:highlight w:val="none"/>
              </w:rPr>
              <w:t>项目用地性质为工业用地，项目区外200m范围内不存在水源地、保护区，不涉及生态保护区、自然保护区、风景名胜区、文化遗产保护区、水源保护区等环境敏感区，同时项目占地未占用</w:t>
            </w:r>
            <w:r>
              <w:rPr>
                <w:rFonts w:hint="eastAsia" w:ascii="宋体" w:hAnsi="宋体" w:cs="宋体"/>
                <w:color w:val="auto"/>
                <w:kern w:val="0"/>
                <w:sz w:val="24"/>
                <w:highlight w:val="none"/>
              </w:rPr>
              <w:t>寻甸回族彝族自治县</w:t>
            </w:r>
            <w:r>
              <w:rPr>
                <w:rFonts w:hint="default"/>
                <w:color w:val="auto"/>
                <w:sz w:val="24"/>
                <w:highlight w:val="none"/>
              </w:rPr>
              <w:t>生态保护红线</w:t>
            </w:r>
            <w:r>
              <w:rPr>
                <w:rFonts w:hint="default"/>
                <w:color w:val="auto"/>
                <w:sz w:val="24"/>
                <w:highlight w:val="none"/>
                <w:lang w:bidi="ar"/>
              </w:rPr>
              <w:t>。</w:t>
            </w:r>
            <w:r>
              <w:rPr>
                <w:rFonts w:hint="default" w:ascii="Times New Roman" w:hAnsi="Times New Roman" w:eastAsia="宋体" w:cs="Times New Roman"/>
                <w:color w:val="auto"/>
                <w:sz w:val="24"/>
                <w:szCs w:val="22"/>
                <w:highlight w:val="none"/>
                <w:shd w:val="clear" w:color="auto" w:fill="auto"/>
                <w:lang w:val="en-US" w:eastAsia="zh-CN"/>
              </w:rPr>
              <w:t>项目</w:t>
            </w:r>
            <w:r>
              <w:rPr>
                <w:rFonts w:hint="eastAsia" w:ascii="Times New Roman" w:hAnsi="Times New Roman" w:eastAsia="宋体" w:cs="Times New Roman"/>
                <w:color w:val="auto"/>
                <w:sz w:val="24"/>
                <w:szCs w:val="22"/>
                <w:highlight w:val="none"/>
                <w:shd w:val="clear" w:color="auto" w:fill="auto"/>
                <w:lang w:val="en-US" w:eastAsia="zh-CN"/>
              </w:rPr>
              <w:t>区</w:t>
            </w:r>
            <w:r>
              <w:rPr>
                <w:rFonts w:hint="eastAsia" w:eastAsia="宋体" w:cs="Times New Roman"/>
                <w:color w:val="auto"/>
                <w:sz w:val="24"/>
                <w:szCs w:val="22"/>
                <w:highlight w:val="none"/>
                <w:shd w:val="clear" w:color="auto" w:fill="auto"/>
                <w:lang w:val="en-US" w:eastAsia="zh-CN"/>
              </w:rPr>
              <w:t>四周</w:t>
            </w:r>
            <w:r>
              <w:rPr>
                <w:rFonts w:hint="eastAsia" w:ascii="Times New Roman" w:hAnsi="Times New Roman" w:eastAsia="宋体" w:cs="Times New Roman"/>
                <w:color w:val="auto"/>
                <w:sz w:val="24"/>
                <w:szCs w:val="22"/>
                <w:highlight w:val="none"/>
                <w:shd w:val="clear" w:color="auto" w:fill="auto"/>
                <w:lang w:val="en-US" w:eastAsia="zh-CN"/>
              </w:rPr>
              <w:t>大多为加工型企业</w:t>
            </w:r>
            <w:r>
              <w:rPr>
                <w:rFonts w:hint="eastAsia" w:cs="Times New Roman"/>
                <w:color w:val="auto"/>
                <w:sz w:val="24"/>
                <w:szCs w:val="22"/>
                <w:highlight w:val="none"/>
                <w:shd w:val="clear" w:color="auto" w:fill="auto"/>
                <w:lang w:val="en-US" w:eastAsia="zh-CN"/>
              </w:rPr>
              <w:t>，</w:t>
            </w:r>
            <w:r>
              <w:rPr>
                <w:rFonts w:ascii="宋体" w:hAnsi="宋体" w:eastAsia="宋体" w:cs="宋体"/>
                <w:color w:val="auto"/>
                <w:spacing w:val="-5"/>
                <w:sz w:val="24"/>
                <w:szCs w:val="24"/>
                <w:highlight w:val="none"/>
              </w:rPr>
              <w:t>部分厂房空置</w:t>
            </w:r>
            <w:r>
              <w:rPr>
                <w:rFonts w:hint="default" w:ascii="Times New Roman" w:hAnsi="Times New Roman" w:eastAsia="宋体" w:cs="Times New Roman"/>
                <w:color w:val="auto"/>
                <w:sz w:val="24"/>
                <w:szCs w:val="22"/>
                <w:highlight w:val="none"/>
                <w:shd w:val="clear" w:color="auto" w:fill="auto"/>
                <w:lang w:val="en-US" w:eastAsia="zh-CN"/>
              </w:rPr>
              <w:t>。</w:t>
            </w:r>
            <w:r>
              <w:rPr>
                <w:rFonts w:hint="eastAsia" w:cs="Times New Roman"/>
                <w:color w:val="auto"/>
                <w:sz w:val="24"/>
                <w:szCs w:val="22"/>
                <w:highlight w:val="none"/>
                <w:shd w:val="clear" w:color="auto" w:fill="auto"/>
                <w:lang w:val="en-US" w:eastAsia="zh-CN"/>
              </w:rPr>
              <w:t>根据现场踏勘，</w:t>
            </w:r>
            <w:r>
              <w:rPr>
                <w:rFonts w:ascii="宋体" w:hAnsi="宋体" w:eastAsia="宋体" w:cs="宋体"/>
                <w:color w:val="auto"/>
                <w:spacing w:val="-5"/>
                <w:sz w:val="24"/>
                <w:szCs w:val="24"/>
                <w:highlight w:val="none"/>
              </w:rPr>
              <w:t xml:space="preserve">项目周边企业污染源情况见表 </w:t>
            </w:r>
            <w:r>
              <w:rPr>
                <w:rFonts w:ascii="Times New Roman" w:hAnsi="Times New Roman" w:eastAsia="Times New Roman" w:cs="Times New Roman"/>
                <w:color w:val="auto"/>
                <w:spacing w:val="-5"/>
                <w:sz w:val="24"/>
                <w:szCs w:val="24"/>
                <w:highlight w:val="none"/>
              </w:rPr>
              <w:t>1- 1</w:t>
            </w:r>
            <w:r>
              <w:rPr>
                <w:rFonts w:hint="eastAsia" w:cs="Times New Roman"/>
                <w:color w:val="auto"/>
                <w:spacing w:val="-5"/>
                <w:sz w:val="24"/>
                <w:szCs w:val="24"/>
                <w:highlight w:val="none"/>
                <w:lang w:val="en-US" w:eastAsia="zh-CN"/>
              </w:rPr>
              <w:t>3</w:t>
            </w:r>
            <w:r>
              <w:rPr>
                <w:rFonts w:ascii="宋体" w:hAnsi="宋体" w:eastAsia="宋体" w:cs="宋体"/>
                <w:color w:val="auto"/>
                <w:spacing w:val="-4"/>
                <w:sz w:val="24"/>
                <w:szCs w:val="24"/>
                <w:highlight w:val="none"/>
              </w:rPr>
              <w:t>。</w:t>
            </w:r>
          </w:p>
          <w:p w14:paraId="685D7E80">
            <w:pPr>
              <w:jc w:val="center"/>
              <w:rPr>
                <w:b/>
                <w:color w:val="auto"/>
                <w:highlight w:val="none"/>
              </w:rPr>
            </w:pPr>
            <w:r>
              <w:rPr>
                <w:b/>
                <w:color w:val="auto"/>
                <w:highlight w:val="none"/>
              </w:rPr>
              <w:t>表</w:t>
            </w:r>
            <w:r>
              <w:rPr>
                <w:rFonts w:hint="eastAsia"/>
                <w:b/>
                <w:color w:val="auto"/>
                <w:highlight w:val="none"/>
              </w:rPr>
              <w:t>1</w:t>
            </w:r>
            <w:r>
              <w:rPr>
                <w:b/>
                <w:color w:val="auto"/>
                <w:highlight w:val="none"/>
              </w:rPr>
              <w:t>-</w:t>
            </w:r>
            <w:r>
              <w:rPr>
                <w:rFonts w:hint="eastAsia"/>
                <w:b/>
                <w:color w:val="auto"/>
                <w:highlight w:val="none"/>
                <w:lang w:val="en-US" w:eastAsia="zh-CN"/>
              </w:rPr>
              <w:t xml:space="preserve">13 </w:t>
            </w:r>
            <w:r>
              <w:rPr>
                <w:b/>
                <w:color w:val="auto"/>
                <w:highlight w:val="none"/>
              </w:rPr>
              <w:t xml:space="preserve"> </w:t>
            </w:r>
            <w:r>
              <w:rPr>
                <w:rFonts w:hint="eastAsia"/>
                <w:b/>
                <w:color w:val="auto"/>
                <w:highlight w:val="none"/>
                <w:lang w:eastAsia="zh-CN"/>
              </w:rPr>
              <w:t>本</w:t>
            </w:r>
            <w:r>
              <w:rPr>
                <w:b/>
                <w:color w:val="auto"/>
                <w:highlight w:val="none"/>
              </w:rPr>
              <w:t>项目周边</w:t>
            </w:r>
            <w:r>
              <w:rPr>
                <w:rFonts w:hint="eastAsia"/>
                <w:b/>
                <w:color w:val="auto"/>
                <w:highlight w:val="none"/>
                <w:lang w:val="en-US" w:eastAsia="zh-CN"/>
              </w:rPr>
              <w:t>企业污染源调查</w:t>
            </w:r>
            <w:r>
              <w:rPr>
                <w:b/>
                <w:color w:val="auto"/>
                <w:highlight w:val="none"/>
              </w:rPr>
              <w:t>一览表</w:t>
            </w:r>
          </w:p>
          <w:tbl>
            <w:tblPr>
              <w:tblStyle w:val="25"/>
              <w:tblW w:w="747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67"/>
              <w:gridCol w:w="2431"/>
              <w:gridCol w:w="1260"/>
              <w:gridCol w:w="1530"/>
              <w:gridCol w:w="1791"/>
            </w:tblGrid>
            <w:tr w14:paraId="71963A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7" w:hRule="atLeast"/>
                <w:jc w:val="center"/>
              </w:trPr>
              <w:tc>
                <w:tcPr>
                  <w:tcW w:w="467" w:type="dxa"/>
                  <w:noWrap w:val="0"/>
                  <w:vAlign w:val="center"/>
                </w:tcPr>
                <w:p w14:paraId="5E4EF3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431" w:type="dxa"/>
                  <w:noWrap w:val="0"/>
                  <w:vAlign w:val="center"/>
                </w:tcPr>
                <w:p w14:paraId="427B33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z w:val="21"/>
                      <w:szCs w:val="21"/>
                      <w:highlight w:val="none"/>
                      <w:lang w:eastAsia="zh-CN"/>
                    </w:rPr>
                    <w:t>企业</w:t>
                  </w:r>
                  <w:r>
                    <w:rPr>
                      <w:rFonts w:hint="default" w:ascii="Times New Roman" w:hAnsi="Times New Roman" w:eastAsia="宋体" w:cs="Times New Roman"/>
                      <w:b/>
                      <w:bCs/>
                      <w:color w:val="auto"/>
                      <w:sz w:val="21"/>
                      <w:szCs w:val="21"/>
                      <w:highlight w:val="none"/>
                    </w:rPr>
                    <w:t>名称</w:t>
                  </w:r>
                </w:p>
              </w:tc>
              <w:tc>
                <w:tcPr>
                  <w:tcW w:w="1260" w:type="dxa"/>
                  <w:noWrap w:val="0"/>
                  <w:vAlign w:val="center"/>
                </w:tcPr>
                <w:p w14:paraId="4AF0B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主营业务</w:t>
                  </w:r>
                </w:p>
              </w:tc>
              <w:tc>
                <w:tcPr>
                  <w:tcW w:w="1530" w:type="dxa"/>
                  <w:noWrap w:val="0"/>
                  <w:vAlign w:val="center"/>
                </w:tcPr>
                <w:p w14:paraId="3EEA7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Cs w:val="21"/>
                      <w:highlight w:val="none"/>
                    </w:rPr>
                    <w:t>与本项目的方位和距离（m）</w:t>
                  </w:r>
                </w:p>
              </w:tc>
              <w:tc>
                <w:tcPr>
                  <w:tcW w:w="1791" w:type="dxa"/>
                  <w:noWrap w:val="0"/>
                  <w:vAlign w:val="center"/>
                </w:tcPr>
                <w:p w14:paraId="01F0F4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Cs w:val="21"/>
                      <w:highlight w:val="none"/>
                    </w:rPr>
                    <w:t>污染物排放</w:t>
                  </w:r>
                </w:p>
              </w:tc>
            </w:tr>
            <w:tr w14:paraId="3746F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102C8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431" w:type="dxa"/>
                  <w:noWrap w:val="0"/>
                  <w:vAlign w:val="center"/>
                </w:tcPr>
                <w:p w14:paraId="554128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云南美佳森家居有限公司</w:t>
                  </w:r>
                </w:p>
              </w:tc>
              <w:tc>
                <w:tcPr>
                  <w:tcW w:w="1260" w:type="dxa"/>
                  <w:noWrap w:val="0"/>
                  <w:vAlign w:val="center"/>
                </w:tcPr>
                <w:p w14:paraId="73D4F5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家居用品生产</w:t>
                  </w:r>
                </w:p>
              </w:tc>
              <w:tc>
                <w:tcPr>
                  <w:tcW w:w="1530" w:type="dxa"/>
                  <w:noWrap w:val="0"/>
                  <w:vAlign w:val="center"/>
                </w:tcPr>
                <w:p w14:paraId="405AC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东</w:t>
                  </w:r>
                  <w:r>
                    <w:rPr>
                      <w:rFonts w:hint="eastAsia" w:ascii="Times New Roman" w:hAnsi="Times New Roman" w:eastAsia="宋体" w:cs="Times New Roman"/>
                      <w:color w:val="auto"/>
                      <w:sz w:val="21"/>
                      <w:szCs w:val="21"/>
                      <w:highlight w:val="none"/>
                      <w:lang w:val="en-US" w:eastAsia="zh-CN" w:bidi="ar-SA"/>
                    </w:rPr>
                    <w:t>侧</w:t>
                  </w:r>
                  <w:r>
                    <w:rPr>
                      <w:rFonts w:hint="eastAsia" w:ascii="Times New Roman" w:hAnsi="Times New Roman" w:cs="Times New Roman"/>
                      <w:color w:val="auto"/>
                      <w:sz w:val="21"/>
                      <w:szCs w:val="21"/>
                      <w:highlight w:val="none"/>
                      <w:lang w:val="en-US" w:eastAsia="zh-CN" w:bidi="ar-SA"/>
                    </w:rPr>
                    <w:t>7m</w:t>
                  </w:r>
                </w:p>
              </w:tc>
              <w:tc>
                <w:tcPr>
                  <w:tcW w:w="1791" w:type="dxa"/>
                  <w:noWrap w:val="0"/>
                  <w:vAlign w:val="center"/>
                </w:tcPr>
                <w:p w14:paraId="3CAE48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Cs w:val="21"/>
                      <w:highlight w:val="none"/>
                    </w:rPr>
                    <w:t>颗粒物、有机废气</w:t>
                  </w:r>
                </w:p>
              </w:tc>
            </w:tr>
            <w:tr w14:paraId="71D5B6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7220E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2431" w:type="dxa"/>
                  <w:noWrap w:val="0"/>
                  <w:vAlign w:val="center"/>
                </w:tcPr>
                <w:p w14:paraId="3528AA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Cs w:val="21"/>
                      <w:highlight w:val="none"/>
                    </w:rPr>
                    <w:t>昆明龙亿木业有限公司</w:t>
                  </w:r>
                </w:p>
              </w:tc>
              <w:tc>
                <w:tcPr>
                  <w:tcW w:w="1260" w:type="dxa"/>
                  <w:noWrap w:val="0"/>
                  <w:vAlign w:val="center"/>
                </w:tcPr>
                <w:p w14:paraId="025A7E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default" w:ascii="Times New Roman" w:hAnsi="Times New Roman" w:cs="Times New Roman"/>
                      <w:bCs/>
                      <w:color w:val="auto"/>
                      <w:szCs w:val="21"/>
                      <w:highlight w:val="none"/>
                    </w:rPr>
                    <w:t>木业制造</w:t>
                  </w:r>
                </w:p>
              </w:tc>
              <w:tc>
                <w:tcPr>
                  <w:tcW w:w="1530" w:type="dxa"/>
                  <w:noWrap w:val="0"/>
                  <w:vAlign w:val="center"/>
                </w:tcPr>
                <w:p w14:paraId="3D8F2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东</w:t>
                  </w:r>
                  <w:r>
                    <w:rPr>
                      <w:rFonts w:hint="eastAsia" w:ascii="Times New Roman" w:hAnsi="Times New Roman" w:eastAsia="宋体" w:cs="Times New Roman"/>
                      <w:color w:val="auto"/>
                      <w:sz w:val="21"/>
                      <w:szCs w:val="21"/>
                      <w:highlight w:val="none"/>
                      <w:lang w:val="en-US" w:eastAsia="zh-CN" w:bidi="ar-SA"/>
                    </w:rPr>
                    <w:t>侧</w:t>
                  </w:r>
                  <w:r>
                    <w:rPr>
                      <w:rFonts w:hint="eastAsia" w:ascii="Times New Roman" w:hAnsi="Times New Roman" w:cs="Times New Roman"/>
                      <w:color w:val="auto"/>
                      <w:sz w:val="21"/>
                      <w:szCs w:val="21"/>
                      <w:highlight w:val="none"/>
                      <w:lang w:val="en-US" w:eastAsia="zh-CN" w:bidi="ar-SA"/>
                    </w:rPr>
                    <w:t>90m</w:t>
                  </w:r>
                </w:p>
              </w:tc>
              <w:tc>
                <w:tcPr>
                  <w:tcW w:w="1791" w:type="dxa"/>
                  <w:noWrap w:val="0"/>
                  <w:vAlign w:val="center"/>
                </w:tcPr>
                <w:p w14:paraId="5C9A8E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Cs w:val="21"/>
                      <w:highlight w:val="none"/>
                    </w:rPr>
                    <w:t>颗粒物、有机废气</w:t>
                  </w:r>
                </w:p>
              </w:tc>
            </w:tr>
            <w:tr w14:paraId="570B72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15E9BE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2431" w:type="dxa"/>
                  <w:noWrap w:val="0"/>
                  <w:vAlign w:val="center"/>
                </w:tcPr>
                <w:p w14:paraId="7760FB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昆明西格电器成套设备有限公司</w:t>
                  </w:r>
                </w:p>
              </w:tc>
              <w:tc>
                <w:tcPr>
                  <w:tcW w:w="1260" w:type="dxa"/>
                  <w:noWrap w:val="0"/>
                  <w:vAlign w:val="center"/>
                </w:tcPr>
                <w:p w14:paraId="4D515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电器制造</w:t>
                  </w:r>
                </w:p>
              </w:tc>
              <w:tc>
                <w:tcPr>
                  <w:tcW w:w="1530" w:type="dxa"/>
                  <w:noWrap w:val="0"/>
                  <w:vAlign w:val="center"/>
                </w:tcPr>
                <w:p w14:paraId="73E7E3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西</w:t>
                  </w:r>
                  <w:r>
                    <w:rPr>
                      <w:rFonts w:hint="eastAsia" w:ascii="Times New Roman" w:hAnsi="Times New Roman" w:eastAsia="宋体" w:cs="Times New Roman"/>
                      <w:color w:val="auto"/>
                      <w:sz w:val="21"/>
                      <w:szCs w:val="21"/>
                      <w:highlight w:val="none"/>
                      <w:lang w:val="en-US" w:eastAsia="zh-CN" w:bidi="ar-SA"/>
                    </w:rPr>
                    <w:t>侧</w:t>
                  </w:r>
                  <w:r>
                    <w:rPr>
                      <w:rFonts w:hint="eastAsia" w:ascii="Times New Roman" w:hAnsi="Times New Roman" w:cs="Times New Roman"/>
                      <w:color w:val="auto"/>
                      <w:sz w:val="21"/>
                      <w:szCs w:val="21"/>
                      <w:highlight w:val="none"/>
                      <w:lang w:val="en-US" w:eastAsia="zh-CN" w:bidi="ar-SA"/>
                    </w:rPr>
                    <w:t>7m</w:t>
                  </w:r>
                </w:p>
              </w:tc>
              <w:tc>
                <w:tcPr>
                  <w:tcW w:w="1791" w:type="dxa"/>
                  <w:noWrap w:val="0"/>
                  <w:vAlign w:val="center"/>
                </w:tcPr>
                <w:p w14:paraId="380C51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Cs w:val="21"/>
                      <w:highlight w:val="none"/>
                    </w:rPr>
                    <w:t>颗粒物、有机废气</w:t>
                  </w:r>
                </w:p>
              </w:tc>
            </w:tr>
            <w:tr w14:paraId="2AD2C7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311F45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2431" w:type="dxa"/>
                  <w:noWrap w:val="0"/>
                  <w:vAlign w:val="center"/>
                </w:tcPr>
                <w:p w14:paraId="3249C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豪易威登家具有限公司</w:t>
                  </w:r>
                </w:p>
              </w:tc>
              <w:tc>
                <w:tcPr>
                  <w:tcW w:w="1260" w:type="dxa"/>
                  <w:noWrap w:val="0"/>
                  <w:vAlign w:val="center"/>
                </w:tcPr>
                <w:p w14:paraId="3A38CA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default" w:ascii="Times New Roman" w:hAnsi="Times New Roman" w:cs="Times New Roman"/>
                      <w:bCs/>
                      <w:color w:val="auto"/>
                      <w:szCs w:val="21"/>
                      <w:highlight w:val="none"/>
                    </w:rPr>
                    <w:t>家具生产</w:t>
                  </w:r>
                </w:p>
              </w:tc>
              <w:tc>
                <w:tcPr>
                  <w:tcW w:w="1530" w:type="dxa"/>
                  <w:noWrap w:val="0"/>
                  <w:vAlign w:val="center"/>
                </w:tcPr>
                <w:p w14:paraId="59DA74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西</w:t>
                  </w:r>
                  <w:r>
                    <w:rPr>
                      <w:rFonts w:hint="eastAsia" w:ascii="Times New Roman" w:hAnsi="Times New Roman" w:eastAsia="宋体" w:cs="Times New Roman"/>
                      <w:color w:val="auto"/>
                      <w:sz w:val="21"/>
                      <w:szCs w:val="21"/>
                      <w:highlight w:val="none"/>
                      <w:lang w:val="en-US" w:eastAsia="zh-CN" w:bidi="ar-SA"/>
                    </w:rPr>
                    <w:t>侧</w:t>
                  </w:r>
                  <w:r>
                    <w:rPr>
                      <w:rFonts w:hint="eastAsia" w:ascii="Times New Roman" w:hAnsi="Times New Roman" w:cs="Times New Roman"/>
                      <w:color w:val="auto"/>
                      <w:sz w:val="21"/>
                      <w:szCs w:val="21"/>
                      <w:highlight w:val="none"/>
                      <w:lang w:val="en-US" w:eastAsia="zh-CN" w:bidi="ar-SA"/>
                    </w:rPr>
                    <w:t>195m</w:t>
                  </w:r>
                </w:p>
              </w:tc>
              <w:tc>
                <w:tcPr>
                  <w:tcW w:w="1791" w:type="dxa"/>
                  <w:noWrap w:val="0"/>
                  <w:vAlign w:val="center"/>
                </w:tcPr>
                <w:p w14:paraId="3FFB43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Cs w:val="21"/>
                      <w:highlight w:val="none"/>
                    </w:rPr>
                    <w:t>颗粒物、有机废气</w:t>
                  </w:r>
                </w:p>
              </w:tc>
            </w:tr>
            <w:tr w14:paraId="582BF6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56E029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2431" w:type="dxa"/>
                  <w:noWrap w:val="0"/>
                  <w:vAlign w:val="center"/>
                </w:tcPr>
                <w:p w14:paraId="0209C6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云南亚力特工贸有限公司</w:t>
                  </w:r>
                </w:p>
              </w:tc>
              <w:tc>
                <w:tcPr>
                  <w:tcW w:w="1260" w:type="dxa"/>
                  <w:noWrap w:val="0"/>
                  <w:vAlign w:val="center"/>
                </w:tcPr>
                <w:p w14:paraId="530B6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家具生产</w:t>
                  </w:r>
                </w:p>
              </w:tc>
              <w:tc>
                <w:tcPr>
                  <w:tcW w:w="1530" w:type="dxa"/>
                  <w:noWrap w:val="0"/>
                  <w:vAlign w:val="center"/>
                </w:tcPr>
                <w:p w14:paraId="1B541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北侧30m</w:t>
                  </w:r>
                </w:p>
              </w:tc>
              <w:tc>
                <w:tcPr>
                  <w:tcW w:w="1791" w:type="dxa"/>
                  <w:noWrap w:val="0"/>
                  <w:vAlign w:val="center"/>
                </w:tcPr>
                <w:p w14:paraId="55EA54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Cs w:val="21"/>
                      <w:highlight w:val="none"/>
                    </w:rPr>
                    <w:t>颗粒物、有机废气</w:t>
                  </w:r>
                </w:p>
              </w:tc>
            </w:tr>
            <w:tr w14:paraId="20D43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32C356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2431" w:type="dxa"/>
                  <w:noWrap w:val="0"/>
                  <w:vAlign w:val="center"/>
                </w:tcPr>
                <w:p w14:paraId="503BF495">
                  <w:pPr>
                    <w:adjustRightInd w:val="0"/>
                    <w:snapToGrid w:val="0"/>
                    <w:jc w:val="center"/>
                    <w:rPr>
                      <w:rFonts w:hint="eastAsia"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Cs w:val="21"/>
                      <w:highlight w:val="none"/>
                    </w:rPr>
                    <w:t>昆明澳松人造板制造有限公司</w:t>
                  </w:r>
                </w:p>
              </w:tc>
              <w:tc>
                <w:tcPr>
                  <w:tcW w:w="1260" w:type="dxa"/>
                  <w:noWrap w:val="0"/>
                  <w:vAlign w:val="center"/>
                </w:tcPr>
                <w:p w14:paraId="47ECE25D">
                  <w:pPr>
                    <w:adjustRightInd w:val="0"/>
                    <w:snapToGrid w:val="0"/>
                    <w:jc w:val="center"/>
                    <w:rPr>
                      <w:rFonts w:hint="eastAsia" w:ascii="Times New Roman" w:hAnsi="Times New Roman" w:cs="Times New Roman"/>
                      <w:color w:val="auto"/>
                      <w:sz w:val="21"/>
                      <w:szCs w:val="21"/>
                      <w:highlight w:val="none"/>
                      <w:lang w:val="en-US" w:eastAsia="zh-CN" w:bidi="ar-SA"/>
                    </w:rPr>
                  </w:pPr>
                  <w:r>
                    <w:rPr>
                      <w:rFonts w:hint="default" w:ascii="Times New Roman" w:hAnsi="Times New Roman" w:cs="Times New Roman"/>
                      <w:bCs/>
                      <w:color w:val="auto"/>
                      <w:szCs w:val="21"/>
                      <w:highlight w:val="none"/>
                    </w:rPr>
                    <w:t>人造板制造</w:t>
                  </w:r>
                </w:p>
              </w:tc>
              <w:tc>
                <w:tcPr>
                  <w:tcW w:w="1530" w:type="dxa"/>
                  <w:noWrap w:val="0"/>
                  <w:vAlign w:val="center"/>
                </w:tcPr>
                <w:p w14:paraId="7396E3D1">
                  <w:pPr>
                    <w:adjustRightInd w:val="0"/>
                    <w:snapToGrid w:val="0"/>
                    <w:jc w:val="center"/>
                    <w:rPr>
                      <w:rFonts w:hint="eastAsia" w:ascii="Times New Roman" w:hAnsi="Times New Roman" w:cs="Times New Roman"/>
                      <w:color w:val="auto"/>
                      <w:sz w:val="21"/>
                      <w:szCs w:val="21"/>
                      <w:highlight w:val="none"/>
                      <w:lang w:val="en-US" w:eastAsia="zh-CN" w:bidi="ar-SA"/>
                    </w:rPr>
                  </w:pPr>
                  <w:r>
                    <w:rPr>
                      <w:rFonts w:hint="default" w:ascii="Times New Roman" w:hAnsi="Times New Roman" w:cs="Times New Roman"/>
                      <w:bCs/>
                      <w:color w:val="auto"/>
                      <w:szCs w:val="21"/>
                      <w:highlight w:val="none"/>
                    </w:rPr>
                    <w:t>西北侧30m</w:t>
                  </w:r>
                </w:p>
              </w:tc>
              <w:tc>
                <w:tcPr>
                  <w:tcW w:w="1791" w:type="dxa"/>
                  <w:noWrap w:val="0"/>
                  <w:vAlign w:val="center"/>
                </w:tcPr>
                <w:p w14:paraId="68BDA603">
                  <w:pPr>
                    <w:adjustRightInd w:val="0"/>
                    <w:snapToGrid w:val="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Cs w:val="21"/>
                      <w:highlight w:val="none"/>
                    </w:rPr>
                    <w:t>颗粒物、有机废气</w:t>
                  </w:r>
                </w:p>
              </w:tc>
            </w:tr>
            <w:tr w14:paraId="0C4D32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594A6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2431" w:type="dxa"/>
                  <w:noWrap w:val="0"/>
                  <w:vAlign w:val="center"/>
                </w:tcPr>
                <w:p w14:paraId="123978C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云南丛林家具有限公司</w:t>
                  </w:r>
                </w:p>
              </w:tc>
              <w:tc>
                <w:tcPr>
                  <w:tcW w:w="1260" w:type="dxa"/>
                  <w:noWrap w:val="0"/>
                  <w:vAlign w:val="center"/>
                </w:tcPr>
                <w:p w14:paraId="7E23223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家具生产</w:t>
                  </w:r>
                </w:p>
              </w:tc>
              <w:tc>
                <w:tcPr>
                  <w:tcW w:w="1530" w:type="dxa"/>
                  <w:noWrap w:val="0"/>
                  <w:vAlign w:val="center"/>
                </w:tcPr>
                <w:p w14:paraId="496A1ED2">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西北侧</w:t>
                  </w:r>
                  <w:r>
                    <w:rPr>
                      <w:rFonts w:hint="eastAsia" w:ascii="Times New Roman" w:hAnsi="Times New Roman" w:cs="Times New Roman"/>
                      <w:bCs/>
                      <w:color w:val="auto"/>
                      <w:szCs w:val="21"/>
                      <w:highlight w:val="none"/>
                      <w:lang w:val="en-US" w:eastAsia="zh-CN"/>
                    </w:rPr>
                    <w:t>80</w:t>
                  </w:r>
                  <w:r>
                    <w:rPr>
                      <w:rFonts w:hint="default" w:ascii="Times New Roman" w:hAnsi="Times New Roman" w:cs="Times New Roman"/>
                      <w:bCs/>
                      <w:color w:val="auto"/>
                      <w:szCs w:val="21"/>
                      <w:highlight w:val="none"/>
                    </w:rPr>
                    <w:t>m</w:t>
                  </w:r>
                </w:p>
              </w:tc>
              <w:tc>
                <w:tcPr>
                  <w:tcW w:w="1791" w:type="dxa"/>
                  <w:noWrap w:val="0"/>
                  <w:vAlign w:val="center"/>
                </w:tcPr>
                <w:p w14:paraId="2FD35E8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颗粒物、有机废气</w:t>
                  </w:r>
                </w:p>
              </w:tc>
            </w:tr>
            <w:tr w14:paraId="54BC95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04BF91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2431" w:type="dxa"/>
                  <w:noWrap w:val="0"/>
                  <w:vAlign w:val="center"/>
                </w:tcPr>
                <w:p w14:paraId="06DC080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昆明耘宏工业气体有限公司</w:t>
                  </w:r>
                </w:p>
              </w:tc>
              <w:tc>
                <w:tcPr>
                  <w:tcW w:w="1260" w:type="dxa"/>
                  <w:noWrap w:val="0"/>
                  <w:vAlign w:val="center"/>
                </w:tcPr>
                <w:p w14:paraId="22B7074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气体工业</w:t>
                  </w:r>
                </w:p>
              </w:tc>
              <w:tc>
                <w:tcPr>
                  <w:tcW w:w="1530" w:type="dxa"/>
                  <w:noWrap w:val="0"/>
                  <w:vAlign w:val="center"/>
                </w:tcPr>
                <w:p w14:paraId="6AF6115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西北侧</w:t>
                  </w:r>
                  <w:r>
                    <w:rPr>
                      <w:rFonts w:hint="eastAsia" w:ascii="Times New Roman" w:hAnsi="Times New Roman" w:cs="Times New Roman"/>
                      <w:bCs/>
                      <w:color w:val="auto"/>
                      <w:szCs w:val="21"/>
                      <w:highlight w:val="none"/>
                      <w:lang w:val="en-US" w:eastAsia="zh-CN"/>
                    </w:rPr>
                    <w:t>30</w:t>
                  </w:r>
                  <w:r>
                    <w:rPr>
                      <w:rFonts w:hint="default" w:ascii="Times New Roman" w:hAnsi="Times New Roman" w:cs="Times New Roman"/>
                      <w:bCs/>
                      <w:color w:val="auto"/>
                      <w:szCs w:val="21"/>
                      <w:highlight w:val="none"/>
                    </w:rPr>
                    <w:t>m</w:t>
                  </w:r>
                </w:p>
              </w:tc>
              <w:tc>
                <w:tcPr>
                  <w:tcW w:w="1791" w:type="dxa"/>
                  <w:noWrap w:val="0"/>
                  <w:vAlign w:val="center"/>
                </w:tcPr>
                <w:p w14:paraId="4345DD6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r>
            <w:tr w14:paraId="473E26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2F999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w:t>
                  </w:r>
                </w:p>
              </w:tc>
              <w:tc>
                <w:tcPr>
                  <w:tcW w:w="2431" w:type="dxa"/>
                  <w:noWrap w:val="0"/>
                  <w:vAlign w:val="center"/>
                </w:tcPr>
                <w:p w14:paraId="368A65C9">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云南省昆明市红强家具有限公司</w:t>
                  </w:r>
                </w:p>
              </w:tc>
              <w:tc>
                <w:tcPr>
                  <w:tcW w:w="1260" w:type="dxa"/>
                  <w:noWrap w:val="0"/>
                  <w:vAlign w:val="center"/>
                </w:tcPr>
                <w:p w14:paraId="2C86094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家具生产</w:t>
                  </w:r>
                </w:p>
              </w:tc>
              <w:tc>
                <w:tcPr>
                  <w:tcW w:w="1530" w:type="dxa"/>
                  <w:noWrap w:val="0"/>
                  <w:vAlign w:val="center"/>
                </w:tcPr>
                <w:p w14:paraId="19400644">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eastAsia="zh-CN"/>
                    </w:rPr>
                    <w:t>东北侧</w:t>
                  </w:r>
                  <w:r>
                    <w:rPr>
                      <w:rFonts w:hint="eastAsia" w:ascii="Times New Roman" w:hAnsi="Times New Roman" w:cs="Times New Roman"/>
                      <w:bCs/>
                      <w:color w:val="auto"/>
                      <w:szCs w:val="21"/>
                      <w:highlight w:val="none"/>
                      <w:lang w:val="en-US" w:eastAsia="zh-CN"/>
                    </w:rPr>
                    <w:t>80m</w:t>
                  </w:r>
                </w:p>
              </w:tc>
              <w:tc>
                <w:tcPr>
                  <w:tcW w:w="1791" w:type="dxa"/>
                  <w:noWrap w:val="0"/>
                  <w:vAlign w:val="center"/>
                </w:tcPr>
                <w:p w14:paraId="2A9CA9B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颗粒物、有机废气</w:t>
                  </w:r>
                </w:p>
              </w:tc>
            </w:tr>
            <w:tr w14:paraId="5312A4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30D83E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2431" w:type="dxa"/>
                  <w:noWrap w:val="0"/>
                  <w:vAlign w:val="center"/>
                </w:tcPr>
                <w:p w14:paraId="07907DF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云南国宣实业发展有限公司</w:t>
                  </w:r>
                </w:p>
              </w:tc>
              <w:tc>
                <w:tcPr>
                  <w:tcW w:w="1260" w:type="dxa"/>
                  <w:noWrap w:val="0"/>
                  <w:vAlign w:val="center"/>
                </w:tcPr>
                <w:p w14:paraId="7368325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教学设备</w:t>
                  </w:r>
                </w:p>
              </w:tc>
              <w:tc>
                <w:tcPr>
                  <w:tcW w:w="1530" w:type="dxa"/>
                  <w:noWrap w:val="0"/>
                  <w:vAlign w:val="center"/>
                </w:tcPr>
                <w:p w14:paraId="238EADCA">
                  <w:pPr>
                    <w:adjustRightInd w:val="0"/>
                    <w:snapToGrid w:val="0"/>
                    <w:jc w:val="center"/>
                    <w:rPr>
                      <w:rFonts w:hint="default" w:ascii="Times New Roman" w:hAnsi="Times New Roman" w:cs="Times New Roman"/>
                      <w:bCs/>
                      <w:color w:val="auto"/>
                      <w:szCs w:val="21"/>
                      <w:highlight w:val="none"/>
                    </w:rPr>
                  </w:pPr>
                  <w:r>
                    <w:rPr>
                      <w:rFonts w:hint="eastAsia" w:ascii="Times New Roman" w:hAnsi="Times New Roman" w:cs="Times New Roman"/>
                      <w:bCs/>
                      <w:color w:val="auto"/>
                      <w:szCs w:val="21"/>
                      <w:highlight w:val="none"/>
                      <w:lang w:eastAsia="zh-CN"/>
                    </w:rPr>
                    <w:t>西南侧</w:t>
                  </w:r>
                  <w:r>
                    <w:rPr>
                      <w:rFonts w:hint="eastAsia"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rPr>
                    <w:t>5m</w:t>
                  </w:r>
                </w:p>
              </w:tc>
              <w:tc>
                <w:tcPr>
                  <w:tcW w:w="1791" w:type="dxa"/>
                  <w:noWrap w:val="0"/>
                  <w:vAlign w:val="center"/>
                </w:tcPr>
                <w:p w14:paraId="574BBBF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r>
            <w:tr w14:paraId="2F1EEE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15867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2431" w:type="dxa"/>
                  <w:noWrap w:val="0"/>
                  <w:vAlign w:val="center"/>
                </w:tcPr>
                <w:p w14:paraId="5EAF94D7">
                  <w:pPr>
                    <w:adjustRightInd w:val="0"/>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云南国春教学设备制造有限公司</w:t>
                  </w:r>
                </w:p>
              </w:tc>
              <w:tc>
                <w:tcPr>
                  <w:tcW w:w="1260" w:type="dxa"/>
                  <w:noWrap w:val="0"/>
                  <w:vAlign w:val="center"/>
                </w:tcPr>
                <w:p w14:paraId="46AA9000">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办公用品、教学设备制造</w:t>
                  </w:r>
                </w:p>
              </w:tc>
              <w:tc>
                <w:tcPr>
                  <w:tcW w:w="1530" w:type="dxa"/>
                  <w:noWrap w:val="0"/>
                  <w:vAlign w:val="center"/>
                </w:tcPr>
                <w:p w14:paraId="09A736D2">
                  <w:pPr>
                    <w:adjustRightInd w:val="0"/>
                    <w:snapToGrid w:val="0"/>
                    <w:jc w:val="center"/>
                    <w:rPr>
                      <w:rFonts w:hint="default" w:ascii="Times New Roman" w:hAnsi="Times New Roman" w:cs="Times New Roman"/>
                      <w:bCs/>
                      <w:color w:val="auto"/>
                      <w:szCs w:val="21"/>
                      <w:highlight w:val="none"/>
                    </w:rPr>
                  </w:pPr>
                  <w:r>
                    <w:rPr>
                      <w:rFonts w:hint="eastAsia" w:ascii="Times New Roman" w:hAnsi="Times New Roman" w:cs="Times New Roman"/>
                      <w:bCs/>
                      <w:color w:val="auto"/>
                      <w:szCs w:val="21"/>
                      <w:highlight w:val="none"/>
                      <w:lang w:eastAsia="zh-CN"/>
                    </w:rPr>
                    <w:t>西南侧</w:t>
                  </w:r>
                  <w:r>
                    <w:rPr>
                      <w:rFonts w:hint="eastAsia" w:ascii="Times New Roman" w:hAnsi="Times New Roman" w:cs="Times New Roman"/>
                      <w:bCs/>
                      <w:color w:val="auto"/>
                      <w:szCs w:val="21"/>
                      <w:highlight w:val="none"/>
                      <w:lang w:val="en-US" w:eastAsia="zh-CN"/>
                    </w:rPr>
                    <w:t>16</w:t>
                  </w:r>
                  <w:r>
                    <w:rPr>
                      <w:rFonts w:hint="default" w:ascii="Times New Roman" w:hAnsi="Times New Roman" w:cs="Times New Roman"/>
                      <w:bCs/>
                      <w:color w:val="auto"/>
                      <w:szCs w:val="21"/>
                      <w:highlight w:val="none"/>
                    </w:rPr>
                    <w:t>5m</w:t>
                  </w:r>
                </w:p>
              </w:tc>
              <w:tc>
                <w:tcPr>
                  <w:tcW w:w="1791" w:type="dxa"/>
                  <w:noWrap w:val="0"/>
                  <w:vAlign w:val="center"/>
                </w:tcPr>
                <w:p w14:paraId="6FFBD32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颗粒物、有机废气</w:t>
                  </w:r>
                </w:p>
              </w:tc>
            </w:tr>
            <w:tr w14:paraId="2664A0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70F813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2431" w:type="dxa"/>
                  <w:noWrap w:val="0"/>
                  <w:vAlign w:val="center"/>
                </w:tcPr>
                <w:p w14:paraId="21216ABA">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世海建材木质研究基地</w:t>
                  </w:r>
                </w:p>
              </w:tc>
              <w:tc>
                <w:tcPr>
                  <w:tcW w:w="1260" w:type="dxa"/>
                  <w:noWrap w:val="0"/>
                  <w:vAlign w:val="center"/>
                </w:tcPr>
                <w:p w14:paraId="4A6752F0">
                  <w:pPr>
                    <w:adjustRightInd w:val="0"/>
                    <w:snapToGrid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建材研究</w:t>
                  </w:r>
                </w:p>
              </w:tc>
              <w:tc>
                <w:tcPr>
                  <w:tcW w:w="1530" w:type="dxa"/>
                  <w:noWrap w:val="0"/>
                  <w:vAlign w:val="center"/>
                </w:tcPr>
                <w:p w14:paraId="7BE8BA3D">
                  <w:pPr>
                    <w:adjustRightInd w:val="0"/>
                    <w:snapToGrid w:val="0"/>
                    <w:jc w:val="center"/>
                    <w:rPr>
                      <w:rFonts w:hint="default" w:ascii="Times New Roman" w:hAnsi="Times New Roman" w:cs="Times New Roman"/>
                      <w:bCs/>
                      <w:color w:val="auto"/>
                      <w:szCs w:val="21"/>
                      <w:highlight w:val="none"/>
                    </w:rPr>
                  </w:pPr>
                  <w:r>
                    <w:rPr>
                      <w:rFonts w:hint="eastAsia" w:ascii="Times New Roman" w:hAnsi="Times New Roman" w:cs="Times New Roman"/>
                      <w:bCs/>
                      <w:color w:val="auto"/>
                      <w:szCs w:val="21"/>
                      <w:highlight w:val="none"/>
                      <w:lang w:eastAsia="zh-CN"/>
                    </w:rPr>
                    <w:t>西南侧</w:t>
                  </w:r>
                  <w:r>
                    <w:rPr>
                      <w:rFonts w:hint="eastAsia" w:ascii="Times New Roman" w:hAnsi="Times New Roman" w:cs="Times New Roman"/>
                      <w:bCs/>
                      <w:color w:val="auto"/>
                      <w:szCs w:val="21"/>
                      <w:highlight w:val="none"/>
                      <w:lang w:val="en-US" w:eastAsia="zh-CN"/>
                    </w:rPr>
                    <w:t>220</w:t>
                  </w:r>
                  <w:r>
                    <w:rPr>
                      <w:rFonts w:hint="default" w:ascii="Times New Roman" w:hAnsi="Times New Roman" w:cs="Times New Roman"/>
                      <w:bCs/>
                      <w:color w:val="auto"/>
                      <w:szCs w:val="21"/>
                      <w:highlight w:val="none"/>
                    </w:rPr>
                    <w:t>m</w:t>
                  </w:r>
                </w:p>
              </w:tc>
              <w:tc>
                <w:tcPr>
                  <w:tcW w:w="1791" w:type="dxa"/>
                  <w:noWrap w:val="0"/>
                  <w:vAlign w:val="center"/>
                </w:tcPr>
                <w:p w14:paraId="21A4903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颗粒物、有机废气</w:t>
                  </w:r>
                </w:p>
              </w:tc>
            </w:tr>
            <w:tr w14:paraId="6976EF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467" w:type="dxa"/>
                  <w:noWrap w:val="0"/>
                  <w:vAlign w:val="center"/>
                </w:tcPr>
                <w:p w14:paraId="776852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w:t>
                  </w:r>
                </w:p>
              </w:tc>
              <w:tc>
                <w:tcPr>
                  <w:tcW w:w="2431" w:type="dxa"/>
                  <w:noWrap w:val="0"/>
                  <w:vAlign w:val="center"/>
                </w:tcPr>
                <w:p w14:paraId="21F9CF74">
                  <w:pPr>
                    <w:adjustRightInd w:val="0"/>
                    <w:snapToGrid w:val="0"/>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云南钎艺铝业有限公司</w:t>
                  </w:r>
                </w:p>
              </w:tc>
              <w:tc>
                <w:tcPr>
                  <w:tcW w:w="1260" w:type="dxa"/>
                  <w:noWrap w:val="0"/>
                  <w:vAlign w:val="center"/>
                </w:tcPr>
                <w:p w14:paraId="25C9F1D7">
                  <w:pPr>
                    <w:adjustRightInd w:val="0"/>
                    <w:snapToGrid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喷涂铝板加工</w:t>
                  </w:r>
                </w:p>
              </w:tc>
              <w:tc>
                <w:tcPr>
                  <w:tcW w:w="1530" w:type="dxa"/>
                  <w:noWrap w:val="0"/>
                  <w:vAlign w:val="center"/>
                </w:tcPr>
                <w:p w14:paraId="137372A4">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eastAsia="zh-CN"/>
                    </w:rPr>
                    <w:t>东南侧</w:t>
                  </w:r>
                  <w:r>
                    <w:rPr>
                      <w:rFonts w:hint="eastAsia" w:ascii="Times New Roman" w:hAnsi="Times New Roman" w:cs="Times New Roman"/>
                      <w:bCs/>
                      <w:color w:val="auto"/>
                      <w:szCs w:val="21"/>
                      <w:highlight w:val="none"/>
                      <w:lang w:val="en-US" w:eastAsia="zh-CN"/>
                    </w:rPr>
                    <w:t>70m</w:t>
                  </w:r>
                </w:p>
              </w:tc>
              <w:tc>
                <w:tcPr>
                  <w:tcW w:w="1791" w:type="dxa"/>
                  <w:noWrap w:val="0"/>
                  <w:vAlign w:val="center"/>
                </w:tcPr>
                <w:p w14:paraId="165FB5FC">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颗粒物</w:t>
                  </w:r>
                  <w:r>
                    <w:rPr>
                      <w:rFonts w:hint="default" w:ascii="Times New Roman" w:hAnsi="Times New Roman" w:eastAsia="宋体" w:cs="Times New Roman"/>
                      <w:color w:val="auto"/>
                      <w:szCs w:val="21"/>
                      <w:highlight w:val="none"/>
                    </w:rPr>
                    <w:t>、SO</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、NO</w:t>
                  </w:r>
                  <w:r>
                    <w:rPr>
                      <w:rFonts w:hint="default" w:ascii="Times New Roman" w:hAnsi="Times New Roman" w:eastAsia="宋体" w:cs="Times New Roman"/>
                      <w:color w:val="auto"/>
                      <w:szCs w:val="21"/>
                      <w:highlight w:val="none"/>
                      <w:vertAlign w:val="subscript"/>
                    </w:rPr>
                    <w:t>X</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甲苯、二甲苯、甲醛、TVOC</w:t>
                  </w:r>
                </w:p>
              </w:tc>
            </w:tr>
          </w:tbl>
          <w:p w14:paraId="561B16FA">
            <w:pPr>
              <w:spacing w:before="40" w:line="359" w:lineRule="auto"/>
              <w:ind w:left="19" w:right="104" w:firstLine="479"/>
              <w:rPr>
                <w:rFonts w:hint="default" w:ascii="Times New Roman" w:hAnsi="Times New Roman" w:eastAsia="宋体" w:cs="Times New Roman"/>
                <w:color w:val="auto"/>
                <w:kern w:val="0"/>
                <w:szCs w:val="21"/>
                <w:highlight w:val="none"/>
              </w:rPr>
            </w:pPr>
            <w:r>
              <w:rPr>
                <w:rFonts w:ascii="宋体" w:hAnsi="宋体" w:eastAsia="宋体" w:cs="宋体"/>
                <w:color w:val="auto"/>
                <w:spacing w:val="-1"/>
                <w:sz w:val="24"/>
                <w:szCs w:val="24"/>
                <w:highlight w:val="none"/>
              </w:rPr>
              <w:t>从对项目周边企业情况调查可知，周围的</w:t>
            </w:r>
            <w:r>
              <w:rPr>
                <w:rFonts w:ascii="宋体" w:hAnsi="宋体" w:eastAsia="宋体" w:cs="宋体"/>
                <w:color w:val="auto"/>
                <w:spacing w:val="-10"/>
                <w:sz w:val="24"/>
                <w:szCs w:val="24"/>
                <w:highlight w:val="none"/>
              </w:rPr>
              <w:t>企业对本</w:t>
            </w:r>
            <w:r>
              <w:rPr>
                <w:rFonts w:ascii="宋体" w:hAnsi="宋体" w:eastAsia="宋体" w:cs="宋体"/>
                <w:color w:val="auto"/>
                <w:spacing w:val="-9"/>
                <w:sz w:val="24"/>
                <w:szCs w:val="24"/>
                <w:highlight w:val="none"/>
              </w:rPr>
              <w:t>项</w:t>
            </w:r>
            <w:r>
              <w:rPr>
                <w:rFonts w:ascii="宋体" w:hAnsi="宋体" w:eastAsia="宋体" w:cs="宋体"/>
                <w:color w:val="auto"/>
                <w:spacing w:val="-5"/>
                <w:sz w:val="24"/>
                <w:szCs w:val="24"/>
                <w:highlight w:val="none"/>
              </w:rPr>
              <w:t>目无制约性因素，</w:t>
            </w:r>
            <w:r>
              <w:rPr>
                <w:rFonts w:hint="eastAsia" w:ascii="宋体" w:hAnsi="宋体" w:eastAsia="宋体" w:cs="宋体"/>
                <w:color w:val="auto"/>
                <w:spacing w:val="-5"/>
                <w:sz w:val="24"/>
                <w:szCs w:val="24"/>
                <w:highlight w:val="none"/>
                <w:lang w:eastAsia="zh-CN"/>
              </w:rPr>
              <w:t>本</w:t>
            </w:r>
            <w:r>
              <w:rPr>
                <w:rFonts w:hint="default" w:ascii="Times New Roman" w:hAnsi="Times New Roman" w:eastAsia="宋体" w:cs="Times New Roman"/>
                <w:color w:val="auto"/>
                <w:sz w:val="24"/>
                <w:szCs w:val="22"/>
                <w:highlight w:val="none"/>
                <w:shd w:val="clear" w:color="auto" w:fill="auto"/>
                <w:lang w:val="en-US" w:eastAsia="zh-CN"/>
              </w:rPr>
              <w:t>项目产</w:t>
            </w:r>
            <w:r>
              <w:rPr>
                <w:rFonts w:hint="eastAsia" w:cs="Times New Roman"/>
                <w:color w:val="auto"/>
                <w:sz w:val="24"/>
                <w:szCs w:val="22"/>
                <w:highlight w:val="none"/>
                <w:shd w:val="clear" w:color="auto" w:fill="auto"/>
                <w:lang w:val="en-US" w:eastAsia="zh-CN"/>
              </w:rPr>
              <w:t>生的</w:t>
            </w:r>
            <w:r>
              <w:rPr>
                <w:rFonts w:hint="default" w:ascii="Times New Roman" w:hAnsi="Times New Roman" w:eastAsia="宋体" w:cs="Times New Roman"/>
                <w:color w:val="auto"/>
                <w:sz w:val="24"/>
                <w:szCs w:val="22"/>
                <w:highlight w:val="none"/>
                <w:shd w:val="clear" w:color="auto" w:fill="auto"/>
                <w:lang w:val="en-US" w:eastAsia="zh-CN"/>
              </w:rPr>
              <w:t>污染物是废气、废水、噪声和固废，经</w:t>
            </w:r>
            <w:r>
              <w:rPr>
                <w:rFonts w:hint="eastAsia" w:ascii="Times New Roman" w:hAnsi="Times New Roman" w:eastAsia="宋体" w:cs="Times New Roman"/>
                <w:color w:val="auto"/>
                <w:sz w:val="24"/>
                <w:szCs w:val="22"/>
                <w:highlight w:val="none"/>
                <w:shd w:val="clear" w:color="auto" w:fill="auto"/>
                <w:lang w:val="en-US" w:eastAsia="zh-CN"/>
              </w:rPr>
              <w:t>采取</w:t>
            </w:r>
            <w:r>
              <w:rPr>
                <w:rFonts w:hint="default" w:ascii="Times New Roman" w:hAnsi="Times New Roman" w:eastAsia="宋体" w:cs="Times New Roman"/>
                <w:color w:val="auto"/>
                <w:sz w:val="24"/>
                <w:szCs w:val="22"/>
                <w:highlight w:val="none"/>
                <w:shd w:val="clear" w:color="auto" w:fill="auto"/>
                <w:lang w:val="en-US" w:eastAsia="zh-CN"/>
              </w:rPr>
              <w:t>环评提出的相应环保措施后，</w:t>
            </w:r>
            <w:r>
              <w:rPr>
                <w:rFonts w:hint="eastAsia" w:eastAsia="宋体" w:cs="Times New Roman"/>
                <w:color w:val="auto"/>
                <w:sz w:val="24"/>
                <w:szCs w:val="22"/>
                <w:highlight w:val="none"/>
                <w:shd w:val="clear" w:color="auto" w:fill="auto"/>
                <w:lang w:val="en-US" w:eastAsia="zh-CN"/>
              </w:rPr>
              <w:t>废气和噪声</w:t>
            </w:r>
            <w:r>
              <w:rPr>
                <w:rFonts w:hint="default" w:ascii="Times New Roman" w:hAnsi="Times New Roman" w:eastAsia="宋体" w:cs="Times New Roman"/>
                <w:color w:val="auto"/>
                <w:sz w:val="24"/>
                <w:szCs w:val="22"/>
                <w:highlight w:val="none"/>
                <w:shd w:val="clear" w:color="auto" w:fill="auto"/>
                <w:lang w:val="en-US" w:eastAsia="zh-CN"/>
              </w:rPr>
              <w:t>可做到达标排放，</w:t>
            </w:r>
            <w:r>
              <w:rPr>
                <w:rFonts w:hint="eastAsia" w:eastAsia="宋体" w:cs="Times New Roman"/>
                <w:color w:val="auto"/>
                <w:sz w:val="24"/>
                <w:szCs w:val="22"/>
                <w:highlight w:val="none"/>
                <w:shd w:val="clear" w:color="auto" w:fill="auto"/>
                <w:lang w:val="en-US" w:eastAsia="zh-CN"/>
              </w:rPr>
              <w:t>废水不外排，</w:t>
            </w:r>
            <w:r>
              <w:rPr>
                <w:rFonts w:hint="eastAsia" w:ascii="Times New Roman" w:hAnsi="Times New Roman" w:eastAsia="宋体" w:cs="宋体"/>
                <w:color w:val="auto"/>
                <w:kern w:val="2"/>
                <w:sz w:val="24"/>
                <w:szCs w:val="24"/>
                <w:highlight w:val="none"/>
                <w:lang w:val="en-US" w:eastAsia="zh-CN" w:bidi="ar"/>
              </w:rPr>
              <w:t>固体废物</w:t>
            </w:r>
            <w:r>
              <w:rPr>
                <w:rFonts w:hint="default" w:ascii="Times New Roman" w:hAnsi="Times New Roman" w:eastAsia="宋体" w:cs="Times New Roman"/>
                <w:color w:val="auto"/>
                <w:kern w:val="2"/>
                <w:sz w:val="24"/>
                <w:szCs w:val="24"/>
                <w:highlight w:val="none"/>
                <w:lang w:val="en-US" w:eastAsia="zh-CN" w:bidi="ar"/>
              </w:rPr>
              <w:t>10%</w:t>
            </w:r>
            <w:r>
              <w:rPr>
                <w:rFonts w:hint="eastAsia" w:ascii="Times New Roman" w:hAnsi="Times New Roman" w:eastAsia="宋体" w:cs="宋体"/>
                <w:color w:val="auto"/>
                <w:kern w:val="2"/>
                <w:sz w:val="24"/>
                <w:szCs w:val="24"/>
                <w:highlight w:val="none"/>
                <w:lang w:val="en-US" w:eastAsia="zh-CN" w:bidi="ar"/>
              </w:rPr>
              <w:t>合</w:t>
            </w:r>
            <w:r>
              <w:rPr>
                <w:rFonts w:hint="eastAsia" w:ascii="宋体" w:hAnsi="宋体" w:eastAsia="宋体" w:cs="宋体"/>
                <w:color w:val="auto"/>
                <w:spacing w:val="-1"/>
                <w:sz w:val="24"/>
                <w:szCs w:val="24"/>
                <w:highlight w:val="none"/>
                <w:lang w:val="en-US" w:eastAsia="zh-CN"/>
              </w:rPr>
              <w:t>理处置，</w:t>
            </w:r>
            <w:r>
              <w:rPr>
                <w:rFonts w:hint="default" w:ascii="宋体" w:hAnsi="宋体" w:eastAsia="宋体" w:cs="宋体"/>
                <w:color w:val="auto"/>
                <w:spacing w:val="-1"/>
                <w:sz w:val="24"/>
                <w:szCs w:val="24"/>
                <w:highlight w:val="none"/>
                <w:lang w:val="en-US" w:eastAsia="zh-CN"/>
              </w:rPr>
              <w:t>对保护目标影响较小，</w:t>
            </w:r>
            <w:r>
              <w:rPr>
                <w:rFonts w:ascii="宋体" w:hAnsi="宋体" w:eastAsia="宋体" w:cs="宋体"/>
                <w:color w:val="auto"/>
                <w:spacing w:val="-1"/>
                <w:sz w:val="24"/>
                <w:szCs w:val="24"/>
                <w:highlight w:val="none"/>
              </w:rPr>
              <w:t>因此，项目与周边环境是相容的。</w:t>
            </w:r>
          </w:p>
        </w:tc>
      </w:tr>
    </w:tbl>
    <w:p w14:paraId="3F212671">
      <w:pPr>
        <w:spacing w:line="360" w:lineRule="auto"/>
        <w:outlineLvl w:val="9"/>
        <w:rPr>
          <w:rFonts w:hint="default" w:ascii="Times New Roman" w:hAnsi="Times New Roman" w:eastAsia="宋体" w:cs="Times New Roman"/>
          <w:color w:val="auto"/>
          <w:sz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FF58DC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8" w:name="_Toc22458"/>
      <w:bookmarkStart w:id="19" w:name="_Toc23966"/>
      <w:r>
        <w:rPr>
          <w:rFonts w:hint="default" w:ascii="Times New Roman" w:hAnsi="Times New Roman" w:eastAsia="宋体" w:cs="Times New Roman"/>
          <w:b/>
          <w:bCs/>
          <w:snapToGrid w:val="0"/>
          <w:color w:val="auto"/>
          <w:sz w:val="30"/>
          <w:szCs w:val="30"/>
          <w:highlight w:val="none"/>
        </w:rPr>
        <w:t>二、建设项目工程分析</w:t>
      </w:r>
      <w:bookmarkEnd w:id="18"/>
      <w:bookmarkEnd w:id="19"/>
    </w:p>
    <w:tbl>
      <w:tblPr>
        <w:tblStyle w:val="25"/>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0"/>
        <w:gridCol w:w="8540"/>
      </w:tblGrid>
      <w:tr w14:paraId="45C1F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4" w:hRule="atLeast"/>
          <w:jc w:val="center"/>
        </w:trPr>
        <w:tc>
          <w:tcPr>
            <w:tcW w:w="520" w:type="dxa"/>
            <w:vAlign w:val="center"/>
          </w:tcPr>
          <w:p w14:paraId="2C44ADDF">
            <w:pPr>
              <w:pStyle w:val="22"/>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540" w:type="dxa"/>
            <w:vAlign w:val="top"/>
          </w:tcPr>
          <w:p w14:paraId="17C47B9B">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1、项目建设背景</w:t>
            </w:r>
          </w:p>
          <w:p w14:paraId="6030F8EB">
            <w:pPr>
              <w:pStyle w:val="23"/>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right="0" w:rightChars="0" w:firstLine="480" w:firstLineChars="200"/>
              <w:jc w:val="both"/>
              <w:textAlignment w:val="auto"/>
              <w:outlineLvl w:val="9"/>
              <w:rPr>
                <w:rFonts w:hint="default"/>
                <w:color w:val="auto"/>
                <w:sz w:val="24"/>
                <w:szCs w:val="24"/>
                <w:highlight w:val="none"/>
                <w:lang w:val="en-US" w:eastAsia="zh-CN"/>
              </w:rPr>
            </w:pPr>
            <w:r>
              <w:rPr>
                <w:rFonts w:hint="eastAsia" w:cs="Times New Roman"/>
                <w:color w:val="auto"/>
                <w:sz w:val="24"/>
                <w:szCs w:val="24"/>
                <w:highlight w:val="none"/>
                <w:lang w:val="en-US" w:eastAsia="zh-CN"/>
              </w:rPr>
              <w:t>昆明日盛玻璃制造有限公司于2021年11月在寻甸特色产业园区羊街片区建成昆明日盛玻璃制造有限公司年产80万m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门窗钢化玻璃、磨砂玻璃、中空玻璃生产线及配套设施建设项目（下称原项目）。</w:t>
            </w:r>
            <w:r>
              <w:rPr>
                <w:rFonts w:hint="eastAsia" w:ascii="Times New Roman" w:hAnsi="Times New Roman" w:eastAsia="宋体" w:cs="Times New Roman"/>
                <w:color w:val="auto"/>
                <w:sz w:val="24"/>
                <w:szCs w:val="22"/>
                <w:highlight w:val="none"/>
                <w:lang w:val="en-US" w:eastAsia="zh-CN" w:bidi="ar"/>
              </w:rPr>
              <w:t>为满足市场需求，</w:t>
            </w:r>
            <w:r>
              <w:rPr>
                <w:rFonts w:hint="eastAsia" w:cs="Times New Roman"/>
                <w:color w:val="auto"/>
                <w:sz w:val="24"/>
                <w:szCs w:val="24"/>
                <w:highlight w:val="none"/>
                <w:lang w:val="en-US" w:eastAsia="zh-CN"/>
              </w:rPr>
              <w:t>建设单位</w:t>
            </w:r>
            <w:r>
              <w:rPr>
                <w:rFonts w:hint="eastAsia" w:ascii="Times New Roman" w:hAnsi="Times New Roman" w:eastAsia="宋体" w:cs="Times New Roman"/>
                <w:color w:val="auto"/>
                <w:sz w:val="24"/>
                <w:szCs w:val="24"/>
                <w:highlight w:val="none"/>
                <w:lang w:eastAsia="zh-CN"/>
              </w:rPr>
              <w:t>决定</w:t>
            </w:r>
            <w:r>
              <w:rPr>
                <w:rFonts w:hint="eastAsia" w:eastAsia="宋体" w:cs="Times New Roman"/>
                <w:color w:val="auto"/>
                <w:sz w:val="24"/>
                <w:szCs w:val="24"/>
                <w:highlight w:val="none"/>
                <w:lang w:val="en-US" w:eastAsia="zh-CN"/>
              </w:rPr>
              <w:t>在原有厂址内建设昆明日盛玻璃制造有限公司</w:t>
            </w:r>
            <w:r>
              <w:rPr>
                <w:rFonts w:hint="eastAsia" w:eastAsia="宋体" w:cs="Times New Roman"/>
                <w:b/>
                <w:bCs/>
                <w:color w:val="auto"/>
                <w:sz w:val="24"/>
                <w:szCs w:val="24"/>
                <w:highlight w:val="none"/>
                <w:lang w:val="en-US" w:eastAsia="zh-CN"/>
              </w:rPr>
              <w:t>玉砂玻璃、防火玻璃</w:t>
            </w:r>
            <w:r>
              <w:rPr>
                <w:rFonts w:hint="eastAsia" w:cs="Times New Roman"/>
                <w:b/>
                <w:bCs/>
                <w:color w:val="auto"/>
                <w:sz w:val="24"/>
                <w:szCs w:val="24"/>
                <w:highlight w:val="none"/>
                <w:lang w:val="en-US" w:eastAsia="zh-CN"/>
              </w:rPr>
              <w:t>（特种）</w:t>
            </w:r>
            <w:r>
              <w:rPr>
                <w:rFonts w:hint="eastAsia" w:eastAsia="宋体" w:cs="Times New Roman"/>
                <w:b/>
                <w:bCs/>
                <w:color w:val="auto"/>
                <w:sz w:val="24"/>
                <w:szCs w:val="24"/>
                <w:highlight w:val="none"/>
                <w:lang w:val="en-US" w:eastAsia="zh-CN"/>
              </w:rPr>
              <w:t>、钢化玻璃</w:t>
            </w:r>
            <w:r>
              <w:rPr>
                <w:rFonts w:hint="eastAsia" w:cs="Times New Roman"/>
                <w:b/>
                <w:bCs/>
                <w:color w:val="auto"/>
                <w:sz w:val="24"/>
                <w:szCs w:val="24"/>
                <w:highlight w:val="none"/>
                <w:lang w:val="en-US" w:eastAsia="zh-CN"/>
              </w:rPr>
              <w:t>（特种）</w:t>
            </w:r>
            <w:r>
              <w:rPr>
                <w:rFonts w:hint="eastAsia" w:eastAsia="宋体" w:cs="Times New Roman"/>
                <w:b/>
                <w:bCs/>
                <w:color w:val="auto"/>
                <w:sz w:val="24"/>
                <w:szCs w:val="24"/>
                <w:highlight w:val="none"/>
                <w:lang w:val="en-US" w:eastAsia="zh-CN"/>
              </w:rPr>
              <w:t>生产线扩建项目</w:t>
            </w:r>
            <w:r>
              <w:rPr>
                <w:rFonts w:hint="eastAsia" w:cs="Times New Roman"/>
                <w:color w:val="auto"/>
                <w:sz w:val="24"/>
                <w:szCs w:val="24"/>
                <w:highlight w:val="none"/>
                <w:lang w:val="en-US" w:eastAsia="zh-CN"/>
              </w:rPr>
              <w:t>（下称项目）</w:t>
            </w:r>
            <w:r>
              <w:rPr>
                <w:rFonts w:hint="eastAsia"/>
                <w:color w:val="auto"/>
                <w:sz w:val="24"/>
                <w:szCs w:val="24"/>
                <w:highlight w:val="none"/>
                <w:lang w:eastAsia="zh-CN"/>
              </w:rPr>
              <w:t>。</w:t>
            </w:r>
            <w:r>
              <w:rPr>
                <w:rFonts w:hint="eastAsia"/>
                <w:color w:val="auto"/>
                <w:sz w:val="24"/>
                <w:szCs w:val="24"/>
                <w:highlight w:val="none"/>
                <w:lang w:val="zh-CN" w:eastAsia="zh-CN"/>
              </w:rPr>
              <w:t>本项目不新增占地，仅在原项目生产车间内新增生产线及产能。</w:t>
            </w:r>
            <w:r>
              <w:rPr>
                <w:rFonts w:hint="eastAsia" w:cs="Times New Roman"/>
                <w:color w:val="auto"/>
                <w:sz w:val="24"/>
                <w:szCs w:val="24"/>
                <w:highlight w:val="none"/>
                <w:lang w:val="en-US" w:eastAsia="zh-CN"/>
              </w:rPr>
              <w:t>项目</w:t>
            </w:r>
            <w:r>
              <w:rPr>
                <w:rFonts w:hint="eastAsia"/>
                <w:color w:val="auto"/>
                <w:sz w:val="24"/>
                <w:szCs w:val="24"/>
                <w:highlight w:val="none"/>
                <w:lang w:val="en-US" w:eastAsia="zh-CN"/>
              </w:rPr>
              <w:t>总投资500万元，</w:t>
            </w:r>
            <w:r>
              <w:rPr>
                <w:rFonts w:hint="eastAsia"/>
                <w:color w:val="auto"/>
                <w:sz w:val="24"/>
                <w:szCs w:val="24"/>
                <w:highlight w:val="none"/>
                <w:lang w:val="zh-CN" w:eastAsia="zh-CN"/>
              </w:rPr>
              <w:t>占地面积100</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2</w:t>
            </w:r>
            <w:r>
              <w:rPr>
                <w:rFonts w:hint="eastAsia"/>
                <w:color w:val="auto"/>
                <w:sz w:val="24"/>
                <w:szCs w:val="24"/>
                <w:highlight w:val="none"/>
                <w:lang w:val="zh-CN" w:eastAsia="zh-CN"/>
              </w:rPr>
              <w:t>，总建筑面积100</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2</w:t>
            </w:r>
            <w:r>
              <w:rPr>
                <w:rFonts w:hint="eastAsia"/>
                <w:color w:val="auto"/>
                <w:sz w:val="24"/>
                <w:szCs w:val="24"/>
                <w:highlight w:val="none"/>
                <w:lang w:val="zh-CN" w:eastAsia="zh-CN"/>
              </w:rPr>
              <w:t>，新增1条玉砂玻璃生产线、1条防火玻璃生产线，在原有钢化玻璃生产线新增产能</w:t>
            </w:r>
            <w:r>
              <w:rPr>
                <w:rFonts w:hint="eastAsia"/>
                <w:color w:val="auto"/>
                <w:sz w:val="24"/>
                <w:szCs w:val="24"/>
                <w:highlight w:val="none"/>
                <w:lang w:val="en-US" w:eastAsia="zh-CN"/>
              </w:rPr>
              <w:t>。</w:t>
            </w:r>
            <w:r>
              <w:rPr>
                <w:rFonts w:hint="eastAsia"/>
                <w:color w:val="auto"/>
                <w:sz w:val="24"/>
                <w:szCs w:val="24"/>
                <w:highlight w:val="none"/>
                <w:lang w:val="zh-CN" w:eastAsia="zh-CN"/>
              </w:rPr>
              <w:t>项目建成后年产玉砂玻璃</w:t>
            </w:r>
            <w:r>
              <w:rPr>
                <w:rFonts w:hint="eastAsia"/>
                <w:color w:val="auto"/>
                <w:sz w:val="24"/>
                <w:szCs w:val="24"/>
                <w:highlight w:val="none"/>
                <w:lang w:val="en-US" w:eastAsia="zh-CN"/>
              </w:rPr>
              <w:t>10</w:t>
            </w:r>
            <w:r>
              <w:rPr>
                <w:rFonts w:hint="eastAsia"/>
                <w:color w:val="auto"/>
                <w:sz w:val="24"/>
                <w:szCs w:val="24"/>
                <w:highlight w:val="none"/>
                <w:lang w:val="zh-CN" w:eastAsia="zh-CN"/>
              </w:rPr>
              <w:t>万</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2</w:t>
            </w:r>
            <w:r>
              <w:rPr>
                <w:rFonts w:hint="eastAsia"/>
                <w:color w:val="auto"/>
                <w:sz w:val="24"/>
                <w:szCs w:val="24"/>
                <w:highlight w:val="none"/>
                <w:lang w:val="zh-CN" w:eastAsia="zh-CN"/>
              </w:rPr>
              <w:t>、</w:t>
            </w:r>
            <w:r>
              <w:rPr>
                <w:rFonts w:hint="eastAsia"/>
                <w:color w:val="auto"/>
                <w:sz w:val="24"/>
                <w:szCs w:val="24"/>
                <w:highlight w:val="none"/>
                <w:lang w:val="en-US" w:eastAsia="zh-CN"/>
              </w:rPr>
              <w:t>防火玻璃1</w:t>
            </w:r>
            <w:r>
              <w:rPr>
                <w:rFonts w:hint="eastAsia"/>
                <w:color w:val="auto"/>
                <w:sz w:val="24"/>
                <w:szCs w:val="24"/>
                <w:highlight w:val="none"/>
                <w:lang w:val="zh-CN" w:eastAsia="zh-CN"/>
              </w:rPr>
              <w:t>万</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w:t>
            </w:r>
            <w:r>
              <w:rPr>
                <w:rFonts w:hint="eastAsia"/>
                <w:color w:val="auto"/>
                <w:sz w:val="24"/>
                <w:szCs w:val="24"/>
                <w:highlight w:val="none"/>
                <w:lang w:val="zh-CN" w:eastAsia="zh-CN"/>
              </w:rPr>
              <w:t>钢化玻璃</w:t>
            </w:r>
            <w:r>
              <w:rPr>
                <w:rFonts w:hint="eastAsia"/>
                <w:color w:val="auto"/>
                <w:sz w:val="24"/>
                <w:szCs w:val="24"/>
                <w:highlight w:val="none"/>
                <w:lang w:val="en-US" w:eastAsia="zh-CN"/>
              </w:rPr>
              <w:t>10</w:t>
            </w:r>
            <w:r>
              <w:rPr>
                <w:rFonts w:hint="eastAsia"/>
                <w:color w:val="auto"/>
                <w:sz w:val="24"/>
                <w:szCs w:val="24"/>
                <w:highlight w:val="none"/>
                <w:lang w:val="zh-CN" w:eastAsia="zh-CN"/>
              </w:rPr>
              <w:t>万</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2</w:t>
            </w:r>
            <w:r>
              <w:rPr>
                <w:rFonts w:hint="eastAsia"/>
                <w:color w:val="auto"/>
                <w:sz w:val="24"/>
                <w:szCs w:val="24"/>
                <w:highlight w:val="none"/>
                <w:lang w:val="zh-CN" w:eastAsia="zh-CN"/>
              </w:rPr>
              <w:t>。</w:t>
            </w:r>
            <w:r>
              <w:rPr>
                <w:rFonts w:hint="eastAsia"/>
                <w:color w:val="auto"/>
                <w:sz w:val="24"/>
                <w:szCs w:val="24"/>
                <w:highlight w:val="none"/>
                <w:lang w:val="en-US" w:eastAsia="zh-CN"/>
              </w:rPr>
              <w:t>项目已于2023年2月17日取得云南省固定资产投资项目备案证（项目代码：2112-530129-04-05-609623）。</w:t>
            </w:r>
          </w:p>
          <w:p w14:paraId="2C3A43E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根据《中华人民共和国环境保护法》、《中华人民共和国环境影响评价法》和《建设项目环境保护管理条例》的规定，本项目应开展环境影响评价工作。根据</w:t>
            </w:r>
            <w:r>
              <w:rPr>
                <w:rFonts w:hint="default" w:ascii="Times New Roman" w:hAnsi="Times New Roman" w:eastAsia="宋体" w:cs="Times New Roman"/>
                <w:color w:val="auto"/>
                <w:kern w:val="0"/>
                <w:sz w:val="24"/>
                <w:szCs w:val="24"/>
                <w:highlight w:val="none"/>
                <w:lang w:bidi="ar"/>
              </w:rPr>
              <w:t>《建设项目环境影响评价分类管理名录》（</w:t>
            </w:r>
            <w:r>
              <w:rPr>
                <w:rFonts w:hint="eastAsia" w:cs="Times New Roman"/>
                <w:color w:val="auto"/>
                <w:kern w:val="0"/>
                <w:sz w:val="24"/>
                <w:szCs w:val="24"/>
                <w:highlight w:val="none"/>
                <w:lang w:val="en-US" w:eastAsia="zh-CN" w:bidi="ar"/>
              </w:rPr>
              <w:t>2021版</w:t>
            </w:r>
            <w:r>
              <w:rPr>
                <w:rFonts w:hint="default" w:ascii="Times New Roman" w:hAnsi="Times New Roman" w:eastAsia="宋体" w:cs="Times New Roman"/>
                <w:color w:val="auto"/>
                <w:kern w:val="0"/>
                <w:sz w:val="24"/>
                <w:szCs w:val="24"/>
                <w:highlight w:val="none"/>
                <w:lang w:bidi="ar"/>
              </w:rPr>
              <w:t>）</w:t>
            </w:r>
            <w:r>
              <w:rPr>
                <w:rFonts w:hint="default" w:ascii="Times New Roman" w:hAnsi="Times New Roman" w:eastAsia="宋体" w:cs="Times New Roman"/>
                <w:color w:val="auto"/>
                <w:sz w:val="24"/>
                <w:szCs w:val="24"/>
                <w:highlight w:val="none"/>
              </w:rPr>
              <w:t>，本项目属于</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二十七、非金属矿物制品业 30 玻璃制造304 特种玻璃制造；其他玻璃制造</w:t>
            </w:r>
            <w:r>
              <w:rPr>
                <w:rFonts w:hint="eastAsia"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bidi="ar"/>
              </w:rPr>
              <w:t>，</w:t>
            </w:r>
            <w:r>
              <w:rPr>
                <w:rFonts w:hint="default" w:ascii="Times New Roman" w:hAnsi="Times New Roman" w:eastAsia="宋体" w:cs="Times New Roman"/>
                <w:color w:val="auto"/>
                <w:sz w:val="24"/>
                <w:szCs w:val="24"/>
                <w:highlight w:val="none"/>
              </w:rPr>
              <w:t>确定本项目需编制环境影响报告表。</w:t>
            </w:r>
          </w:p>
          <w:p w14:paraId="1731A58E">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2</w:t>
            </w:r>
            <w:r>
              <w:rPr>
                <w:rFonts w:hint="default" w:ascii="Times New Roman" w:hAnsi="Times New Roman" w:cs="Times New Roman"/>
                <w:b/>
                <w:bCs w:val="0"/>
                <w:color w:val="auto"/>
                <w:sz w:val="24"/>
                <w:szCs w:val="24"/>
                <w:highlight w:val="none"/>
                <w:lang w:val="en-US" w:eastAsia="zh-CN"/>
              </w:rPr>
              <w:t>、项目建设内容</w:t>
            </w:r>
          </w:p>
          <w:p w14:paraId="7B60EA10">
            <w:pPr>
              <w:widowControl/>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eastAsia"/>
                <w:color w:val="auto"/>
                <w:sz w:val="24"/>
                <w:szCs w:val="24"/>
                <w:highlight w:val="none"/>
                <w:lang w:val="en-US" w:eastAsia="zh-CN"/>
              </w:rPr>
              <w:t>本项目不新增占地，仅在原项目生产车间内新增生产线及产能。项目占地面积100m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，总建筑面积100m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，新增1条玉砂玻璃生产线、1条防火玻璃生产线，在原有钢化玻璃生产线新增产能，通过增加工作时间和员工数量来增加产能。项目建成后年产玉砂玻璃10万m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、防火玻璃1万m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、钢化玻璃10万m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项目工程内容包括主体工程、</w:t>
            </w:r>
            <w:r>
              <w:rPr>
                <w:rFonts w:hint="eastAsia" w:cs="Times New Roman"/>
                <w:color w:val="auto"/>
                <w:sz w:val="24"/>
                <w:szCs w:val="24"/>
                <w:highlight w:val="none"/>
                <w:lang w:eastAsia="zh-CN"/>
              </w:rPr>
              <w:t>公辅</w:t>
            </w:r>
            <w:r>
              <w:rPr>
                <w:rFonts w:hint="default" w:ascii="Times New Roman" w:hAnsi="Times New Roman" w:eastAsia="宋体" w:cs="Times New Roman"/>
                <w:color w:val="auto"/>
                <w:sz w:val="24"/>
                <w:szCs w:val="24"/>
                <w:highlight w:val="none"/>
              </w:rPr>
              <w:t>工程、环保工程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rPr>
              <w:t>主要建设内容具体见表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14:paraId="52C5A8DA">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-1  项目组成一览表</w:t>
            </w:r>
          </w:p>
          <w:tbl>
            <w:tblPr>
              <w:tblStyle w:val="25"/>
              <w:tblW w:w="8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57"/>
              <w:gridCol w:w="1605"/>
              <w:gridCol w:w="2025"/>
              <w:gridCol w:w="2182"/>
              <w:gridCol w:w="748"/>
            </w:tblGrid>
            <w:tr w14:paraId="0A36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94" w:type="dxa"/>
                  <w:vMerge w:val="restart"/>
                  <w:vAlign w:val="center"/>
                </w:tcPr>
                <w:p w14:paraId="49E09E10">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057" w:type="dxa"/>
                  <w:vMerge w:val="restart"/>
                  <w:vAlign w:val="center"/>
                </w:tcPr>
                <w:p w14:paraId="664FB033">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5812" w:type="dxa"/>
                  <w:gridSpan w:val="3"/>
                  <w:vMerge w:val="restart"/>
                  <w:vAlign w:val="center"/>
                </w:tcPr>
                <w:p w14:paraId="228AAAB9">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748" w:type="dxa"/>
                  <w:vMerge w:val="restart"/>
                  <w:vAlign w:val="center"/>
                </w:tcPr>
                <w:p w14:paraId="59F44689">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5F3C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94" w:type="dxa"/>
                  <w:vMerge w:val="continue"/>
                  <w:vAlign w:val="center"/>
                </w:tcPr>
                <w:p w14:paraId="5BF1BAC9">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57" w:type="dxa"/>
                  <w:vMerge w:val="continue"/>
                  <w:vAlign w:val="center"/>
                </w:tcPr>
                <w:p w14:paraId="630BD43C">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812" w:type="dxa"/>
                  <w:gridSpan w:val="3"/>
                  <w:vMerge w:val="continue"/>
                  <w:vAlign w:val="center"/>
                </w:tcPr>
                <w:p w14:paraId="39EB4B14">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48" w:type="dxa"/>
                  <w:vMerge w:val="continue"/>
                  <w:vAlign w:val="center"/>
                </w:tcPr>
                <w:p w14:paraId="4C4DEDB9">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14:paraId="2DD6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694" w:type="dxa"/>
                  <w:vMerge w:val="restart"/>
                  <w:vAlign w:val="center"/>
                </w:tcPr>
                <w:p w14:paraId="1B11E9D7">
                  <w:pPr>
                    <w:adjustRightInd w:val="0"/>
                    <w:snapToGrid w:val="0"/>
                    <w:spacing w:line="0" w:lineRule="atLeast"/>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主体工程</w:t>
                  </w:r>
                </w:p>
              </w:tc>
              <w:tc>
                <w:tcPr>
                  <w:tcW w:w="1057" w:type="dxa"/>
                  <w:vMerge w:val="restart"/>
                  <w:vAlign w:val="center"/>
                </w:tcPr>
                <w:p w14:paraId="2630C55E">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生产车间</w:t>
                  </w:r>
                </w:p>
              </w:tc>
              <w:tc>
                <w:tcPr>
                  <w:tcW w:w="1605" w:type="dxa"/>
                  <w:vMerge w:val="restart"/>
                  <w:vAlign w:val="center"/>
                </w:tcPr>
                <w:p w14:paraId="0F2A58AF">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利用原项目钢结构厂房的一部分，</w:t>
                  </w:r>
                  <w:r>
                    <w:rPr>
                      <w:rFonts w:hint="default" w:ascii="Times New Roman" w:hAnsi="Times New Roman" w:eastAsia="宋体" w:cs="Times New Roman"/>
                      <w:color w:val="auto"/>
                      <w:kern w:val="2"/>
                      <w:sz w:val="21"/>
                      <w:szCs w:val="21"/>
                      <w:highlight w:val="none"/>
                      <w:lang w:val="en-US" w:eastAsia="zh-CN" w:bidi="ar-SA"/>
                    </w:rPr>
                    <w:t>占地面积</w:t>
                  </w:r>
                  <w:r>
                    <w:rPr>
                      <w:rFonts w:hint="eastAsia" w:ascii="Times New Roman" w:hAnsi="Times New Roman" w:eastAsia="宋体" w:cs="Times New Roman"/>
                      <w:color w:val="auto"/>
                      <w:kern w:val="2"/>
                      <w:sz w:val="21"/>
                      <w:szCs w:val="21"/>
                      <w:highlight w:val="none"/>
                      <w:lang w:val="en-US" w:eastAsia="zh-CN" w:bidi="ar-SA"/>
                    </w:rPr>
                    <w:t>100</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总建筑面积100m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建筑高度10.5m</w:t>
                  </w:r>
                </w:p>
              </w:tc>
              <w:tc>
                <w:tcPr>
                  <w:tcW w:w="4207" w:type="dxa"/>
                  <w:gridSpan w:val="2"/>
                  <w:vAlign w:val="center"/>
                </w:tcPr>
                <w:p w14:paraId="2B061D97">
                  <w:pPr>
                    <w:pStyle w:val="16"/>
                    <w:tabs>
                      <w:tab w:val="left" w:pos="825"/>
                    </w:tabs>
                    <w:adjustRightInd w:val="0"/>
                    <w:snapToGrid w:val="0"/>
                    <w:spacing w:line="0" w:lineRule="atLeast"/>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玉砂玻璃生产区，建设1条生产线，占地面积80m</w:t>
                  </w:r>
                  <w:r>
                    <w:rPr>
                      <w:rFonts w:hint="eastAsia" w:cs="Times New Roman"/>
                      <w:color w:val="auto"/>
                      <w:sz w:val="21"/>
                      <w:szCs w:val="21"/>
                      <w:highlight w:val="none"/>
                      <w:vertAlign w:val="superscript"/>
                      <w:lang w:val="en-US" w:eastAsia="zh-CN"/>
                    </w:rPr>
                    <w:t>2</w:t>
                  </w:r>
                </w:p>
              </w:tc>
              <w:tc>
                <w:tcPr>
                  <w:tcW w:w="748" w:type="dxa"/>
                  <w:vAlign w:val="center"/>
                </w:tcPr>
                <w:p w14:paraId="203E5743">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5951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694" w:type="dxa"/>
                  <w:vMerge w:val="continue"/>
                  <w:vAlign w:val="center"/>
                </w:tcPr>
                <w:p w14:paraId="48973535">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Merge w:val="continue"/>
                  <w:vAlign w:val="center"/>
                </w:tcPr>
                <w:p w14:paraId="705EE1B9">
                  <w:pPr>
                    <w:adjustRightInd w:val="0"/>
                    <w:snapToGrid w:val="0"/>
                    <w:spacing w:line="0" w:lineRule="atLeast"/>
                    <w:jc w:val="center"/>
                    <w:rPr>
                      <w:rFonts w:hint="eastAsia" w:cs="Times New Roman"/>
                      <w:color w:val="auto"/>
                      <w:sz w:val="21"/>
                      <w:szCs w:val="21"/>
                      <w:highlight w:val="none"/>
                      <w:lang w:val="en-US" w:eastAsia="zh-CN"/>
                    </w:rPr>
                  </w:pPr>
                </w:p>
              </w:tc>
              <w:tc>
                <w:tcPr>
                  <w:tcW w:w="1605" w:type="dxa"/>
                  <w:vMerge w:val="continue"/>
                  <w:vAlign w:val="center"/>
                </w:tcPr>
                <w:p w14:paraId="5E66FDEE">
                  <w:pPr>
                    <w:pStyle w:val="16"/>
                    <w:adjustRightInd w:val="0"/>
                    <w:snapToGrid w:val="0"/>
                    <w:spacing w:line="0" w:lineRule="atLeast"/>
                    <w:jc w:val="center"/>
                    <w:rPr>
                      <w:rFonts w:hint="eastAsia" w:cs="Times New Roman"/>
                      <w:color w:val="auto"/>
                      <w:sz w:val="21"/>
                      <w:szCs w:val="21"/>
                      <w:highlight w:val="none"/>
                      <w:lang w:val="en-US" w:eastAsia="zh-CN"/>
                    </w:rPr>
                  </w:pPr>
                </w:p>
              </w:tc>
              <w:tc>
                <w:tcPr>
                  <w:tcW w:w="4207" w:type="dxa"/>
                  <w:gridSpan w:val="2"/>
                  <w:vAlign w:val="center"/>
                </w:tcPr>
                <w:p w14:paraId="42132996">
                  <w:pPr>
                    <w:pStyle w:val="16"/>
                    <w:adjustRightInd w:val="0"/>
                    <w:snapToGrid w:val="0"/>
                    <w:spacing w:line="0" w:lineRule="atLeast"/>
                    <w:jc w:val="both"/>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防火玻璃生产区，建设1条生产线（与钢化玻璃共用生产设备），新增10m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的防火液喷涂区</w:t>
                  </w:r>
                </w:p>
              </w:tc>
              <w:tc>
                <w:tcPr>
                  <w:tcW w:w="748" w:type="dxa"/>
                  <w:vAlign w:val="center"/>
                </w:tcPr>
                <w:p w14:paraId="22AF7D5E">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2AC7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694" w:type="dxa"/>
                  <w:vMerge w:val="continue"/>
                  <w:vAlign w:val="center"/>
                </w:tcPr>
                <w:p w14:paraId="615EF6DE">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Merge w:val="continue"/>
                  <w:vAlign w:val="center"/>
                </w:tcPr>
                <w:p w14:paraId="6484D3CA">
                  <w:pPr>
                    <w:adjustRightInd w:val="0"/>
                    <w:snapToGrid w:val="0"/>
                    <w:spacing w:line="0" w:lineRule="atLeast"/>
                    <w:jc w:val="center"/>
                    <w:rPr>
                      <w:rFonts w:hint="eastAsia" w:cs="Times New Roman"/>
                      <w:color w:val="auto"/>
                      <w:sz w:val="21"/>
                      <w:szCs w:val="21"/>
                      <w:highlight w:val="none"/>
                      <w:lang w:val="en-US" w:eastAsia="zh-CN"/>
                    </w:rPr>
                  </w:pPr>
                </w:p>
              </w:tc>
              <w:tc>
                <w:tcPr>
                  <w:tcW w:w="5812" w:type="dxa"/>
                  <w:gridSpan w:val="3"/>
                  <w:vAlign w:val="center"/>
                </w:tcPr>
                <w:p w14:paraId="76C79424">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依托原项目钢化玻璃生产区（原项目设置2条钢化玻璃生产线，建筑面积2000m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 xml:space="preserve">） </w:t>
                  </w:r>
                </w:p>
              </w:tc>
              <w:tc>
                <w:tcPr>
                  <w:tcW w:w="748" w:type="dxa"/>
                  <w:vAlign w:val="center"/>
                </w:tcPr>
                <w:p w14:paraId="4703D0AB">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w:t>
                  </w:r>
                </w:p>
              </w:tc>
            </w:tr>
            <w:tr w14:paraId="7DD9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694" w:type="dxa"/>
                  <w:vMerge w:val="continue"/>
                  <w:vAlign w:val="center"/>
                </w:tcPr>
                <w:p w14:paraId="139B4307">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Merge w:val="continue"/>
                  <w:vAlign w:val="center"/>
                </w:tcPr>
                <w:p w14:paraId="09E86E87">
                  <w:pPr>
                    <w:adjustRightInd w:val="0"/>
                    <w:snapToGrid w:val="0"/>
                    <w:spacing w:line="0" w:lineRule="atLeast"/>
                    <w:jc w:val="center"/>
                    <w:rPr>
                      <w:rFonts w:hint="eastAsia" w:cs="Times New Roman"/>
                      <w:color w:val="auto"/>
                      <w:sz w:val="21"/>
                      <w:szCs w:val="21"/>
                      <w:highlight w:val="none"/>
                      <w:lang w:val="en-US" w:eastAsia="zh-CN"/>
                    </w:rPr>
                  </w:pPr>
                </w:p>
              </w:tc>
              <w:tc>
                <w:tcPr>
                  <w:tcW w:w="5812" w:type="dxa"/>
                  <w:gridSpan w:val="3"/>
                  <w:vAlign w:val="center"/>
                </w:tcPr>
                <w:p w14:paraId="3BF41D5D">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依托原项目原片储存区（原项目设置原片储存区，建筑面积 1200m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p>
              </w:tc>
              <w:tc>
                <w:tcPr>
                  <w:tcW w:w="748" w:type="dxa"/>
                  <w:vAlign w:val="center"/>
                </w:tcPr>
                <w:p w14:paraId="114A2C53">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w:t>
                  </w:r>
                </w:p>
              </w:tc>
            </w:tr>
            <w:tr w14:paraId="3B6B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694" w:type="dxa"/>
                  <w:vMerge w:val="continue"/>
                  <w:vAlign w:val="center"/>
                </w:tcPr>
                <w:p w14:paraId="61D113D2">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Merge w:val="continue"/>
                  <w:vAlign w:val="center"/>
                </w:tcPr>
                <w:p w14:paraId="22E8CB67">
                  <w:pPr>
                    <w:adjustRightInd w:val="0"/>
                    <w:snapToGrid w:val="0"/>
                    <w:spacing w:line="0" w:lineRule="atLeast"/>
                    <w:jc w:val="center"/>
                    <w:rPr>
                      <w:rFonts w:hint="eastAsia" w:cs="Times New Roman"/>
                      <w:color w:val="auto"/>
                      <w:sz w:val="21"/>
                      <w:szCs w:val="21"/>
                      <w:highlight w:val="none"/>
                      <w:lang w:val="en-US" w:eastAsia="zh-CN"/>
                    </w:rPr>
                  </w:pPr>
                </w:p>
              </w:tc>
              <w:tc>
                <w:tcPr>
                  <w:tcW w:w="5812" w:type="dxa"/>
                  <w:gridSpan w:val="3"/>
                  <w:vAlign w:val="center"/>
                </w:tcPr>
                <w:p w14:paraId="3EEA2185">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依托原项目</w:t>
                  </w:r>
                  <w:r>
                    <w:rPr>
                      <w:color w:val="auto"/>
                      <w:sz w:val="21"/>
                      <w:szCs w:val="21"/>
                      <w:highlight w:val="none"/>
                    </w:rPr>
                    <w:t>成品储存区</w:t>
                  </w:r>
                  <w:r>
                    <w:rPr>
                      <w:rFonts w:hint="eastAsia"/>
                      <w:color w:val="auto"/>
                      <w:sz w:val="21"/>
                      <w:szCs w:val="21"/>
                      <w:highlight w:val="none"/>
                      <w:lang w:eastAsia="zh-CN"/>
                    </w:rPr>
                    <w:t>（原项目设置成品储存区，</w:t>
                  </w:r>
                  <w:r>
                    <w:rPr>
                      <w:color w:val="auto"/>
                      <w:sz w:val="21"/>
                      <w:szCs w:val="21"/>
                      <w:highlight w:val="none"/>
                    </w:rPr>
                    <w:t>建筑面积 2800m</w:t>
                  </w:r>
                  <w:r>
                    <w:rPr>
                      <w:color w:val="auto"/>
                      <w:sz w:val="21"/>
                      <w:szCs w:val="21"/>
                      <w:highlight w:val="none"/>
                      <w:vertAlign w:val="superscript"/>
                    </w:rPr>
                    <w:t>2</w:t>
                  </w:r>
                  <w:r>
                    <w:rPr>
                      <w:rFonts w:hint="eastAsia"/>
                      <w:color w:val="auto"/>
                      <w:sz w:val="21"/>
                      <w:szCs w:val="21"/>
                      <w:highlight w:val="none"/>
                      <w:lang w:eastAsia="zh-CN"/>
                    </w:rPr>
                    <w:t>）</w:t>
                  </w:r>
                </w:p>
              </w:tc>
              <w:tc>
                <w:tcPr>
                  <w:tcW w:w="748" w:type="dxa"/>
                  <w:vAlign w:val="center"/>
                </w:tcPr>
                <w:p w14:paraId="4011B74C">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w:t>
                  </w:r>
                </w:p>
              </w:tc>
            </w:tr>
            <w:tr w14:paraId="0FCE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694" w:type="dxa"/>
                  <w:vMerge w:val="continue"/>
                  <w:vAlign w:val="center"/>
                </w:tcPr>
                <w:p w14:paraId="06C73FAE">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Merge w:val="continue"/>
                  <w:vAlign w:val="center"/>
                </w:tcPr>
                <w:p w14:paraId="1ECB0B7A">
                  <w:pPr>
                    <w:adjustRightInd w:val="0"/>
                    <w:snapToGrid w:val="0"/>
                    <w:spacing w:line="0" w:lineRule="atLeast"/>
                    <w:jc w:val="center"/>
                    <w:rPr>
                      <w:rFonts w:hint="eastAsia" w:cs="Times New Roman"/>
                      <w:color w:val="auto"/>
                      <w:sz w:val="21"/>
                      <w:szCs w:val="21"/>
                      <w:highlight w:val="none"/>
                      <w:lang w:val="en-US" w:eastAsia="zh-CN"/>
                    </w:rPr>
                  </w:pPr>
                </w:p>
              </w:tc>
              <w:tc>
                <w:tcPr>
                  <w:tcW w:w="5812" w:type="dxa"/>
                  <w:gridSpan w:val="3"/>
                  <w:vAlign w:val="center"/>
                </w:tcPr>
                <w:p w14:paraId="3D74E204">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依托原项目原片切割、磨边区（原项目设置2条原片切割、磨边生产线，建筑面积1762m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p>
              </w:tc>
              <w:tc>
                <w:tcPr>
                  <w:tcW w:w="748" w:type="dxa"/>
                  <w:vAlign w:val="center"/>
                </w:tcPr>
                <w:p w14:paraId="7DF525E4">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w:t>
                  </w:r>
                </w:p>
              </w:tc>
            </w:tr>
            <w:tr w14:paraId="4741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694" w:type="dxa"/>
                  <w:vMerge w:val="continue"/>
                  <w:vAlign w:val="center"/>
                </w:tcPr>
                <w:p w14:paraId="78411157">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Merge w:val="continue"/>
                  <w:vAlign w:val="center"/>
                </w:tcPr>
                <w:p w14:paraId="04543362">
                  <w:pPr>
                    <w:adjustRightInd w:val="0"/>
                    <w:snapToGrid w:val="0"/>
                    <w:spacing w:line="0" w:lineRule="atLeast"/>
                    <w:jc w:val="center"/>
                    <w:rPr>
                      <w:rFonts w:hint="eastAsia" w:cs="Times New Roman"/>
                      <w:color w:val="auto"/>
                      <w:sz w:val="21"/>
                      <w:szCs w:val="21"/>
                      <w:highlight w:val="none"/>
                      <w:lang w:val="en-US" w:eastAsia="zh-CN"/>
                    </w:rPr>
                  </w:pPr>
                </w:p>
              </w:tc>
              <w:tc>
                <w:tcPr>
                  <w:tcW w:w="5812" w:type="dxa"/>
                  <w:gridSpan w:val="3"/>
                  <w:vAlign w:val="center"/>
                </w:tcPr>
                <w:p w14:paraId="0F634DF7">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设置1间10m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的危化品库，用于储存硫酸、盐酸、氟化氢铵和火碱</w:t>
                  </w:r>
                </w:p>
              </w:tc>
              <w:tc>
                <w:tcPr>
                  <w:tcW w:w="748" w:type="dxa"/>
                  <w:vAlign w:val="center"/>
                </w:tcPr>
                <w:p w14:paraId="07C3C6AF">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32B9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4" w:type="dxa"/>
                  <w:vMerge w:val="restart"/>
                  <w:vAlign w:val="center"/>
                </w:tcPr>
                <w:p w14:paraId="2D3C8E84">
                  <w:pPr>
                    <w:adjustRightInd w:val="0"/>
                    <w:snapToGrid w:val="0"/>
                    <w:spacing w:line="0" w:lineRule="atLeast"/>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公辅工程</w:t>
                  </w:r>
                </w:p>
              </w:tc>
              <w:tc>
                <w:tcPr>
                  <w:tcW w:w="1057" w:type="dxa"/>
                  <w:vAlign w:val="center"/>
                </w:tcPr>
                <w:p w14:paraId="007EB552">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办公楼</w:t>
                  </w:r>
                </w:p>
                <w:p w14:paraId="2C6E57D5">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(含食宿)</w:t>
                  </w:r>
                </w:p>
              </w:tc>
              <w:tc>
                <w:tcPr>
                  <w:tcW w:w="5812" w:type="dxa"/>
                  <w:gridSpan w:val="3"/>
                  <w:vAlign w:val="center"/>
                </w:tcPr>
                <w:p w14:paraId="6F4E0F64">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依托原有办公楼（5层，为钢架结构，占地面积 328.08m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 1844m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p>
              </w:tc>
              <w:tc>
                <w:tcPr>
                  <w:tcW w:w="748" w:type="dxa"/>
                  <w:vAlign w:val="center"/>
                </w:tcPr>
                <w:p w14:paraId="7CA5EA04">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4142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4" w:type="dxa"/>
                  <w:vMerge w:val="continue"/>
                  <w:vAlign w:val="center"/>
                </w:tcPr>
                <w:p w14:paraId="6771BC2A">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Align w:val="center"/>
                </w:tcPr>
                <w:p w14:paraId="5B7D6BA4">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配电房</w:t>
                  </w:r>
                </w:p>
              </w:tc>
              <w:tc>
                <w:tcPr>
                  <w:tcW w:w="5812" w:type="dxa"/>
                  <w:gridSpan w:val="3"/>
                  <w:vAlign w:val="center"/>
                </w:tcPr>
                <w:p w14:paraId="779B4CC2">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依托原有配电房（原项目设置一间配电房，用于对厂区内钢化炉机组提供热源）</w:t>
                  </w:r>
                </w:p>
              </w:tc>
              <w:tc>
                <w:tcPr>
                  <w:tcW w:w="748" w:type="dxa"/>
                  <w:vAlign w:val="center"/>
                </w:tcPr>
                <w:p w14:paraId="45D1E5D3">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w:t>
                  </w:r>
                </w:p>
              </w:tc>
            </w:tr>
            <w:tr w14:paraId="6E71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4" w:type="dxa"/>
                  <w:vMerge w:val="continue"/>
                  <w:vAlign w:val="center"/>
                </w:tcPr>
                <w:p w14:paraId="18A1CB41">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Align w:val="center"/>
                </w:tcPr>
                <w:p w14:paraId="51340AE0">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供电</w:t>
                  </w:r>
                </w:p>
              </w:tc>
              <w:tc>
                <w:tcPr>
                  <w:tcW w:w="5812" w:type="dxa"/>
                  <w:gridSpan w:val="3"/>
                  <w:vAlign w:val="center"/>
                </w:tcPr>
                <w:p w14:paraId="456C025A">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依托原有供电系统（从园区电网接入至本项目配电房，由配电房输送至各用电设备）</w:t>
                  </w:r>
                </w:p>
              </w:tc>
              <w:tc>
                <w:tcPr>
                  <w:tcW w:w="748" w:type="dxa"/>
                  <w:vAlign w:val="center"/>
                </w:tcPr>
                <w:p w14:paraId="5AB6EEC4">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5167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4" w:type="dxa"/>
                  <w:vMerge w:val="continue"/>
                  <w:vAlign w:val="center"/>
                </w:tcPr>
                <w:p w14:paraId="4E3CA758">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Align w:val="center"/>
                </w:tcPr>
                <w:p w14:paraId="2EA96BB9">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给水</w:t>
                  </w:r>
                </w:p>
              </w:tc>
              <w:tc>
                <w:tcPr>
                  <w:tcW w:w="5812" w:type="dxa"/>
                  <w:gridSpan w:val="3"/>
                  <w:vAlign w:val="center"/>
                </w:tcPr>
                <w:p w14:paraId="6E6B9C78">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园区供水管网接入</w:t>
                  </w:r>
                </w:p>
              </w:tc>
              <w:tc>
                <w:tcPr>
                  <w:tcW w:w="748" w:type="dxa"/>
                  <w:vAlign w:val="center"/>
                </w:tcPr>
                <w:p w14:paraId="7A224CF5">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7A97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4" w:type="dxa"/>
                  <w:vMerge w:val="continue"/>
                  <w:vAlign w:val="center"/>
                </w:tcPr>
                <w:p w14:paraId="3D8296A0">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Align w:val="center"/>
                </w:tcPr>
                <w:p w14:paraId="036ACA47">
                  <w:pPr>
                    <w:adjustRightInd w:val="0"/>
                    <w:snapToGrid w:val="0"/>
                    <w:spacing w:line="0" w:lineRule="atLeast"/>
                    <w:jc w:val="center"/>
                    <w:rPr>
                      <w:rFonts w:hint="eastAsia" w:cs="Times New Roman"/>
                      <w:color w:val="auto"/>
                      <w:sz w:val="21"/>
                      <w:szCs w:val="21"/>
                      <w:highlight w:val="none"/>
                      <w:lang w:val="en-US" w:eastAsia="zh-CN"/>
                    </w:rPr>
                  </w:pPr>
                </w:p>
                <w:p w14:paraId="391DCF96">
                  <w:pPr>
                    <w:adjustRightInd w:val="0"/>
                    <w:snapToGrid w:val="0"/>
                    <w:spacing w:line="0" w:lineRule="atLeast"/>
                    <w:jc w:val="center"/>
                    <w:rPr>
                      <w:rFonts w:hint="eastAsia" w:cs="Times New Roman"/>
                      <w:color w:val="auto"/>
                      <w:sz w:val="21"/>
                      <w:szCs w:val="21"/>
                      <w:highlight w:val="none"/>
                      <w:lang w:val="en-US" w:eastAsia="zh-CN"/>
                    </w:rPr>
                  </w:pPr>
                </w:p>
                <w:p w14:paraId="1CEB659E">
                  <w:pPr>
                    <w:adjustRightInd w:val="0"/>
                    <w:snapToGrid w:val="0"/>
                    <w:spacing w:line="0" w:lineRule="atLeast"/>
                    <w:jc w:val="center"/>
                    <w:rPr>
                      <w:rFonts w:hint="eastAsia" w:cs="Times New Roman"/>
                      <w:color w:val="auto"/>
                      <w:sz w:val="21"/>
                      <w:szCs w:val="21"/>
                      <w:highlight w:val="none"/>
                      <w:lang w:val="en-US" w:eastAsia="zh-CN"/>
                    </w:rPr>
                  </w:pPr>
                </w:p>
                <w:p w14:paraId="03CD14A8">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排水</w:t>
                  </w:r>
                </w:p>
              </w:tc>
              <w:tc>
                <w:tcPr>
                  <w:tcW w:w="5812" w:type="dxa"/>
                  <w:gridSpan w:val="3"/>
                  <w:vAlign w:val="center"/>
                </w:tcPr>
                <w:p w14:paraId="20564EBB">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项目实行雨污分流制，雨水经项目区已建</w:t>
                  </w:r>
                  <w:r>
                    <w:rPr>
                      <w:rFonts w:hint="eastAsia" w:ascii="Times New Roman" w:hAnsi="Times New Roman"/>
                      <w:color w:val="auto"/>
                      <w:kern w:val="0"/>
                      <w:sz w:val="21"/>
                      <w:szCs w:val="21"/>
                      <w:highlight w:val="none"/>
                      <w:lang w:eastAsia="zh-CN"/>
                    </w:rPr>
                    <w:t>雨水</w:t>
                  </w:r>
                  <w:r>
                    <w:rPr>
                      <w:rFonts w:hint="eastAsia" w:ascii="Times New Roman" w:hAnsi="Times New Roman"/>
                      <w:color w:val="auto"/>
                      <w:kern w:val="0"/>
                      <w:sz w:val="21"/>
                      <w:szCs w:val="21"/>
                      <w:highlight w:val="none"/>
                    </w:rPr>
                    <w:t>收集</w:t>
                  </w:r>
                  <w:r>
                    <w:rPr>
                      <w:rFonts w:hint="eastAsia" w:ascii="Times New Roman" w:hAnsi="Times New Roman"/>
                      <w:color w:val="auto"/>
                      <w:kern w:val="0"/>
                      <w:sz w:val="21"/>
                      <w:szCs w:val="21"/>
                      <w:highlight w:val="none"/>
                      <w:lang w:eastAsia="zh-CN"/>
                    </w:rPr>
                    <w:t>设施收集</w:t>
                  </w:r>
                  <w:r>
                    <w:rPr>
                      <w:rFonts w:hint="eastAsia" w:ascii="Times New Roman" w:hAnsi="Times New Roman"/>
                      <w:color w:val="auto"/>
                      <w:kern w:val="0"/>
                      <w:sz w:val="21"/>
                      <w:szCs w:val="21"/>
                      <w:highlight w:val="none"/>
                    </w:rPr>
                    <w:t>后进入园区雨水管网</w:t>
                  </w:r>
                  <w:r>
                    <w:rPr>
                      <w:rFonts w:hint="eastAsia" w:cs="Times New Roman"/>
                      <w:color w:val="auto"/>
                      <w:sz w:val="21"/>
                      <w:szCs w:val="21"/>
                      <w:highlight w:val="none"/>
                      <w:lang w:val="en-US" w:eastAsia="zh-CN"/>
                    </w:rPr>
                    <w:t>。项目运营期产生的食堂含油废水经隔油池处理后和其他生活污水一起排入化粪池处理后，再进入原项目自建生活污水处理站处理达</w:t>
                  </w:r>
                  <w:r>
                    <w:rPr>
                      <w:rFonts w:hint="default"/>
                      <w:color w:val="auto"/>
                      <w:sz w:val="21"/>
                      <w:szCs w:val="21"/>
                      <w:highlight w:val="none"/>
                      <w:lang w:val="en-US" w:eastAsia="zh-CN"/>
                    </w:rPr>
                    <w:t>《城市污水再生利用 城市杂用水水质》（GB/T18920-2020）中城市绿化、</w:t>
                  </w:r>
                  <w:r>
                    <w:rPr>
                      <w:rFonts w:hint="eastAsia"/>
                      <w:color w:val="auto"/>
                      <w:sz w:val="21"/>
                      <w:szCs w:val="21"/>
                      <w:highlight w:val="none"/>
                      <w:lang w:val="en-US" w:eastAsia="zh-CN"/>
                    </w:rPr>
                    <w:t>道路广场浇洒</w:t>
                  </w:r>
                  <w:r>
                    <w:rPr>
                      <w:rFonts w:hint="default"/>
                      <w:color w:val="auto"/>
                      <w:sz w:val="21"/>
                      <w:szCs w:val="21"/>
                      <w:highlight w:val="none"/>
                      <w:lang w:val="en-US" w:eastAsia="zh-CN"/>
                    </w:rPr>
                    <w:t>、消防、建筑施工标准</w:t>
                  </w:r>
                  <w:r>
                    <w:rPr>
                      <w:rFonts w:hint="eastAsia" w:cs="Times New Roman"/>
                      <w:color w:val="auto"/>
                      <w:sz w:val="21"/>
                      <w:szCs w:val="21"/>
                      <w:highlight w:val="none"/>
                      <w:lang w:val="en-US" w:eastAsia="zh-CN"/>
                    </w:rPr>
                    <w:t>后回用于项目区绿化和道路广场浇洒，不外排；</w:t>
                  </w:r>
                  <w:r>
                    <w:rPr>
                      <w:rFonts w:hint="default" w:ascii="Times New Roman" w:hAnsi="Times New Roman" w:eastAsia="宋体" w:cs="Times New Roman"/>
                      <w:color w:val="auto"/>
                      <w:kern w:val="0"/>
                      <w:sz w:val="21"/>
                      <w:szCs w:val="21"/>
                      <w:highlight w:val="none"/>
                    </w:rPr>
                    <w:t>生产</w:t>
                  </w:r>
                  <w:r>
                    <w:rPr>
                      <w:rFonts w:hint="eastAsia" w:cs="Times New Roman"/>
                      <w:color w:val="auto"/>
                      <w:kern w:val="0"/>
                      <w:sz w:val="21"/>
                      <w:szCs w:val="21"/>
                      <w:highlight w:val="none"/>
                      <w:lang w:val="en-US" w:eastAsia="zh-CN"/>
                    </w:rPr>
                    <w:t>废水经收集后统一进入调节池、生产废水处理设施处理达《城市污水再生利用 工业用水水质》（GB/T 19923-2005）中的洗涤用水标准后回用于水洗补水，不外排。</w:t>
                  </w:r>
                </w:p>
              </w:tc>
              <w:tc>
                <w:tcPr>
                  <w:tcW w:w="748" w:type="dxa"/>
                  <w:vAlign w:val="center"/>
                </w:tcPr>
                <w:p w14:paraId="57B9F749">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5E56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694" w:type="dxa"/>
                  <w:vMerge w:val="continue"/>
                  <w:vAlign w:val="center"/>
                </w:tcPr>
                <w:p w14:paraId="7F7DEB57">
                  <w:pPr>
                    <w:adjustRightInd w:val="0"/>
                    <w:snapToGrid w:val="0"/>
                    <w:spacing w:line="0" w:lineRule="atLeast"/>
                    <w:jc w:val="center"/>
                    <w:rPr>
                      <w:rFonts w:hint="eastAsia" w:cs="Times New Roman"/>
                      <w:bCs/>
                      <w:color w:val="auto"/>
                      <w:sz w:val="21"/>
                      <w:szCs w:val="21"/>
                      <w:highlight w:val="none"/>
                      <w:lang w:val="en-US" w:eastAsia="zh-CN"/>
                    </w:rPr>
                  </w:pPr>
                </w:p>
              </w:tc>
              <w:tc>
                <w:tcPr>
                  <w:tcW w:w="1057" w:type="dxa"/>
                  <w:vAlign w:val="center"/>
                </w:tcPr>
                <w:p w14:paraId="3AA573F0">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供热</w:t>
                  </w:r>
                </w:p>
              </w:tc>
              <w:tc>
                <w:tcPr>
                  <w:tcW w:w="5812" w:type="dxa"/>
                  <w:gridSpan w:val="3"/>
                  <w:vAlign w:val="center"/>
                </w:tcPr>
                <w:p w14:paraId="3C870069">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项目办公区和生产区仅使用电能，不设置锅炉</w:t>
                  </w:r>
                </w:p>
              </w:tc>
              <w:tc>
                <w:tcPr>
                  <w:tcW w:w="748" w:type="dxa"/>
                  <w:vAlign w:val="center"/>
                </w:tcPr>
                <w:p w14:paraId="62C8681C">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23A8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694" w:type="dxa"/>
                  <w:vMerge w:val="restart"/>
                  <w:vAlign w:val="center"/>
                </w:tcPr>
                <w:p w14:paraId="3A102D4C">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1057" w:type="dxa"/>
                  <w:vMerge w:val="restart"/>
                  <w:vAlign w:val="center"/>
                </w:tcPr>
                <w:p w14:paraId="564C21F1">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废气处理设施</w:t>
                  </w:r>
                </w:p>
              </w:tc>
              <w:tc>
                <w:tcPr>
                  <w:tcW w:w="1605" w:type="dxa"/>
                  <w:tcBorders>
                    <w:bottom w:val="single" w:color="auto" w:sz="4" w:space="0"/>
                  </w:tcBorders>
                  <w:vAlign w:val="center"/>
                </w:tcPr>
                <w:p w14:paraId="13E2F69B">
                  <w:pPr>
                    <w:adjustRightInd w:val="0"/>
                    <w:snapToGrid w:val="0"/>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硫酸挥发废气</w:t>
                  </w:r>
                </w:p>
              </w:tc>
              <w:tc>
                <w:tcPr>
                  <w:tcW w:w="4207" w:type="dxa"/>
                  <w:gridSpan w:val="2"/>
                  <w:vMerge w:val="restart"/>
                  <w:vAlign w:val="center"/>
                </w:tcPr>
                <w:p w14:paraId="3E1AC227">
                  <w:pPr>
                    <w:pStyle w:val="15"/>
                    <w:rPr>
                      <w:rFonts w:hint="eastAsia" w:eastAsia="宋体"/>
                      <w:color w:val="auto"/>
                      <w:highlight w:val="none"/>
                      <w:lang w:val="en-US" w:eastAsia="zh-CN"/>
                    </w:rPr>
                  </w:pPr>
                  <w:r>
                    <w:rPr>
                      <w:rFonts w:hint="eastAsia" w:cs="Times New Roman"/>
                      <w:color w:val="auto"/>
                      <w:sz w:val="21"/>
                      <w:szCs w:val="21"/>
                      <w:highlight w:val="none"/>
                      <w:lang w:val="zh-CN" w:eastAsia="zh-CN"/>
                    </w:rPr>
                    <w:t>硫酸稀释、蒙砂液配制与蒙砂过程共同置于封闭生产车间内，生产车间保持负压状态，并在上方设置集气管道，</w:t>
                  </w:r>
                  <w:r>
                    <w:rPr>
                      <w:rFonts w:hint="default" w:ascii="Times New Roman" w:hAnsi="Times New Roman" w:cs="Times New Roman"/>
                      <w:color w:val="auto"/>
                      <w:sz w:val="21"/>
                      <w:szCs w:val="21"/>
                      <w:highlight w:val="none"/>
                      <w:lang w:val="zh-CN" w:eastAsia="zh-CN"/>
                    </w:rPr>
                    <w:t>硫酸挥发废气、配料废气</w:t>
                  </w:r>
                  <w:r>
                    <w:rPr>
                      <w:rFonts w:hint="eastAsia" w:cs="Times New Roman"/>
                      <w:color w:val="auto"/>
                      <w:sz w:val="21"/>
                      <w:szCs w:val="21"/>
                      <w:highlight w:val="none"/>
                      <w:lang w:val="zh-CN" w:eastAsia="zh-CN"/>
                    </w:rPr>
                    <w:t>和蒙砂</w:t>
                  </w:r>
                  <w:r>
                    <w:rPr>
                      <w:rFonts w:hint="default" w:ascii="Times New Roman" w:hAnsi="Times New Roman" w:cs="Times New Roman"/>
                      <w:color w:val="auto"/>
                      <w:sz w:val="21"/>
                      <w:szCs w:val="21"/>
                      <w:highlight w:val="none"/>
                      <w:lang w:val="zh-CN" w:eastAsia="zh-CN"/>
                    </w:rPr>
                    <w:t>废气由</w:t>
                  </w:r>
                  <w:r>
                    <w:rPr>
                      <w:rFonts w:hint="eastAsia" w:ascii="Times New Roman" w:hAnsi="Times New Roman" w:cs="Times New Roman"/>
                      <w:color w:val="auto"/>
                      <w:sz w:val="21"/>
                      <w:szCs w:val="21"/>
                      <w:highlight w:val="none"/>
                      <w:lang w:val="zh-CN" w:eastAsia="zh-CN"/>
                    </w:rPr>
                    <w:t>封</w:t>
                  </w:r>
                  <w:r>
                    <w:rPr>
                      <w:rFonts w:hint="default" w:ascii="Times New Roman" w:hAnsi="Times New Roman" w:cs="Times New Roman"/>
                      <w:color w:val="auto"/>
                      <w:sz w:val="21"/>
                      <w:szCs w:val="21"/>
                      <w:highlight w:val="none"/>
                      <w:lang w:val="zh-CN" w:eastAsia="zh-CN"/>
                    </w:rPr>
                    <w:t>闭生产</w:t>
                  </w:r>
                  <w:r>
                    <w:rPr>
                      <w:rFonts w:hint="eastAsia" w:ascii="Times New Roman" w:hAnsi="Times New Roman" w:cs="Times New Roman"/>
                      <w:color w:val="auto"/>
                      <w:sz w:val="21"/>
                      <w:szCs w:val="21"/>
                      <w:highlight w:val="none"/>
                      <w:lang w:val="zh-CN" w:eastAsia="zh-CN"/>
                    </w:rPr>
                    <w:t>车间</w:t>
                  </w:r>
                  <w:r>
                    <w:rPr>
                      <w:rFonts w:hint="default" w:ascii="Times New Roman" w:hAnsi="Times New Roman" w:cs="Times New Roman"/>
                      <w:color w:val="auto"/>
                      <w:sz w:val="21"/>
                      <w:szCs w:val="21"/>
                      <w:highlight w:val="none"/>
                      <w:lang w:val="en-US" w:eastAsia="zh-CN"/>
                    </w:rPr>
                    <w:t>集气管道</w:t>
                  </w:r>
                  <w:r>
                    <w:rPr>
                      <w:rFonts w:hint="default" w:ascii="Times New Roman" w:hAnsi="Times New Roman" w:cs="Times New Roman"/>
                      <w:color w:val="auto"/>
                      <w:sz w:val="21"/>
                      <w:szCs w:val="21"/>
                      <w:highlight w:val="none"/>
                      <w:lang w:val="zh-CN" w:eastAsia="zh-CN"/>
                    </w:rPr>
                    <w:t>收集后，</w:t>
                  </w:r>
                  <w:r>
                    <w:rPr>
                      <w:rFonts w:hint="eastAsia" w:ascii="Times New Roman" w:hAnsi="Times New Roman" w:cs="Times New Roman"/>
                      <w:color w:val="auto"/>
                      <w:sz w:val="21"/>
                      <w:szCs w:val="21"/>
                      <w:highlight w:val="none"/>
                      <w:lang w:val="zh-CN" w:eastAsia="zh-CN"/>
                    </w:rPr>
                    <w:t>通过</w:t>
                  </w:r>
                  <w:r>
                    <w:rPr>
                      <w:rFonts w:hint="default" w:ascii="Times New Roman" w:hAnsi="Times New Roman" w:cs="Times New Roman"/>
                      <w:color w:val="auto"/>
                      <w:sz w:val="21"/>
                      <w:szCs w:val="21"/>
                      <w:highlight w:val="none"/>
                      <w:lang w:val="zh-CN" w:eastAsia="zh-CN"/>
                    </w:rPr>
                    <w:t>一套碱液喷淋洗涤塔废气治理设施处理，</w:t>
                  </w:r>
                  <w:r>
                    <w:rPr>
                      <w:rFonts w:hint="eastAsia" w:cs="Times New Roman"/>
                      <w:color w:val="auto"/>
                      <w:sz w:val="21"/>
                      <w:szCs w:val="21"/>
                      <w:highlight w:val="none"/>
                      <w:lang w:val="zh-CN" w:eastAsia="zh-CN"/>
                    </w:rPr>
                    <w:t>后</w:t>
                  </w:r>
                  <w:r>
                    <w:rPr>
                      <w:rFonts w:hint="default" w:ascii="Times New Roman" w:hAnsi="Times New Roman" w:cs="Times New Roman"/>
                      <w:color w:val="auto"/>
                      <w:sz w:val="21"/>
                      <w:szCs w:val="21"/>
                      <w:highlight w:val="none"/>
                      <w:lang w:val="zh-CN" w:eastAsia="zh-CN"/>
                    </w:rPr>
                    <w:t>经15m高排气筒（</w:t>
                  </w: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z w:val="21"/>
                      <w:szCs w:val="21"/>
                      <w:highlight w:val="none"/>
                      <w:lang w:val="zh-CN" w:eastAsia="zh-CN"/>
                    </w:rPr>
                    <w:t>）排放</w:t>
                  </w:r>
                  <w:r>
                    <w:rPr>
                      <w:rFonts w:hint="default" w:ascii="Times New Roman" w:hAnsi="Times New Roman" w:cs="Times New Roman"/>
                      <w:color w:val="auto"/>
                      <w:sz w:val="21"/>
                      <w:szCs w:val="21"/>
                      <w:highlight w:val="none"/>
                      <w:lang w:eastAsia="zh-CN"/>
                    </w:rPr>
                    <w:t>。</w:t>
                  </w:r>
                </w:p>
              </w:tc>
              <w:tc>
                <w:tcPr>
                  <w:tcW w:w="748" w:type="dxa"/>
                  <w:vMerge w:val="restart"/>
                  <w:vAlign w:val="center"/>
                </w:tcPr>
                <w:p w14:paraId="6F21ABF9">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新建</w:t>
                  </w:r>
                </w:p>
              </w:tc>
            </w:tr>
            <w:tr w14:paraId="2CCB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4E52DC45">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3061C8F8">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4C2EF4CC">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配料废气</w:t>
                  </w:r>
                </w:p>
              </w:tc>
              <w:tc>
                <w:tcPr>
                  <w:tcW w:w="4207" w:type="dxa"/>
                  <w:gridSpan w:val="2"/>
                  <w:vMerge w:val="continue"/>
                  <w:vAlign w:val="center"/>
                </w:tcPr>
                <w:p w14:paraId="70380CD1">
                  <w:pPr>
                    <w:adjustRightInd w:val="0"/>
                    <w:snapToGrid w:val="0"/>
                    <w:spacing w:line="0" w:lineRule="atLeast"/>
                    <w:jc w:val="center"/>
                    <w:rPr>
                      <w:rFonts w:hint="eastAsia" w:cs="Times New Roman"/>
                      <w:color w:val="auto"/>
                      <w:sz w:val="21"/>
                      <w:szCs w:val="21"/>
                      <w:highlight w:val="none"/>
                      <w:lang w:val="en-US" w:eastAsia="zh-CN"/>
                    </w:rPr>
                  </w:pPr>
                </w:p>
              </w:tc>
              <w:tc>
                <w:tcPr>
                  <w:tcW w:w="748" w:type="dxa"/>
                  <w:vMerge w:val="continue"/>
                  <w:vAlign w:val="center"/>
                </w:tcPr>
                <w:p w14:paraId="1A0010FA">
                  <w:pPr>
                    <w:adjustRightInd w:val="0"/>
                    <w:snapToGrid w:val="0"/>
                    <w:spacing w:line="0" w:lineRule="atLeast"/>
                    <w:jc w:val="center"/>
                    <w:rPr>
                      <w:rFonts w:hint="eastAsia" w:cs="Times New Roman"/>
                      <w:color w:val="auto"/>
                      <w:kern w:val="2"/>
                      <w:sz w:val="21"/>
                      <w:szCs w:val="21"/>
                      <w:highlight w:val="none"/>
                      <w:lang w:val="en-US" w:eastAsia="zh-CN" w:bidi="ar-SA"/>
                    </w:rPr>
                  </w:pPr>
                </w:p>
              </w:tc>
            </w:tr>
            <w:tr w14:paraId="1694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6AF11C27">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55B520A6">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4F40FCE7">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蒙砂废气</w:t>
                  </w:r>
                </w:p>
              </w:tc>
              <w:tc>
                <w:tcPr>
                  <w:tcW w:w="4207" w:type="dxa"/>
                  <w:gridSpan w:val="2"/>
                  <w:vMerge w:val="continue"/>
                  <w:vAlign w:val="center"/>
                </w:tcPr>
                <w:p w14:paraId="5794B86C">
                  <w:pPr>
                    <w:adjustRightInd w:val="0"/>
                    <w:snapToGrid w:val="0"/>
                    <w:spacing w:line="0" w:lineRule="atLeast"/>
                    <w:jc w:val="center"/>
                    <w:rPr>
                      <w:rFonts w:hint="eastAsia" w:cs="Times New Roman"/>
                      <w:color w:val="auto"/>
                      <w:sz w:val="21"/>
                      <w:szCs w:val="21"/>
                      <w:highlight w:val="none"/>
                      <w:lang w:val="en-US" w:eastAsia="zh-CN"/>
                    </w:rPr>
                  </w:pPr>
                </w:p>
              </w:tc>
              <w:tc>
                <w:tcPr>
                  <w:tcW w:w="748" w:type="dxa"/>
                  <w:vMerge w:val="continue"/>
                  <w:vAlign w:val="center"/>
                </w:tcPr>
                <w:p w14:paraId="1CB245EE">
                  <w:pPr>
                    <w:adjustRightInd w:val="0"/>
                    <w:snapToGrid w:val="0"/>
                    <w:spacing w:line="0" w:lineRule="atLeast"/>
                    <w:jc w:val="center"/>
                    <w:rPr>
                      <w:rFonts w:hint="eastAsia" w:cs="Times New Roman"/>
                      <w:color w:val="auto"/>
                      <w:kern w:val="2"/>
                      <w:sz w:val="21"/>
                      <w:szCs w:val="21"/>
                      <w:highlight w:val="none"/>
                      <w:lang w:val="en-US" w:eastAsia="zh-CN" w:bidi="ar-SA"/>
                    </w:rPr>
                  </w:pPr>
                </w:p>
              </w:tc>
            </w:tr>
            <w:tr w14:paraId="70EE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6741780E">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242BB265">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10F834A5">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食堂油烟</w:t>
                  </w:r>
                </w:p>
              </w:tc>
              <w:tc>
                <w:tcPr>
                  <w:tcW w:w="4207" w:type="dxa"/>
                  <w:gridSpan w:val="2"/>
                  <w:vAlign w:val="center"/>
                </w:tcPr>
                <w:p w14:paraId="6792D73F">
                  <w:pPr>
                    <w:adjustRightInd w:val="0"/>
                    <w:snapToGrid w:val="0"/>
                    <w:spacing w:line="0" w:lineRule="atLeas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依托原有油烟净化</w:t>
                  </w:r>
                  <w:r>
                    <w:rPr>
                      <w:rFonts w:hint="eastAsia" w:cs="Times New Roman"/>
                      <w:color w:val="auto"/>
                      <w:sz w:val="21"/>
                      <w:szCs w:val="21"/>
                      <w:highlight w:val="none"/>
                      <w:lang w:val="en-US" w:eastAsia="zh-CN"/>
                    </w:rPr>
                    <w:t>装置</w:t>
                  </w:r>
                  <w:r>
                    <w:rPr>
                      <w:rFonts w:hint="eastAsia" w:ascii="Times New Roman" w:hAnsi="Times New Roman" w:cs="Times New Roman"/>
                      <w:color w:val="auto"/>
                      <w:sz w:val="21"/>
                      <w:szCs w:val="21"/>
                      <w:highlight w:val="none"/>
                      <w:lang w:val="en-US" w:eastAsia="zh-CN"/>
                    </w:rPr>
                    <w:t>及高于楼顶1.5m的排气筒。</w:t>
                  </w:r>
                </w:p>
              </w:tc>
              <w:tc>
                <w:tcPr>
                  <w:tcW w:w="748" w:type="dxa"/>
                  <w:vAlign w:val="center"/>
                </w:tcPr>
                <w:p w14:paraId="0833405C">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w:t>
                  </w:r>
                </w:p>
              </w:tc>
            </w:tr>
            <w:tr w14:paraId="6028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1CD1BBE3">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65CD7CC1">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061F22D2">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化粪池、污水处理站异味</w:t>
                  </w:r>
                </w:p>
              </w:tc>
              <w:tc>
                <w:tcPr>
                  <w:tcW w:w="4207" w:type="dxa"/>
                  <w:gridSpan w:val="2"/>
                  <w:vAlign w:val="center"/>
                </w:tcPr>
                <w:p w14:paraId="3841A1F6">
                  <w:pPr>
                    <w:adjustRightInd w:val="0"/>
                    <w:snapToGrid w:val="0"/>
                    <w:spacing w:line="0" w:lineRule="atLeast"/>
                    <w:jc w:val="center"/>
                    <w:rPr>
                      <w:rFonts w:hint="eastAsia"/>
                      <w:color w:val="auto"/>
                      <w:sz w:val="21"/>
                      <w:szCs w:val="21"/>
                      <w:highlight w:val="none"/>
                      <w:lang w:val="en-US" w:eastAsia="zh-CN"/>
                    </w:rPr>
                  </w:pPr>
                  <w:r>
                    <w:rPr>
                      <w:rFonts w:hint="eastAsia"/>
                      <w:color w:val="auto"/>
                      <w:sz w:val="21"/>
                      <w:szCs w:val="21"/>
                      <w:highlight w:val="none"/>
                      <w:lang w:val="en-US" w:eastAsia="zh-CN"/>
                    </w:rPr>
                    <w:t>依托原有地埋式化粪池，定期喷洒除臭剂</w:t>
                  </w:r>
                </w:p>
              </w:tc>
              <w:tc>
                <w:tcPr>
                  <w:tcW w:w="748" w:type="dxa"/>
                  <w:vAlign w:val="center"/>
                </w:tcPr>
                <w:p w14:paraId="19B1B128">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w:t>
                  </w:r>
                </w:p>
              </w:tc>
            </w:tr>
            <w:tr w14:paraId="4B06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694" w:type="dxa"/>
                  <w:vMerge w:val="continue"/>
                  <w:vAlign w:val="center"/>
                </w:tcPr>
                <w:p w14:paraId="70FD1A5F">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restart"/>
                  <w:vAlign w:val="center"/>
                </w:tcPr>
                <w:p w14:paraId="3F521DEC">
                  <w:pPr>
                    <w:pStyle w:val="16"/>
                    <w:adjustRightInd w:val="0"/>
                    <w:snapToGrid w:val="0"/>
                    <w:spacing w:line="0" w:lineRule="atLeas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废水</w:t>
                  </w:r>
                  <w:r>
                    <w:rPr>
                      <w:rFonts w:hint="eastAsia" w:cs="Times New Roman"/>
                      <w:color w:val="auto"/>
                      <w:sz w:val="21"/>
                      <w:szCs w:val="21"/>
                      <w:highlight w:val="none"/>
                      <w:lang w:eastAsia="zh-CN"/>
                    </w:rPr>
                    <w:t>处理设施</w:t>
                  </w:r>
                </w:p>
              </w:tc>
              <w:tc>
                <w:tcPr>
                  <w:tcW w:w="1605" w:type="dxa"/>
                  <w:vAlign w:val="center"/>
                </w:tcPr>
                <w:p w14:paraId="093FE7F8">
                  <w:pPr>
                    <w:pStyle w:val="16"/>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雨污分流</w:t>
                  </w:r>
                </w:p>
              </w:tc>
              <w:tc>
                <w:tcPr>
                  <w:tcW w:w="4207" w:type="dxa"/>
                  <w:gridSpan w:val="2"/>
                  <w:vAlign w:val="center"/>
                </w:tcPr>
                <w:p w14:paraId="4927D9CE">
                  <w:pPr>
                    <w:pStyle w:val="16"/>
                    <w:adjustRightInd w:val="0"/>
                    <w:snapToGrid w:val="0"/>
                    <w:spacing w:line="0" w:lineRule="atLeast"/>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依托原有雨污分流系统。</w:t>
                  </w:r>
                </w:p>
              </w:tc>
              <w:tc>
                <w:tcPr>
                  <w:tcW w:w="748" w:type="dxa"/>
                  <w:vAlign w:val="center"/>
                </w:tcPr>
                <w:p w14:paraId="595D07DB">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5CBF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694" w:type="dxa"/>
                  <w:vMerge w:val="continue"/>
                  <w:vAlign w:val="center"/>
                </w:tcPr>
                <w:p w14:paraId="12C151E3">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375F6B98">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11BABEF2">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食堂废水</w:t>
                  </w:r>
                </w:p>
              </w:tc>
              <w:tc>
                <w:tcPr>
                  <w:tcW w:w="4207" w:type="dxa"/>
                  <w:gridSpan w:val="2"/>
                  <w:vAlign w:val="center"/>
                </w:tcPr>
                <w:p w14:paraId="7F6B7FE4">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依托原有0.5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en-US" w:eastAsia="zh-CN"/>
                    </w:rPr>
                    <w:t>隔油池</w:t>
                  </w:r>
                  <w:r>
                    <w:rPr>
                      <w:rFonts w:hint="default" w:ascii="Times New Roman" w:hAnsi="Times New Roman" w:eastAsia="宋体" w:cs="Times New Roman"/>
                      <w:color w:val="auto"/>
                      <w:sz w:val="21"/>
                      <w:szCs w:val="21"/>
                      <w:highlight w:val="none"/>
                      <w:vertAlign w:val="baseline"/>
                      <w:lang w:val="en-US" w:eastAsia="zh-CN"/>
                    </w:rPr>
                    <w:t>。</w:t>
                  </w:r>
                </w:p>
              </w:tc>
              <w:tc>
                <w:tcPr>
                  <w:tcW w:w="748" w:type="dxa"/>
                  <w:vAlign w:val="center"/>
                </w:tcPr>
                <w:p w14:paraId="7A799D59">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依托</w:t>
                  </w:r>
                </w:p>
              </w:tc>
            </w:tr>
            <w:tr w14:paraId="438D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5EBD96F1">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72C6823F">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Merge w:val="restart"/>
                  <w:vAlign w:val="center"/>
                </w:tcPr>
                <w:p w14:paraId="6B28D439">
                  <w:pPr>
                    <w:pStyle w:val="16"/>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4207" w:type="dxa"/>
                  <w:gridSpan w:val="2"/>
                  <w:vAlign w:val="center"/>
                </w:tcPr>
                <w:p w14:paraId="4DB0EB88">
                  <w:pPr>
                    <w:pStyle w:val="16"/>
                    <w:adjustRightInd w:val="0"/>
                    <w:snapToGrid w:val="0"/>
                    <w:spacing w:line="0" w:lineRule="atLeast"/>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依托原有5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en-US" w:eastAsia="zh-CN"/>
                    </w:rPr>
                    <w:t>化粪池</w:t>
                  </w:r>
                  <w:r>
                    <w:rPr>
                      <w:rFonts w:hint="eastAsia" w:cs="Times New Roman"/>
                      <w:color w:val="auto"/>
                      <w:sz w:val="21"/>
                      <w:szCs w:val="21"/>
                      <w:highlight w:val="none"/>
                      <w:lang w:val="en-US" w:eastAsia="zh-CN"/>
                    </w:rPr>
                    <w:t>，位于办公楼北侧</w:t>
                  </w:r>
                  <w:r>
                    <w:rPr>
                      <w:rFonts w:hint="default" w:ascii="Times New Roman" w:hAnsi="Times New Roman" w:eastAsia="宋体" w:cs="Times New Roman"/>
                      <w:color w:val="auto"/>
                      <w:sz w:val="21"/>
                      <w:szCs w:val="21"/>
                      <w:highlight w:val="none"/>
                      <w:vertAlign w:val="baseline"/>
                      <w:lang w:val="en-US" w:eastAsia="zh-CN"/>
                    </w:rPr>
                    <w:t>。</w:t>
                  </w:r>
                </w:p>
              </w:tc>
              <w:tc>
                <w:tcPr>
                  <w:tcW w:w="748" w:type="dxa"/>
                  <w:vMerge w:val="restart"/>
                  <w:vAlign w:val="center"/>
                </w:tcPr>
                <w:p w14:paraId="7F25B19B">
                  <w:pPr>
                    <w:adjustRightInd w:val="0"/>
                    <w:snapToGrid w:val="0"/>
                    <w:spacing w:line="0" w:lineRule="atLeast"/>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依托</w:t>
                  </w:r>
                </w:p>
              </w:tc>
            </w:tr>
            <w:tr w14:paraId="7674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1CADFD0A">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7AC4D599">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Merge w:val="continue"/>
                  <w:vAlign w:val="center"/>
                </w:tcPr>
                <w:p w14:paraId="7E7B2703">
                  <w:pPr>
                    <w:pStyle w:val="16"/>
                    <w:adjustRightInd w:val="0"/>
                    <w:snapToGrid w:val="0"/>
                    <w:spacing w:line="0" w:lineRule="atLeast"/>
                    <w:jc w:val="center"/>
                    <w:rPr>
                      <w:rFonts w:hint="eastAsia" w:cs="Times New Roman"/>
                      <w:color w:val="auto"/>
                      <w:sz w:val="21"/>
                      <w:szCs w:val="21"/>
                      <w:highlight w:val="none"/>
                      <w:lang w:val="en-US" w:eastAsia="zh-CN"/>
                    </w:rPr>
                  </w:pPr>
                </w:p>
              </w:tc>
              <w:tc>
                <w:tcPr>
                  <w:tcW w:w="4207" w:type="dxa"/>
                  <w:gridSpan w:val="2"/>
                  <w:vAlign w:val="center"/>
                </w:tcPr>
                <w:p w14:paraId="494FE987">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依托原有处理规模为5m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/d的生活污水处理站，位于办公楼北侧。</w:t>
                  </w:r>
                </w:p>
              </w:tc>
              <w:tc>
                <w:tcPr>
                  <w:tcW w:w="748" w:type="dxa"/>
                  <w:vMerge w:val="continue"/>
                  <w:vAlign w:val="center"/>
                </w:tcPr>
                <w:p w14:paraId="42CBFE1A">
                  <w:pPr>
                    <w:adjustRightInd w:val="0"/>
                    <w:snapToGrid w:val="0"/>
                    <w:spacing w:line="0" w:lineRule="atLeast"/>
                    <w:jc w:val="center"/>
                    <w:rPr>
                      <w:rFonts w:hint="eastAsia" w:cs="Times New Roman"/>
                      <w:color w:val="auto"/>
                      <w:sz w:val="21"/>
                      <w:szCs w:val="21"/>
                      <w:highlight w:val="none"/>
                      <w:lang w:val="en-US" w:eastAsia="zh-CN"/>
                    </w:rPr>
                  </w:pPr>
                </w:p>
              </w:tc>
            </w:tr>
            <w:tr w14:paraId="538E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694" w:type="dxa"/>
                  <w:vMerge w:val="continue"/>
                  <w:vAlign w:val="center"/>
                </w:tcPr>
                <w:p w14:paraId="08D97F4A">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72D0109B">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Merge w:val="continue"/>
                  <w:vAlign w:val="center"/>
                </w:tcPr>
                <w:p w14:paraId="308362DF">
                  <w:pPr>
                    <w:pStyle w:val="16"/>
                    <w:adjustRightInd w:val="0"/>
                    <w:snapToGrid w:val="0"/>
                    <w:spacing w:line="0" w:lineRule="atLeast"/>
                    <w:jc w:val="center"/>
                    <w:rPr>
                      <w:rFonts w:hint="eastAsia" w:cs="Times New Roman"/>
                      <w:color w:val="auto"/>
                      <w:sz w:val="21"/>
                      <w:szCs w:val="21"/>
                      <w:highlight w:val="none"/>
                      <w:lang w:val="en-US" w:eastAsia="zh-CN"/>
                    </w:rPr>
                  </w:pPr>
                </w:p>
              </w:tc>
              <w:tc>
                <w:tcPr>
                  <w:tcW w:w="4207" w:type="dxa"/>
                  <w:gridSpan w:val="2"/>
                  <w:vAlign w:val="top"/>
                </w:tcPr>
                <w:p w14:paraId="38E8865A">
                  <w:pPr>
                    <w:spacing w:before="54" w:line="228" w:lineRule="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将原有容积为15m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的蓄水池扩容至25m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r>
                    <w:rPr>
                      <w:rFonts w:hint="eastAsia" w:cs="Times New Roman"/>
                      <w:color w:val="auto"/>
                      <w:sz w:val="21"/>
                      <w:szCs w:val="21"/>
                      <w:highlight w:val="none"/>
                      <w:lang w:val="en-US" w:eastAsia="zh-CN"/>
                    </w:rPr>
                    <w:t>用于暂存雨天处理后的生活污水。</w:t>
                  </w:r>
                </w:p>
              </w:tc>
              <w:tc>
                <w:tcPr>
                  <w:tcW w:w="748" w:type="dxa"/>
                  <w:vAlign w:val="center"/>
                </w:tcPr>
                <w:p w14:paraId="2469CBD4">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2D0C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694" w:type="dxa"/>
                  <w:vMerge w:val="continue"/>
                  <w:vAlign w:val="center"/>
                </w:tcPr>
                <w:p w14:paraId="6A59A757">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647BE472">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6E53DC15">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磨边清洗废水</w:t>
                  </w:r>
                </w:p>
              </w:tc>
              <w:tc>
                <w:tcPr>
                  <w:tcW w:w="4207" w:type="dxa"/>
                  <w:gridSpan w:val="2"/>
                  <w:vAlign w:val="top"/>
                </w:tcPr>
                <w:p w14:paraId="1E78CAFA">
                  <w:pPr>
                    <w:spacing w:before="54" w:line="228" w:lineRule="auto"/>
                    <w:rPr>
                      <w:rFonts w:hint="eastAsia" w:ascii="宋体" w:hAnsi="宋体" w:eastAsia="宋体" w:cs="宋体"/>
                      <w:color w:val="auto"/>
                      <w:kern w:val="2"/>
                      <w:sz w:val="21"/>
                      <w:szCs w:val="21"/>
                      <w:highlight w:val="none"/>
                      <w:lang w:val="en-US" w:eastAsia="zh-CN" w:bidi="ar-SA"/>
                    </w:rPr>
                  </w:pPr>
                  <w:r>
                    <w:rPr>
                      <w:rFonts w:hint="eastAsia" w:cs="Times New Roman"/>
                      <w:color w:val="auto"/>
                      <w:sz w:val="21"/>
                      <w:szCs w:val="21"/>
                      <w:highlight w:val="none"/>
                      <w:lang w:val="en-US" w:eastAsia="zh-CN"/>
                    </w:rPr>
                    <w:t>依托原有的沉淀循环系统（</w:t>
                  </w:r>
                  <w:r>
                    <w:rPr>
                      <w:rFonts w:hint="eastAsia" w:ascii="宋体" w:hAnsi="宋体"/>
                      <w:color w:val="auto"/>
                      <w:szCs w:val="21"/>
                      <w:highlight w:val="none"/>
                    </w:rPr>
                    <w:t>玻璃磨边处设置沉淀循环水池1个，容积为</w:t>
                  </w:r>
                  <w:r>
                    <w:rPr>
                      <w:rFonts w:hint="default" w:ascii="Times New Roman" w:hAnsi="Times New Roman" w:cs="Times New Roman"/>
                      <w:color w:val="auto"/>
                      <w:szCs w:val="21"/>
                      <w:highlight w:val="none"/>
                    </w:rPr>
                    <w:t>2m</w:t>
                  </w:r>
                  <w:r>
                    <w:rPr>
                      <w:rFonts w:hint="default" w:ascii="Times New Roman" w:hAnsi="Times New Roman" w:cs="Times New Roman"/>
                      <w:color w:val="auto"/>
                      <w:szCs w:val="21"/>
                      <w:highlight w:val="none"/>
                      <w:vertAlign w:val="superscript"/>
                    </w:rPr>
                    <w:t>3</w:t>
                  </w:r>
                  <w:r>
                    <w:rPr>
                      <w:rFonts w:hint="eastAsia" w:cs="Times New Roman"/>
                      <w:color w:val="auto"/>
                      <w:sz w:val="21"/>
                      <w:szCs w:val="21"/>
                      <w:highlight w:val="none"/>
                      <w:lang w:val="en-US" w:eastAsia="zh-CN"/>
                    </w:rPr>
                    <w:t>）</w:t>
                  </w:r>
                </w:p>
              </w:tc>
              <w:tc>
                <w:tcPr>
                  <w:tcW w:w="748" w:type="dxa"/>
                  <w:vAlign w:val="center"/>
                </w:tcPr>
                <w:p w14:paraId="18D1C880">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0033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694" w:type="dxa"/>
                  <w:vMerge w:val="continue"/>
                  <w:vAlign w:val="center"/>
                </w:tcPr>
                <w:p w14:paraId="27F00D98">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48FF4B47">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4E6F532C">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弱酸清洗废液</w:t>
                  </w:r>
                </w:p>
              </w:tc>
              <w:tc>
                <w:tcPr>
                  <w:tcW w:w="2025" w:type="dxa"/>
                  <w:vMerge w:val="restart"/>
                  <w:vAlign w:val="top"/>
                </w:tcPr>
                <w:p w14:paraId="6D4E49B0">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清洗机自带2个循环水箱，分别用于弱酸液循环和水循环</w:t>
                  </w:r>
                </w:p>
              </w:tc>
              <w:tc>
                <w:tcPr>
                  <w:tcW w:w="2182" w:type="dxa"/>
                  <w:vMerge w:val="restart"/>
                  <w:vAlign w:val="top"/>
                </w:tcPr>
                <w:p w14:paraId="287A86BA">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olor w:val="auto"/>
                      <w:sz w:val="21"/>
                      <w:szCs w:val="21"/>
                      <w:highlight w:val="none"/>
                      <w:lang w:eastAsia="zh-CN"/>
                    </w:rPr>
                    <w:t>新建一座</w:t>
                  </w:r>
                  <w:r>
                    <w:rPr>
                      <w:color w:val="auto"/>
                      <w:sz w:val="21"/>
                      <w:szCs w:val="21"/>
                      <w:highlight w:val="none"/>
                    </w:rPr>
                    <w:t>处理规模</w:t>
                  </w:r>
                  <w:r>
                    <w:rPr>
                      <w:rFonts w:hint="eastAsia"/>
                      <w:color w:val="auto"/>
                      <w:sz w:val="21"/>
                      <w:szCs w:val="21"/>
                      <w:highlight w:val="none"/>
                      <w:lang w:eastAsia="zh-CN"/>
                    </w:rPr>
                    <w:t>为</w:t>
                  </w:r>
                  <w:r>
                    <w:rPr>
                      <w:color w:val="auto"/>
                      <w:sz w:val="21"/>
                      <w:szCs w:val="21"/>
                      <w:highlight w:val="none"/>
                    </w:rPr>
                    <w:t>2m</w:t>
                  </w:r>
                  <w:r>
                    <w:rPr>
                      <w:color w:val="auto"/>
                      <w:sz w:val="21"/>
                      <w:szCs w:val="21"/>
                      <w:highlight w:val="none"/>
                      <w:vertAlign w:val="superscript"/>
                    </w:rPr>
                    <w:t>3</w:t>
                  </w:r>
                  <w:r>
                    <w:rPr>
                      <w:color w:val="auto"/>
                      <w:sz w:val="21"/>
                      <w:szCs w:val="21"/>
                      <w:highlight w:val="none"/>
                    </w:rPr>
                    <w:t>/d</w:t>
                  </w:r>
                  <w:r>
                    <w:rPr>
                      <w:rFonts w:hint="eastAsia"/>
                      <w:color w:val="auto"/>
                      <w:sz w:val="21"/>
                      <w:szCs w:val="21"/>
                      <w:highlight w:val="none"/>
                      <w:lang w:eastAsia="zh-CN"/>
                    </w:rPr>
                    <w:t>的生产废</w:t>
                  </w:r>
                  <w:r>
                    <w:rPr>
                      <w:color w:val="auto"/>
                      <w:sz w:val="21"/>
                      <w:szCs w:val="21"/>
                      <w:highlight w:val="none"/>
                    </w:rPr>
                    <w:t>水处理</w:t>
                  </w:r>
                  <w:r>
                    <w:rPr>
                      <w:rFonts w:hint="eastAsia"/>
                      <w:color w:val="auto"/>
                      <w:sz w:val="21"/>
                      <w:szCs w:val="21"/>
                      <w:highlight w:val="none"/>
                      <w:lang w:eastAsia="zh-CN"/>
                    </w:rPr>
                    <w:t>设施</w:t>
                  </w:r>
                  <w:r>
                    <w:rPr>
                      <w:color w:val="auto"/>
                      <w:sz w:val="21"/>
                      <w:szCs w:val="21"/>
                      <w:highlight w:val="none"/>
                    </w:rPr>
                    <w:t>，</w:t>
                  </w:r>
                  <w:r>
                    <w:rPr>
                      <w:rFonts w:hint="eastAsia"/>
                      <w:color w:val="auto"/>
                      <w:sz w:val="21"/>
                      <w:szCs w:val="21"/>
                      <w:highlight w:val="none"/>
                      <w:lang w:eastAsia="zh-CN"/>
                    </w:rPr>
                    <w:t>用于</w:t>
                  </w:r>
                  <w:r>
                    <w:rPr>
                      <w:color w:val="auto"/>
                      <w:sz w:val="21"/>
                      <w:szCs w:val="21"/>
                      <w:highlight w:val="none"/>
                    </w:rPr>
                    <w:t>处理</w:t>
                  </w:r>
                  <w:r>
                    <w:rPr>
                      <w:rFonts w:hint="eastAsia"/>
                      <w:color w:val="auto"/>
                      <w:sz w:val="21"/>
                      <w:szCs w:val="21"/>
                      <w:highlight w:val="none"/>
                      <w:lang w:eastAsia="zh-CN"/>
                    </w:rPr>
                    <w:t>生产过程产生的废水。</w:t>
                  </w:r>
                  <w:r>
                    <w:rPr>
                      <w:rFonts w:hint="eastAsia" w:cs="Times New Roman"/>
                      <w:color w:val="auto"/>
                      <w:kern w:val="2"/>
                      <w:sz w:val="21"/>
                      <w:szCs w:val="21"/>
                      <w:highlight w:val="none"/>
                      <w:lang w:val="en-US" w:eastAsia="zh-CN" w:bidi="ar-SA"/>
                    </w:rPr>
                    <w:t>配套新建1座容积为15m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的调节池，用于调节生产废水的水质，新建1座容积为15m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的清水池，用于暂存经处理后可回用的清水。</w:t>
                  </w:r>
                </w:p>
              </w:tc>
              <w:tc>
                <w:tcPr>
                  <w:tcW w:w="748" w:type="dxa"/>
                  <w:vMerge w:val="restart"/>
                  <w:vAlign w:val="center"/>
                </w:tcPr>
                <w:p w14:paraId="2A1D95FF">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03EE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4" w:type="dxa"/>
                  <w:vMerge w:val="continue"/>
                  <w:vAlign w:val="center"/>
                </w:tcPr>
                <w:p w14:paraId="6894C4FA">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3A9BDFF2">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1A5CC98B">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预水洗废水</w:t>
                  </w:r>
                </w:p>
              </w:tc>
              <w:tc>
                <w:tcPr>
                  <w:tcW w:w="2025" w:type="dxa"/>
                  <w:vMerge w:val="continue"/>
                  <w:vAlign w:val="top"/>
                </w:tcPr>
                <w:p w14:paraId="026E58A5">
                  <w:pPr>
                    <w:pStyle w:val="16"/>
                    <w:adjustRightInd w:val="0"/>
                    <w:snapToGrid w:val="0"/>
                    <w:spacing w:line="0" w:lineRule="atLeast"/>
                    <w:jc w:val="center"/>
                    <w:rPr>
                      <w:rFonts w:hint="eastAsia" w:eastAsia="宋体" w:cs="Times New Roman"/>
                      <w:color w:val="auto"/>
                      <w:sz w:val="21"/>
                      <w:szCs w:val="21"/>
                      <w:highlight w:val="none"/>
                      <w:lang w:val="en-US" w:eastAsia="zh-CN"/>
                    </w:rPr>
                  </w:pPr>
                </w:p>
              </w:tc>
              <w:tc>
                <w:tcPr>
                  <w:tcW w:w="2182" w:type="dxa"/>
                  <w:vMerge w:val="continue"/>
                  <w:vAlign w:val="top"/>
                </w:tcPr>
                <w:p w14:paraId="5B04AC10">
                  <w:pPr>
                    <w:pStyle w:val="16"/>
                    <w:adjustRightInd w:val="0"/>
                    <w:snapToGrid w:val="0"/>
                    <w:spacing w:line="0" w:lineRule="atLeast"/>
                    <w:jc w:val="center"/>
                    <w:rPr>
                      <w:rFonts w:hint="eastAsia" w:eastAsia="宋体" w:cs="Times New Roman"/>
                      <w:color w:val="auto"/>
                      <w:sz w:val="21"/>
                      <w:szCs w:val="21"/>
                      <w:highlight w:val="none"/>
                      <w:lang w:val="en-US" w:eastAsia="zh-CN"/>
                    </w:rPr>
                  </w:pPr>
                </w:p>
              </w:tc>
              <w:tc>
                <w:tcPr>
                  <w:tcW w:w="748" w:type="dxa"/>
                  <w:vMerge w:val="continue"/>
                  <w:vAlign w:val="center"/>
                </w:tcPr>
                <w:p w14:paraId="1B2FB591">
                  <w:pPr>
                    <w:pStyle w:val="16"/>
                    <w:adjustRightInd w:val="0"/>
                    <w:snapToGrid w:val="0"/>
                    <w:spacing w:line="0" w:lineRule="atLeast"/>
                    <w:jc w:val="center"/>
                    <w:rPr>
                      <w:rFonts w:hint="eastAsia" w:cs="Times New Roman"/>
                      <w:color w:val="auto"/>
                      <w:sz w:val="21"/>
                      <w:szCs w:val="21"/>
                      <w:highlight w:val="none"/>
                      <w:lang w:val="en-US" w:eastAsia="zh-CN"/>
                    </w:rPr>
                  </w:pPr>
                </w:p>
              </w:tc>
            </w:tr>
            <w:tr w14:paraId="5BD5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6" w:hRule="atLeast"/>
                <w:jc w:val="center"/>
              </w:trPr>
              <w:tc>
                <w:tcPr>
                  <w:tcW w:w="694" w:type="dxa"/>
                  <w:vMerge w:val="continue"/>
                  <w:vAlign w:val="center"/>
                </w:tcPr>
                <w:p w14:paraId="06973F8E">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1C9DAFB0">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05A45AFD">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二次清洗废水</w:t>
                  </w:r>
                </w:p>
              </w:tc>
              <w:tc>
                <w:tcPr>
                  <w:tcW w:w="2025" w:type="dxa"/>
                  <w:vAlign w:val="center"/>
                </w:tcPr>
                <w:p w14:paraId="634E2855">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清洗机自带2个循环水箱，分别用于第一次清洗水循环和第二次清洗水循环</w:t>
                  </w:r>
                </w:p>
              </w:tc>
              <w:tc>
                <w:tcPr>
                  <w:tcW w:w="2182" w:type="dxa"/>
                  <w:vMerge w:val="continue"/>
                  <w:vAlign w:val="center"/>
                </w:tcPr>
                <w:p w14:paraId="04F5E054">
                  <w:pPr>
                    <w:pStyle w:val="16"/>
                    <w:adjustRightInd w:val="0"/>
                    <w:snapToGrid w:val="0"/>
                    <w:spacing w:line="0" w:lineRule="atLeast"/>
                    <w:jc w:val="center"/>
                    <w:rPr>
                      <w:rFonts w:hint="eastAsia" w:cs="Times New Roman"/>
                      <w:color w:val="auto"/>
                      <w:sz w:val="21"/>
                      <w:szCs w:val="21"/>
                      <w:highlight w:val="none"/>
                      <w:lang w:val="en-US" w:eastAsia="zh-CN"/>
                    </w:rPr>
                  </w:pPr>
                </w:p>
              </w:tc>
              <w:tc>
                <w:tcPr>
                  <w:tcW w:w="748" w:type="dxa"/>
                  <w:vAlign w:val="center"/>
                </w:tcPr>
                <w:p w14:paraId="21E538BD">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4608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2DE131FE">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7C9B26D8">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54F0E0CC">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碱液洗涤废水</w:t>
                  </w:r>
                </w:p>
              </w:tc>
              <w:tc>
                <w:tcPr>
                  <w:tcW w:w="2025" w:type="dxa"/>
                  <w:vAlign w:val="center"/>
                </w:tcPr>
                <w:p w14:paraId="32E15738">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碱液喷淋洗涤塔自带循环水箱</w:t>
                  </w:r>
                </w:p>
              </w:tc>
              <w:tc>
                <w:tcPr>
                  <w:tcW w:w="2182" w:type="dxa"/>
                  <w:vMerge w:val="continue"/>
                  <w:vAlign w:val="center"/>
                </w:tcPr>
                <w:p w14:paraId="6023F58C">
                  <w:pPr>
                    <w:pStyle w:val="16"/>
                    <w:adjustRightInd w:val="0"/>
                    <w:snapToGrid w:val="0"/>
                    <w:spacing w:line="0" w:lineRule="atLeast"/>
                    <w:jc w:val="center"/>
                    <w:rPr>
                      <w:rFonts w:hint="eastAsia" w:cs="Times New Roman"/>
                      <w:color w:val="auto"/>
                      <w:sz w:val="21"/>
                      <w:szCs w:val="21"/>
                      <w:highlight w:val="none"/>
                      <w:lang w:val="en-US" w:eastAsia="zh-CN"/>
                    </w:rPr>
                  </w:pPr>
                </w:p>
              </w:tc>
              <w:tc>
                <w:tcPr>
                  <w:tcW w:w="748" w:type="dxa"/>
                  <w:vAlign w:val="center"/>
                </w:tcPr>
                <w:p w14:paraId="5FEC5F85">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新建</w:t>
                  </w:r>
                </w:p>
              </w:tc>
            </w:tr>
            <w:tr w14:paraId="6CFF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60FF0D6C">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restart"/>
                  <w:vAlign w:val="center"/>
                </w:tcPr>
                <w:p w14:paraId="2AA8A20C">
                  <w:pPr>
                    <w:pStyle w:val="16"/>
                    <w:adjustRightInd w:val="0"/>
                    <w:snapToGrid w:val="0"/>
                    <w:spacing w:line="0" w:lineRule="atLeas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噪声</w:t>
                  </w:r>
                  <w:r>
                    <w:rPr>
                      <w:rFonts w:hint="eastAsia" w:cs="Times New Roman"/>
                      <w:color w:val="auto"/>
                      <w:sz w:val="21"/>
                      <w:szCs w:val="21"/>
                      <w:highlight w:val="none"/>
                      <w:lang w:eastAsia="zh-CN"/>
                    </w:rPr>
                    <w:t>污染防治</w:t>
                  </w:r>
                </w:p>
              </w:tc>
              <w:tc>
                <w:tcPr>
                  <w:tcW w:w="1605" w:type="dxa"/>
                  <w:vAlign w:val="center"/>
                </w:tcPr>
                <w:p w14:paraId="72C88F1E">
                  <w:pPr>
                    <w:pStyle w:val="16"/>
                    <w:adjustRightInd w:val="0"/>
                    <w:snapToGrid w:val="0"/>
                    <w:spacing w:line="0" w:lineRule="atLeas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设备噪声</w:t>
                  </w:r>
                </w:p>
              </w:tc>
              <w:tc>
                <w:tcPr>
                  <w:tcW w:w="4207" w:type="dxa"/>
                  <w:gridSpan w:val="2"/>
                  <w:vAlign w:val="center"/>
                </w:tcPr>
                <w:p w14:paraId="3A71C259">
                  <w:pPr>
                    <w:pStyle w:val="16"/>
                    <w:adjustRightInd w:val="0"/>
                    <w:snapToGrid w:val="0"/>
                    <w:spacing w:line="0" w:lineRule="atLeas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产噪设备置于厂房内，高噪声设备设独立房间，基础安装减震垫</w:t>
                  </w:r>
                  <w:r>
                    <w:rPr>
                      <w:rFonts w:hint="eastAsia" w:cs="Times New Roman"/>
                      <w:color w:val="auto"/>
                      <w:sz w:val="21"/>
                      <w:szCs w:val="21"/>
                      <w:highlight w:val="none"/>
                      <w:lang w:eastAsia="zh-CN"/>
                    </w:rPr>
                    <w:t>。</w:t>
                  </w:r>
                </w:p>
              </w:tc>
              <w:tc>
                <w:tcPr>
                  <w:tcW w:w="748" w:type="dxa"/>
                  <w:vAlign w:val="center"/>
                </w:tcPr>
                <w:p w14:paraId="0AD7C2E6">
                  <w:pPr>
                    <w:adjustRightInd w:val="0"/>
                    <w:snapToGrid w:val="0"/>
                    <w:spacing w:line="0" w:lineRule="atLeast"/>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33A0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1D330DD0">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6D4E598C">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695D1F9E">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风机噪声</w:t>
                  </w:r>
                </w:p>
              </w:tc>
              <w:tc>
                <w:tcPr>
                  <w:tcW w:w="4207" w:type="dxa"/>
                  <w:gridSpan w:val="2"/>
                  <w:vAlign w:val="center"/>
                </w:tcPr>
                <w:p w14:paraId="45C5A83B">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依托原有20m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的风机隔声房</w:t>
                  </w:r>
                </w:p>
              </w:tc>
              <w:tc>
                <w:tcPr>
                  <w:tcW w:w="748" w:type="dxa"/>
                  <w:vAlign w:val="center"/>
                </w:tcPr>
                <w:p w14:paraId="73AC0DD7">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w:t>
                  </w:r>
                </w:p>
              </w:tc>
            </w:tr>
            <w:tr w14:paraId="3FED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4" w:type="dxa"/>
                  <w:vMerge w:val="continue"/>
                  <w:vAlign w:val="center"/>
                </w:tcPr>
                <w:p w14:paraId="06481E7B">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restart"/>
                  <w:vAlign w:val="center"/>
                </w:tcPr>
                <w:p w14:paraId="05F0F441">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r>
                    <w:rPr>
                      <w:rFonts w:hint="eastAsia" w:cs="Times New Roman"/>
                      <w:color w:val="auto"/>
                      <w:sz w:val="21"/>
                      <w:szCs w:val="21"/>
                      <w:highlight w:val="none"/>
                      <w:lang w:eastAsia="zh-CN"/>
                    </w:rPr>
                    <w:t>收集处置</w:t>
                  </w:r>
                  <w:r>
                    <w:rPr>
                      <w:rFonts w:hint="default" w:ascii="Times New Roman" w:hAnsi="Times New Roman" w:eastAsia="宋体" w:cs="Times New Roman"/>
                      <w:color w:val="auto"/>
                      <w:sz w:val="21"/>
                      <w:szCs w:val="21"/>
                      <w:highlight w:val="none"/>
                    </w:rPr>
                    <w:t>设施</w:t>
                  </w:r>
                </w:p>
              </w:tc>
              <w:tc>
                <w:tcPr>
                  <w:tcW w:w="1605" w:type="dxa"/>
                  <w:vAlign w:val="center"/>
                </w:tcPr>
                <w:p w14:paraId="02D684EC">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207" w:type="dxa"/>
                  <w:gridSpan w:val="2"/>
                  <w:vAlign w:val="center"/>
                </w:tcPr>
                <w:p w14:paraId="218CAEDA">
                  <w:pPr>
                    <w:pStyle w:val="16"/>
                    <w:adjustRightInd w:val="0"/>
                    <w:snapToGrid w:val="0"/>
                    <w:spacing w:line="0" w:lineRule="atLeas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依托原有生活垃圾桶</w:t>
                  </w:r>
                  <w:r>
                    <w:rPr>
                      <w:rFonts w:hint="default" w:ascii="Times New Roman" w:hAnsi="Times New Roman" w:eastAsia="宋体" w:cs="Times New Roman"/>
                      <w:color w:val="auto"/>
                      <w:sz w:val="21"/>
                      <w:szCs w:val="21"/>
                      <w:highlight w:val="none"/>
                    </w:rPr>
                    <w:t>。</w:t>
                  </w:r>
                </w:p>
              </w:tc>
              <w:tc>
                <w:tcPr>
                  <w:tcW w:w="748" w:type="dxa"/>
                  <w:vAlign w:val="center"/>
                </w:tcPr>
                <w:p w14:paraId="4299B01C">
                  <w:pPr>
                    <w:pStyle w:val="16"/>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22C6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4" w:type="dxa"/>
                  <w:vMerge w:val="continue"/>
                  <w:vAlign w:val="center"/>
                </w:tcPr>
                <w:p w14:paraId="3AD717F6">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1A4D4100">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560F731C">
                  <w:pPr>
                    <w:pStyle w:val="16"/>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泔水及隔油池废油脂</w:t>
                  </w:r>
                </w:p>
              </w:tc>
              <w:tc>
                <w:tcPr>
                  <w:tcW w:w="4207" w:type="dxa"/>
                  <w:gridSpan w:val="2"/>
                  <w:vAlign w:val="center"/>
                </w:tcPr>
                <w:p w14:paraId="10D97FEE">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依托原有泔水桶</w:t>
                  </w:r>
                  <w:r>
                    <w:rPr>
                      <w:rFonts w:hint="default" w:ascii="Times New Roman" w:hAnsi="Times New Roman" w:eastAsia="宋体" w:cs="Times New Roman"/>
                      <w:color w:val="auto"/>
                      <w:sz w:val="21"/>
                      <w:szCs w:val="21"/>
                      <w:highlight w:val="none"/>
                    </w:rPr>
                    <w:t>。</w:t>
                  </w:r>
                </w:p>
              </w:tc>
              <w:tc>
                <w:tcPr>
                  <w:tcW w:w="748" w:type="dxa"/>
                  <w:vAlign w:val="center"/>
                </w:tcPr>
                <w:p w14:paraId="5473BC40">
                  <w:pPr>
                    <w:pStyle w:val="16"/>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7ADC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259565C7">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Merge w:val="continue"/>
                  <w:vAlign w:val="center"/>
                </w:tcPr>
                <w:p w14:paraId="6568E39A">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2F751A39">
                  <w:pPr>
                    <w:pStyle w:val="16"/>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危险废物</w:t>
                  </w:r>
                </w:p>
              </w:tc>
              <w:tc>
                <w:tcPr>
                  <w:tcW w:w="4207" w:type="dxa"/>
                  <w:gridSpan w:val="2"/>
                  <w:vAlign w:val="center"/>
                </w:tcPr>
                <w:p w14:paraId="28ABB9B8">
                  <w:pPr>
                    <w:adjustRightInd w:val="0"/>
                    <w:snapToGrid w:val="0"/>
                    <w:spacing w:line="0" w:lineRule="atLeast"/>
                    <w:jc w:val="center"/>
                    <w:rPr>
                      <w:rFonts w:hint="default" w:ascii="Times New Roman" w:hAnsi="Times New Roman" w:eastAsia="宋体" w:cs="Times New Roman"/>
                      <w:color w:val="auto"/>
                      <w:sz w:val="21"/>
                      <w:szCs w:val="21"/>
                      <w:highlight w:val="none"/>
                      <w:vertAlign w:val="subscript"/>
                      <w:lang w:val="en-US"/>
                    </w:rPr>
                  </w:pPr>
                  <w:r>
                    <w:rPr>
                      <w:rFonts w:hint="eastAsia" w:cs="Times New Roman"/>
                      <w:color w:val="auto"/>
                      <w:sz w:val="21"/>
                      <w:szCs w:val="21"/>
                      <w:highlight w:val="none"/>
                      <w:lang w:val="en-US" w:eastAsia="zh-CN"/>
                    </w:rPr>
                    <w:t>依托原有10m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的危险废物暂存间</w:t>
                  </w:r>
                </w:p>
              </w:tc>
              <w:tc>
                <w:tcPr>
                  <w:tcW w:w="748" w:type="dxa"/>
                  <w:vAlign w:val="center"/>
                </w:tcPr>
                <w:p w14:paraId="41112727">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依托</w:t>
                  </w:r>
                </w:p>
              </w:tc>
            </w:tr>
            <w:tr w14:paraId="75BF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6DBE3B47">
                  <w:pPr>
                    <w:adjustRightInd w:val="0"/>
                    <w:snapToGrid w:val="0"/>
                    <w:spacing w:line="0" w:lineRule="atLeast"/>
                    <w:jc w:val="center"/>
                    <w:rPr>
                      <w:rFonts w:hint="default" w:ascii="Times New Roman" w:hAnsi="Times New Roman" w:eastAsia="宋体" w:cs="Times New Roman"/>
                      <w:color w:val="auto"/>
                      <w:sz w:val="21"/>
                      <w:szCs w:val="21"/>
                      <w:highlight w:val="none"/>
                    </w:rPr>
                  </w:pPr>
                  <w:bookmarkStart w:id="20" w:name="_Toc5921"/>
                </w:p>
              </w:tc>
              <w:tc>
                <w:tcPr>
                  <w:tcW w:w="1057" w:type="dxa"/>
                  <w:vMerge w:val="continue"/>
                  <w:vAlign w:val="center"/>
                </w:tcPr>
                <w:p w14:paraId="408E156B">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05" w:type="dxa"/>
                  <w:vAlign w:val="center"/>
                </w:tcPr>
                <w:p w14:paraId="6A5A8C4B">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一般固废</w:t>
                  </w:r>
                </w:p>
              </w:tc>
              <w:tc>
                <w:tcPr>
                  <w:tcW w:w="4207" w:type="dxa"/>
                  <w:gridSpan w:val="2"/>
                  <w:vAlign w:val="center"/>
                </w:tcPr>
                <w:p w14:paraId="40E167C0">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依托原有20m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的一般固废暂存处</w:t>
                  </w:r>
                </w:p>
              </w:tc>
              <w:tc>
                <w:tcPr>
                  <w:tcW w:w="748" w:type="dxa"/>
                  <w:vAlign w:val="center"/>
                </w:tcPr>
                <w:p w14:paraId="58C8D7FB">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依托</w:t>
                  </w:r>
                </w:p>
              </w:tc>
            </w:tr>
            <w:tr w14:paraId="2B2A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19DFE3D4">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057" w:type="dxa"/>
                  <w:vAlign w:val="center"/>
                </w:tcPr>
                <w:p w14:paraId="032C118E">
                  <w:pPr>
                    <w:pStyle w:val="16"/>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风险事故处置设施</w:t>
                  </w:r>
                </w:p>
              </w:tc>
              <w:tc>
                <w:tcPr>
                  <w:tcW w:w="1605" w:type="dxa"/>
                  <w:vAlign w:val="center"/>
                </w:tcPr>
                <w:p w14:paraId="6EB87027">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事故废水</w:t>
                  </w:r>
                </w:p>
              </w:tc>
              <w:tc>
                <w:tcPr>
                  <w:tcW w:w="4207" w:type="dxa"/>
                  <w:gridSpan w:val="2"/>
                  <w:vAlign w:val="center"/>
                </w:tcPr>
                <w:p w14:paraId="08B33EC6">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新建一座容积为50m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的事故应急池，用于收集事故</w:t>
                  </w:r>
                  <w:r>
                    <w:rPr>
                      <w:rFonts w:hint="eastAsia"/>
                      <w:color w:val="auto"/>
                      <w:highlight w:val="none"/>
                      <w:lang w:eastAsia="zh-CN"/>
                    </w:rPr>
                    <w:t>状态下的</w:t>
                  </w:r>
                  <w:r>
                    <w:rPr>
                      <w:rFonts w:hint="eastAsia"/>
                      <w:color w:val="auto"/>
                      <w:highlight w:val="none"/>
                    </w:rPr>
                    <w:t>废水。</w:t>
                  </w:r>
                </w:p>
              </w:tc>
              <w:tc>
                <w:tcPr>
                  <w:tcW w:w="748" w:type="dxa"/>
                  <w:vAlign w:val="center"/>
                </w:tcPr>
                <w:p w14:paraId="14A41C46">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46DE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694" w:type="dxa"/>
                  <w:vMerge w:val="continue"/>
                  <w:vAlign w:val="center"/>
                </w:tcPr>
                <w:p w14:paraId="6F97CC98">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662" w:type="dxa"/>
                  <w:gridSpan w:val="2"/>
                  <w:vAlign w:val="center"/>
                </w:tcPr>
                <w:p w14:paraId="46ABF198">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绿化</w:t>
                  </w:r>
                </w:p>
              </w:tc>
              <w:tc>
                <w:tcPr>
                  <w:tcW w:w="4207" w:type="dxa"/>
                  <w:gridSpan w:val="2"/>
                  <w:vAlign w:val="center"/>
                </w:tcPr>
                <w:p w14:paraId="74C9D962">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依托原有</w:t>
                  </w:r>
                  <w:r>
                    <w:rPr>
                      <w:rFonts w:hint="eastAsia" w:cs="Times New Roman"/>
                      <w:color w:val="auto"/>
                      <w:sz w:val="21"/>
                      <w:szCs w:val="21"/>
                      <w:highlight w:val="none"/>
                      <w:lang w:val="en-US" w:eastAsia="zh-CN"/>
                    </w:rPr>
                    <w:t>176m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的</w:t>
                  </w:r>
                  <w:r>
                    <w:rPr>
                      <w:rFonts w:hint="eastAsia" w:cs="Times New Roman"/>
                      <w:color w:val="auto"/>
                      <w:sz w:val="21"/>
                      <w:szCs w:val="21"/>
                      <w:highlight w:val="none"/>
                      <w:lang w:eastAsia="zh-CN"/>
                    </w:rPr>
                    <w:t>绿化</w:t>
                  </w:r>
                </w:p>
              </w:tc>
              <w:tc>
                <w:tcPr>
                  <w:tcW w:w="748" w:type="dxa"/>
                  <w:vAlign w:val="center"/>
                </w:tcPr>
                <w:p w14:paraId="0C924A3F">
                  <w:pPr>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bl>
          <w:p w14:paraId="4C3B5921">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3</w:t>
            </w:r>
            <w:r>
              <w:rPr>
                <w:rFonts w:hint="default" w:ascii="Times New Roman" w:hAnsi="Times New Roman" w:cs="Times New Roman"/>
                <w:b/>
                <w:bCs w:val="0"/>
                <w:color w:val="auto"/>
                <w:sz w:val="24"/>
                <w:szCs w:val="24"/>
                <w:highlight w:val="none"/>
                <w:lang w:val="en-US" w:eastAsia="zh-CN"/>
              </w:rPr>
              <w:t>、主要</w:t>
            </w:r>
            <w:r>
              <w:rPr>
                <w:rFonts w:hint="eastAsia" w:ascii="Times New Roman" w:hAnsi="Times New Roman" w:cs="Times New Roman"/>
                <w:b/>
                <w:bCs w:val="0"/>
                <w:color w:val="auto"/>
                <w:sz w:val="24"/>
                <w:szCs w:val="24"/>
                <w:highlight w:val="none"/>
                <w:lang w:val="en-US" w:eastAsia="zh-CN"/>
              </w:rPr>
              <w:t>生产</w:t>
            </w:r>
            <w:r>
              <w:rPr>
                <w:rFonts w:hint="default" w:ascii="Times New Roman" w:hAnsi="Times New Roman" w:cs="Times New Roman"/>
                <w:b/>
                <w:bCs w:val="0"/>
                <w:color w:val="auto"/>
                <w:sz w:val="24"/>
                <w:szCs w:val="24"/>
                <w:highlight w:val="none"/>
                <w:lang w:val="en-US" w:eastAsia="zh-CN"/>
              </w:rPr>
              <w:t>设备</w:t>
            </w:r>
          </w:p>
          <w:p w14:paraId="64804B77">
            <w:pPr>
              <w:adjustRightInd w:val="0"/>
              <w:snapToGrid w:val="0"/>
              <w:spacing w:line="360" w:lineRule="auto"/>
              <w:ind w:firstLine="480" w:firstLineChars="200"/>
              <w:rPr>
                <w:rFonts w:hint="default" w:ascii="Times New Roman" w:hAnsi="Times New Roman" w:eastAsia="宋体" w:cs="Times New Roman"/>
                <w:b/>
                <w:bCs/>
                <w:color w:val="auto"/>
                <w:szCs w:val="21"/>
                <w:highlight w:val="none"/>
              </w:rPr>
            </w:pPr>
            <w:bookmarkStart w:id="21" w:name="_Toc22683"/>
            <w:r>
              <w:rPr>
                <w:rFonts w:hint="default" w:ascii="Times New Roman" w:hAnsi="Times New Roman" w:eastAsia="宋体" w:cs="Times New Roman"/>
                <w:color w:val="auto"/>
                <w:sz w:val="24"/>
                <w:highlight w:val="none"/>
              </w:rPr>
              <w:t>项目主要</w:t>
            </w:r>
            <w:r>
              <w:rPr>
                <w:rFonts w:hint="eastAsia" w:cs="Times New Roman"/>
                <w:color w:val="auto"/>
                <w:sz w:val="24"/>
                <w:highlight w:val="none"/>
                <w:lang w:eastAsia="zh-CN"/>
              </w:rPr>
              <w:t>生产</w:t>
            </w:r>
            <w:r>
              <w:rPr>
                <w:rFonts w:hint="default" w:ascii="Times New Roman" w:hAnsi="Times New Roman" w:eastAsia="宋体" w:cs="Times New Roman"/>
                <w:color w:val="auto"/>
                <w:sz w:val="24"/>
                <w:highlight w:val="none"/>
              </w:rPr>
              <w:t>设备详见表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w:t>
            </w:r>
            <w:bookmarkEnd w:id="21"/>
          </w:p>
          <w:p w14:paraId="45D0A924">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  项目主要</w:t>
            </w:r>
            <w:r>
              <w:rPr>
                <w:rFonts w:hint="eastAsia" w:cs="Times New Roman"/>
                <w:b/>
                <w:bCs/>
                <w:color w:val="auto"/>
                <w:szCs w:val="21"/>
                <w:highlight w:val="none"/>
                <w:lang w:eastAsia="zh-CN"/>
              </w:rPr>
              <w:t>生产</w:t>
            </w:r>
            <w:r>
              <w:rPr>
                <w:rFonts w:hint="default" w:ascii="Times New Roman" w:hAnsi="Times New Roman" w:eastAsia="宋体" w:cs="Times New Roman"/>
                <w:b/>
                <w:bCs/>
                <w:color w:val="auto"/>
                <w:szCs w:val="21"/>
                <w:highlight w:val="none"/>
              </w:rPr>
              <w:t>设备一览表</w:t>
            </w:r>
          </w:p>
          <w:tbl>
            <w:tblPr>
              <w:tblStyle w:val="25"/>
              <w:tblW w:w="83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2069"/>
              <w:gridCol w:w="2118"/>
              <w:gridCol w:w="833"/>
              <w:gridCol w:w="1517"/>
              <w:gridCol w:w="700"/>
            </w:tblGrid>
            <w:tr w14:paraId="51CDC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EE7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生产线</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A39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设备名称</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EBF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规格型号</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88F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69C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用途</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545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6312F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405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玉砂玻璃生产线</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A5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自动上片机</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10AF">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D37283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73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F8A1">
                  <w:pPr>
                    <w:jc w:val="center"/>
                    <w:rPr>
                      <w:rFonts w:hint="eastAsia" w:ascii="Calibri" w:hAnsi="Calibri" w:eastAsia="宋体" w:cs="Calibri"/>
                      <w:i w:val="0"/>
                      <w:iCs w:val="0"/>
                      <w:color w:val="auto"/>
                      <w:sz w:val="21"/>
                      <w:szCs w:val="21"/>
                      <w:highlight w:val="none"/>
                      <w:u w:val="none"/>
                      <w:lang w:eastAsia="zh-CN"/>
                    </w:rPr>
                  </w:pPr>
                  <w:r>
                    <w:rPr>
                      <w:rFonts w:hint="eastAsia" w:ascii="Calibri" w:hAnsi="Calibri" w:eastAsia="宋体" w:cs="Calibri"/>
                      <w:i w:val="0"/>
                      <w:iCs w:val="0"/>
                      <w:color w:val="auto"/>
                      <w:sz w:val="21"/>
                      <w:szCs w:val="21"/>
                      <w:highlight w:val="none"/>
                      <w:u w:val="none"/>
                      <w:lang w:eastAsia="zh-CN"/>
                    </w:rPr>
                    <w:t>上片</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CABF">
                  <w:pPr>
                    <w:jc w:val="center"/>
                    <w:rPr>
                      <w:rFonts w:hint="eastAsia" w:ascii="Calibri" w:hAnsi="Calibri" w:eastAsia="宋体" w:cs="Calibri"/>
                      <w:i w:val="0"/>
                      <w:iCs w:val="0"/>
                      <w:color w:val="auto"/>
                      <w:sz w:val="21"/>
                      <w:szCs w:val="21"/>
                      <w:highlight w:val="none"/>
                      <w:u w:val="none"/>
                      <w:lang w:eastAsia="zh-CN"/>
                    </w:rPr>
                  </w:pPr>
                  <w:r>
                    <w:rPr>
                      <w:rFonts w:hint="eastAsia" w:ascii="Calibri" w:hAnsi="Calibri" w:eastAsia="宋体" w:cs="Calibri"/>
                      <w:i w:val="0"/>
                      <w:iCs w:val="0"/>
                      <w:color w:val="auto"/>
                      <w:sz w:val="21"/>
                      <w:szCs w:val="21"/>
                      <w:highlight w:val="none"/>
                      <w:u w:val="none"/>
                      <w:lang w:eastAsia="zh-CN"/>
                    </w:rPr>
                    <w:t>新增</w:t>
                  </w:r>
                </w:p>
              </w:tc>
            </w:tr>
            <w:tr w14:paraId="04994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994D6">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614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清洗机</w:t>
                  </w:r>
                </w:p>
                <w:p w14:paraId="71D47BFF">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cs="Times New Roman"/>
                      <w:i w:val="0"/>
                      <w:iCs w:val="0"/>
                      <w:color w:val="auto"/>
                      <w:sz w:val="21"/>
                      <w:szCs w:val="21"/>
                      <w:highlight w:val="none"/>
                      <w:u w:val="none"/>
                      <w:lang w:val="en-US" w:eastAsia="zh-CN"/>
                    </w:rPr>
                    <w:t>（</w:t>
                  </w:r>
                  <w:r>
                    <w:rPr>
                      <w:rFonts w:hint="eastAsia" w:ascii="宋体" w:hAnsi="宋体" w:cs="宋体"/>
                      <w:i w:val="0"/>
                      <w:iCs w:val="0"/>
                      <w:color w:val="auto"/>
                      <w:kern w:val="0"/>
                      <w:sz w:val="21"/>
                      <w:szCs w:val="21"/>
                      <w:highlight w:val="none"/>
                      <w:u w:val="none"/>
                      <w:lang w:val="en-US" w:eastAsia="zh-CN" w:bidi="ar"/>
                    </w:rPr>
                    <w:t>每台清洗机自带2个循环水箱）</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119B">
                  <w:pPr>
                    <w:jc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Q-206</w:t>
                  </w:r>
                  <w:r>
                    <w:rPr>
                      <w:rFonts w:hint="eastAsia" w:cs="Times New Roman"/>
                      <w:i w:val="0"/>
                      <w:iCs w:val="0"/>
                      <w:color w:val="auto"/>
                      <w:sz w:val="21"/>
                      <w:szCs w:val="21"/>
                      <w:highlight w:val="none"/>
                      <w:u w:val="none"/>
                      <w:lang w:val="en-US" w:eastAsia="zh-CN"/>
                    </w:rPr>
                    <w:t>（每个循环水箱的容积为</w:t>
                  </w: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1m</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1.2</w:t>
                  </w:r>
                  <w:r>
                    <w:rPr>
                      <w:rFonts w:hint="eastAsia"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0.6m</w:t>
                  </w:r>
                  <w:r>
                    <w:rPr>
                      <w:rFonts w:hint="eastAsia" w:cs="Times New Roman"/>
                      <w:i w:val="0"/>
                      <w:iCs w:val="0"/>
                      <w:color w:val="auto"/>
                      <w:sz w:val="21"/>
                      <w:szCs w:val="21"/>
                      <w:highlight w:val="none"/>
                      <w:u w:val="none"/>
                      <w:lang w:val="en-US" w:eastAsia="zh-CN"/>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DE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5AEA">
                  <w:pPr>
                    <w:jc w:val="center"/>
                    <w:rPr>
                      <w:rFonts w:hint="eastAsia" w:ascii="Calibri" w:hAnsi="Calibri" w:eastAsia="宋体" w:cs="Calibri"/>
                      <w:i w:val="0"/>
                      <w:iCs w:val="0"/>
                      <w:color w:val="auto"/>
                      <w:sz w:val="21"/>
                      <w:szCs w:val="21"/>
                      <w:highlight w:val="none"/>
                      <w:u w:val="none"/>
                      <w:lang w:eastAsia="zh-CN"/>
                    </w:rPr>
                  </w:pPr>
                  <w:r>
                    <w:rPr>
                      <w:rFonts w:hint="eastAsia" w:ascii="Calibri" w:hAnsi="Calibri" w:eastAsia="宋体" w:cs="Calibri"/>
                      <w:i w:val="0"/>
                      <w:iCs w:val="0"/>
                      <w:color w:val="auto"/>
                      <w:sz w:val="21"/>
                      <w:szCs w:val="21"/>
                      <w:highlight w:val="none"/>
                      <w:u w:val="none"/>
                      <w:lang w:eastAsia="zh-CN"/>
                    </w:rPr>
                    <w:t>清洗</w:t>
                  </w:r>
                  <w:r>
                    <w:rPr>
                      <w:rFonts w:hint="eastAsia" w:ascii="Calibri" w:hAnsi="Calibri" w:cs="Calibri"/>
                      <w:i w:val="0"/>
                      <w:iCs w:val="0"/>
                      <w:color w:val="auto"/>
                      <w:sz w:val="21"/>
                      <w:szCs w:val="21"/>
                      <w:highlight w:val="none"/>
                      <w:u w:val="none"/>
                      <w:lang w:eastAsia="zh-CN"/>
                    </w:rPr>
                    <w:t>玻璃</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F4AC">
                  <w:pPr>
                    <w:jc w:val="center"/>
                    <w:rPr>
                      <w:rFonts w:hint="default" w:ascii="Calibri" w:hAnsi="Calibri" w:eastAsia="宋体" w:cs="Calibri"/>
                      <w:i w:val="0"/>
                      <w:iCs w:val="0"/>
                      <w:color w:val="auto"/>
                      <w:kern w:val="2"/>
                      <w:sz w:val="21"/>
                      <w:szCs w:val="21"/>
                      <w:highlight w:val="none"/>
                      <w:u w:val="none"/>
                      <w:lang w:val="en-US" w:eastAsia="zh-CN" w:bidi="ar-SA"/>
                    </w:rPr>
                  </w:pPr>
                  <w:r>
                    <w:rPr>
                      <w:rFonts w:hint="eastAsia" w:ascii="Calibri" w:hAnsi="Calibri" w:eastAsia="宋体" w:cs="Calibri"/>
                      <w:i w:val="0"/>
                      <w:iCs w:val="0"/>
                      <w:color w:val="auto"/>
                      <w:sz w:val="21"/>
                      <w:szCs w:val="21"/>
                      <w:highlight w:val="none"/>
                      <w:u w:val="none"/>
                      <w:lang w:eastAsia="zh-CN"/>
                    </w:rPr>
                    <w:t>新增</w:t>
                  </w:r>
                </w:p>
              </w:tc>
            </w:tr>
            <w:tr w14:paraId="34BC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5C0B5">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E6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自动下片机</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0BE8">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D37293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44E6">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Calibri" w:hAnsi="Calibri" w:eastAsia="宋体" w:cs="Calibri"/>
                      <w:i w:val="0"/>
                      <w:iCs w:val="0"/>
                      <w:color w:val="auto"/>
                      <w:kern w:val="0"/>
                      <w:sz w:val="21"/>
                      <w:szCs w:val="21"/>
                      <w:highlight w:val="none"/>
                      <w:u w:val="none"/>
                      <w:lang w:val="en-US" w:eastAsia="zh-CN" w:bidi="ar"/>
                    </w:rPr>
                    <w:t>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3824">
                  <w:pPr>
                    <w:jc w:val="center"/>
                    <w:rPr>
                      <w:rFonts w:hint="eastAsia" w:ascii="Calibri" w:hAnsi="Calibri" w:eastAsia="宋体" w:cs="Calibri"/>
                      <w:i w:val="0"/>
                      <w:iCs w:val="0"/>
                      <w:color w:val="auto"/>
                      <w:sz w:val="21"/>
                      <w:szCs w:val="21"/>
                      <w:highlight w:val="none"/>
                      <w:u w:val="none"/>
                      <w:lang w:eastAsia="zh-CN"/>
                    </w:rPr>
                  </w:pPr>
                  <w:r>
                    <w:rPr>
                      <w:rFonts w:hint="eastAsia" w:ascii="Calibri" w:hAnsi="Calibri" w:eastAsia="宋体" w:cs="Calibri"/>
                      <w:i w:val="0"/>
                      <w:iCs w:val="0"/>
                      <w:color w:val="auto"/>
                      <w:sz w:val="21"/>
                      <w:szCs w:val="21"/>
                      <w:highlight w:val="none"/>
                      <w:u w:val="none"/>
                      <w:lang w:eastAsia="zh-CN"/>
                    </w:rPr>
                    <w:t>灯检</w:t>
                  </w:r>
                  <w:r>
                    <w:rPr>
                      <w:rFonts w:hint="eastAsia" w:ascii="Calibri" w:hAnsi="Calibri" w:cs="Calibri"/>
                      <w:i w:val="0"/>
                      <w:iCs w:val="0"/>
                      <w:color w:val="auto"/>
                      <w:sz w:val="21"/>
                      <w:szCs w:val="21"/>
                      <w:highlight w:val="none"/>
                      <w:u w:val="none"/>
                      <w:lang w:eastAsia="zh-CN"/>
                    </w:rPr>
                    <w:t>、下片</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DF0D">
                  <w:pPr>
                    <w:jc w:val="center"/>
                    <w:rPr>
                      <w:rFonts w:hint="default" w:ascii="Calibri" w:hAnsi="Calibri" w:eastAsia="宋体" w:cs="Calibri"/>
                      <w:i w:val="0"/>
                      <w:iCs w:val="0"/>
                      <w:color w:val="auto"/>
                      <w:kern w:val="2"/>
                      <w:sz w:val="21"/>
                      <w:szCs w:val="21"/>
                      <w:highlight w:val="none"/>
                      <w:u w:val="none"/>
                      <w:lang w:val="en-US" w:eastAsia="zh-CN" w:bidi="ar-SA"/>
                    </w:rPr>
                  </w:pPr>
                  <w:r>
                    <w:rPr>
                      <w:rFonts w:hint="eastAsia" w:ascii="Calibri" w:hAnsi="Calibri" w:eastAsia="宋体" w:cs="Calibri"/>
                      <w:i w:val="0"/>
                      <w:iCs w:val="0"/>
                      <w:color w:val="auto"/>
                      <w:sz w:val="21"/>
                      <w:szCs w:val="21"/>
                      <w:highlight w:val="none"/>
                      <w:u w:val="none"/>
                      <w:lang w:eastAsia="zh-CN"/>
                    </w:rPr>
                    <w:t>新增</w:t>
                  </w:r>
                </w:p>
              </w:tc>
            </w:tr>
            <w:tr w14:paraId="65DAD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82D2D">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49A4">
                  <w:pPr>
                    <w:keepNext w:val="0"/>
                    <w:keepLines w:val="0"/>
                    <w:widowControl/>
                    <w:suppressLineNumbers w:val="0"/>
                    <w:jc w:val="center"/>
                    <w:textAlignment w:val="center"/>
                    <w:rPr>
                      <w:rFonts w:hint="eastAsia" w:cs="Times New Roman"/>
                      <w:color w:val="auto"/>
                      <w:sz w:val="21"/>
                      <w:szCs w:val="21"/>
                      <w:highlight w:val="none"/>
                      <w:lang w:val="zh-CN" w:eastAsia="zh-CN"/>
                    </w:rPr>
                  </w:pPr>
                  <w:r>
                    <w:rPr>
                      <w:rFonts w:hint="eastAsia" w:cs="Times New Roman"/>
                      <w:color w:val="auto"/>
                      <w:sz w:val="21"/>
                      <w:szCs w:val="21"/>
                      <w:highlight w:val="none"/>
                      <w:lang w:val="zh-CN" w:eastAsia="zh-CN"/>
                    </w:rPr>
                    <w:t>蒙砂自动生产线</w:t>
                  </w:r>
                </w:p>
                <w:p w14:paraId="6E773FD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cs="Times New Roman"/>
                      <w:color w:val="auto"/>
                      <w:sz w:val="21"/>
                      <w:szCs w:val="21"/>
                      <w:highlight w:val="none"/>
                      <w:lang w:val="zh-CN" w:eastAsia="zh-CN"/>
                    </w:rPr>
                    <w:t>（自带</w:t>
                  </w:r>
                  <w:r>
                    <w:rPr>
                      <w:rFonts w:hint="eastAsia" w:ascii="宋体" w:hAnsi="宋体" w:cs="宋体"/>
                      <w:i w:val="0"/>
                      <w:iCs w:val="0"/>
                      <w:color w:val="auto"/>
                      <w:kern w:val="0"/>
                      <w:sz w:val="21"/>
                      <w:szCs w:val="21"/>
                      <w:highlight w:val="none"/>
                      <w:u w:val="none"/>
                      <w:lang w:val="en-US" w:eastAsia="zh-CN" w:bidi="ar"/>
                    </w:rPr>
                    <w:t>蒙砂槽</w:t>
                  </w:r>
                  <w:r>
                    <w:rPr>
                      <w:rFonts w:hint="eastAsia" w:cs="Times New Roman"/>
                      <w:color w:val="auto"/>
                      <w:sz w:val="21"/>
                      <w:szCs w:val="21"/>
                      <w:highlight w:val="none"/>
                      <w:lang w:val="zh-CN" w:eastAsia="zh-CN"/>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3C07">
                  <w:pPr>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color w:val="auto"/>
                      <w:sz w:val="21"/>
                      <w:szCs w:val="21"/>
                      <w:highlight w:val="none"/>
                      <w:lang w:val="en-US" w:eastAsia="zh-CN"/>
                    </w:rPr>
                    <w:t>2.8</w:t>
                  </w:r>
                  <w:r>
                    <w:rPr>
                      <w:rFonts w:hint="default" w:ascii="Times New Roman" w:hAnsi="Times New Roman" w:cs="Times New Roman"/>
                      <w:color w:val="auto"/>
                      <w:sz w:val="21"/>
                      <w:szCs w:val="21"/>
                      <w:highlight w:val="none"/>
                      <w:lang w:val="en-US" w:eastAsia="zh-CN"/>
                    </w:rPr>
                    <w:t>m×</w:t>
                  </w:r>
                  <w:r>
                    <w:rPr>
                      <w:rFonts w:hint="eastAsia" w:cs="Times New Roman"/>
                      <w:color w:val="auto"/>
                      <w:sz w:val="21"/>
                      <w:szCs w:val="21"/>
                      <w:highlight w:val="none"/>
                      <w:lang w:val="en-US" w:eastAsia="zh-CN"/>
                    </w:rPr>
                    <w:t>0.7</w:t>
                  </w:r>
                  <w:r>
                    <w:rPr>
                      <w:rFonts w:hint="default" w:ascii="Times New Roman" w:hAnsi="Times New Roman" w:cs="Times New Roman"/>
                      <w:color w:val="auto"/>
                      <w:sz w:val="21"/>
                      <w:szCs w:val="21"/>
                      <w:highlight w:val="none"/>
                      <w:lang w:val="en-US" w:eastAsia="zh-CN"/>
                    </w:rPr>
                    <w:t>m×</w:t>
                  </w:r>
                  <w:r>
                    <w:rPr>
                      <w:rFonts w:hint="eastAsia" w:cs="Times New Roman"/>
                      <w:color w:val="auto"/>
                      <w:sz w:val="21"/>
                      <w:szCs w:val="21"/>
                      <w:highlight w:val="none"/>
                      <w:lang w:val="en-US" w:eastAsia="zh-CN"/>
                    </w:rPr>
                    <w:t>1.4m</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71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1个</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92F8">
                  <w:pPr>
                    <w:jc w:val="center"/>
                    <w:rPr>
                      <w:rFonts w:hint="eastAsia" w:ascii="Calibri" w:hAnsi="Calibri" w:eastAsia="宋体" w:cs="Calibri"/>
                      <w:i w:val="0"/>
                      <w:iCs w:val="0"/>
                      <w:color w:val="auto"/>
                      <w:sz w:val="21"/>
                      <w:szCs w:val="21"/>
                      <w:highlight w:val="none"/>
                      <w:u w:val="none"/>
                      <w:lang w:eastAsia="zh-CN"/>
                    </w:rPr>
                  </w:pPr>
                  <w:r>
                    <w:rPr>
                      <w:rFonts w:hint="eastAsia" w:ascii="Calibri" w:hAnsi="Calibri" w:cs="Calibri"/>
                      <w:i w:val="0"/>
                      <w:iCs w:val="0"/>
                      <w:color w:val="auto"/>
                      <w:sz w:val="21"/>
                      <w:szCs w:val="21"/>
                      <w:highlight w:val="none"/>
                      <w:u w:val="none"/>
                      <w:lang w:eastAsia="zh-CN"/>
                    </w:rPr>
                    <w:t>蒙砂</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ED14">
                  <w:pPr>
                    <w:jc w:val="center"/>
                    <w:rPr>
                      <w:rFonts w:hint="eastAsia" w:ascii="Calibri" w:hAnsi="Calibri" w:eastAsia="宋体" w:cs="Calibri"/>
                      <w:i w:val="0"/>
                      <w:iCs w:val="0"/>
                      <w:color w:val="auto"/>
                      <w:kern w:val="2"/>
                      <w:sz w:val="21"/>
                      <w:szCs w:val="21"/>
                      <w:highlight w:val="none"/>
                      <w:u w:val="none"/>
                      <w:lang w:val="en-US" w:eastAsia="zh-CN" w:bidi="ar-SA"/>
                    </w:rPr>
                  </w:pPr>
                  <w:r>
                    <w:rPr>
                      <w:rFonts w:hint="eastAsia" w:ascii="Calibri" w:hAnsi="Calibri" w:eastAsia="宋体" w:cs="Calibri"/>
                      <w:i w:val="0"/>
                      <w:iCs w:val="0"/>
                      <w:color w:val="auto"/>
                      <w:sz w:val="21"/>
                      <w:szCs w:val="21"/>
                      <w:highlight w:val="none"/>
                      <w:u w:val="none"/>
                      <w:lang w:eastAsia="zh-CN"/>
                    </w:rPr>
                    <w:t>新增</w:t>
                  </w:r>
                </w:p>
              </w:tc>
            </w:tr>
            <w:tr w14:paraId="4D228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B10B0">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98F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蒙砂液配制桶</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B4AF4">
                  <w:pPr>
                    <w:jc w:val="center"/>
                    <w:rPr>
                      <w:rFonts w:hint="default" w:ascii="宋体" w:hAnsi="宋体" w:eastAsia="宋体" w:cs="宋体"/>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lang w:val="en-US" w:eastAsia="zh-CN"/>
                    </w:rPr>
                    <w:t>Φ</w:t>
                  </w:r>
                  <w:r>
                    <w:rPr>
                      <w:rFonts w:hint="default" w:ascii="Times New Roman" w:hAnsi="Times New Roman" w:cs="Times New Roman"/>
                      <w:color w:val="auto"/>
                      <w:sz w:val="21"/>
                      <w:szCs w:val="21"/>
                      <w:highlight w:val="none"/>
                      <w:lang w:val="en-US" w:eastAsia="zh-CN"/>
                    </w:rPr>
                    <w:t>280×360mm</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C82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15只</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98FE">
                  <w:pPr>
                    <w:jc w:val="center"/>
                    <w:rPr>
                      <w:rFonts w:hint="eastAsia" w:ascii="Calibri" w:hAnsi="Calibri" w:eastAsia="宋体" w:cs="Calibri"/>
                      <w:i w:val="0"/>
                      <w:iCs w:val="0"/>
                      <w:color w:val="auto"/>
                      <w:kern w:val="2"/>
                      <w:sz w:val="21"/>
                      <w:szCs w:val="21"/>
                      <w:highlight w:val="none"/>
                      <w:u w:val="none"/>
                      <w:lang w:val="en-US" w:eastAsia="zh-CN" w:bidi="ar-SA"/>
                    </w:rPr>
                  </w:pPr>
                  <w:r>
                    <w:rPr>
                      <w:rFonts w:hint="eastAsia" w:ascii="Calibri" w:hAnsi="Calibri" w:cs="Calibri"/>
                      <w:i w:val="0"/>
                      <w:iCs w:val="0"/>
                      <w:color w:val="auto"/>
                      <w:sz w:val="21"/>
                      <w:szCs w:val="21"/>
                      <w:highlight w:val="none"/>
                      <w:u w:val="none"/>
                      <w:lang w:eastAsia="zh-CN"/>
                    </w:rPr>
                    <w:t>配制蒙砂液</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B1C8">
                  <w:pPr>
                    <w:jc w:val="center"/>
                    <w:rPr>
                      <w:rFonts w:hint="eastAsia" w:ascii="Calibri" w:hAnsi="Calibri" w:eastAsia="宋体" w:cs="Calibri"/>
                      <w:i w:val="0"/>
                      <w:iCs w:val="0"/>
                      <w:color w:val="auto"/>
                      <w:kern w:val="2"/>
                      <w:sz w:val="21"/>
                      <w:szCs w:val="21"/>
                      <w:highlight w:val="none"/>
                      <w:u w:val="none"/>
                      <w:lang w:val="en-US" w:eastAsia="zh-CN" w:bidi="ar-SA"/>
                    </w:rPr>
                  </w:pPr>
                  <w:r>
                    <w:rPr>
                      <w:rFonts w:hint="eastAsia" w:ascii="Calibri" w:hAnsi="Calibri" w:eastAsia="宋体" w:cs="Calibri"/>
                      <w:i w:val="0"/>
                      <w:iCs w:val="0"/>
                      <w:color w:val="auto"/>
                      <w:sz w:val="21"/>
                      <w:szCs w:val="21"/>
                      <w:highlight w:val="none"/>
                      <w:u w:val="none"/>
                      <w:lang w:eastAsia="zh-CN"/>
                    </w:rPr>
                    <w:t>新增</w:t>
                  </w:r>
                </w:p>
              </w:tc>
            </w:tr>
            <w:tr w14:paraId="07971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A75B9">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07C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弱酸液配制桶</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67B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Φ</w:t>
                  </w:r>
                  <w:r>
                    <w:rPr>
                      <w:rFonts w:hint="default" w:ascii="Times New Roman" w:hAnsi="Times New Roman" w:cs="Times New Roman"/>
                      <w:color w:val="auto"/>
                      <w:sz w:val="21"/>
                      <w:szCs w:val="21"/>
                      <w:highlight w:val="none"/>
                      <w:lang w:val="en-US" w:eastAsia="zh-CN"/>
                    </w:rPr>
                    <w:t>280×360mm</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B7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15只</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F9B4">
                  <w:pPr>
                    <w:jc w:val="center"/>
                    <w:rPr>
                      <w:rFonts w:hint="eastAsia" w:ascii="Calibri" w:hAnsi="Calibri" w:eastAsia="宋体" w:cs="Calibri"/>
                      <w:i w:val="0"/>
                      <w:iCs w:val="0"/>
                      <w:color w:val="auto"/>
                      <w:sz w:val="21"/>
                      <w:szCs w:val="21"/>
                      <w:highlight w:val="none"/>
                      <w:u w:val="none"/>
                      <w:lang w:eastAsia="zh-CN"/>
                    </w:rPr>
                  </w:pPr>
                  <w:r>
                    <w:rPr>
                      <w:rFonts w:hint="eastAsia" w:ascii="Calibri" w:hAnsi="Calibri" w:cs="Calibri"/>
                      <w:i w:val="0"/>
                      <w:iCs w:val="0"/>
                      <w:color w:val="auto"/>
                      <w:sz w:val="21"/>
                      <w:szCs w:val="21"/>
                      <w:highlight w:val="none"/>
                      <w:u w:val="none"/>
                      <w:lang w:eastAsia="zh-CN"/>
                    </w:rPr>
                    <w:t>配制弱酸液</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567B">
                  <w:pPr>
                    <w:jc w:val="center"/>
                    <w:rPr>
                      <w:rFonts w:hint="eastAsia" w:ascii="Calibri" w:hAnsi="Calibri" w:eastAsia="宋体" w:cs="Calibri"/>
                      <w:i w:val="0"/>
                      <w:iCs w:val="0"/>
                      <w:color w:val="auto"/>
                      <w:kern w:val="2"/>
                      <w:sz w:val="21"/>
                      <w:szCs w:val="21"/>
                      <w:highlight w:val="none"/>
                      <w:u w:val="none"/>
                      <w:lang w:val="en-US" w:eastAsia="zh-CN" w:bidi="ar-SA"/>
                    </w:rPr>
                  </w:pPr>
                  <w:r>
                    <w:rPr>
                      <w:rFonts w:hint="eastAsia" w:ascii="Calibri" w:hAnsi="Calibri" w:eastAsia="宋体" w:cs="Calibri"/>
                      <w:i w:val="0"/>
                      <w:iCs w:val="0"/>
                      <w:color w:val="auto"/>
                      <w:sz w:val="21"/>
                      <w:szCs w:val="21"/>
                      <w:highlight w:val="none"/>
                      <w:u w:val="none"/>
                      <w:lang w:eastAsia="zh-CN"/>
                    </w:rPr>
                    <w:t>新增</w:t>
                  </w:r>
                </w:p>
              </w:tc>
            </w:tr>
            <w:tr w14:paraId="0EF91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5ED43">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45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sz w:val="21"/>
                      <w:szCs w:val="21"/>
                      <w:highlight w:val="none"/>
                      <w:u w:val="none"/>
                      <w:lang w:eastAsia="zh-CN"/>
                    </w:rPr>
                    <w:t>生产废水处理设施</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21F2">
                  <w:pPr>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处理规模为2m</w:t>
                  </w:r>
                  <w:r>
                    <w:rPr>
                      <w:rFonts w:hint="eastAsia" w:cs="Times New Roman"/>
                      <w:i w:val="0"/>
                      <w:iCs w:val="0"/>
                      <w:color w:val="auto"/>
                      <w:kern w:val="2"/>
                      <w:sz w:val="21"/>
                      <w:szCs w:val="21"/>
                      <w:highlight w:val="none"/>
                      <w:u w:val="none"/>
                      <w:vertAlign w:val="superscript"/>
                      <w:lang w:val="en-US" w:eastAsia="zh-CN" w:bidi="ar-SA"/>
                    </w:rPr>
                    <w:t>3</w:t>
                  </w:r>
                  <w:r>
                    <w:rPr>
                      <w:rFonts w:hint="eastAsia" w:cs="Times New Roman"/>
                      <w:i w:val="0"/>
                      <w:iCs w:val="0"/>
                      <w:color w:val="auto"/>
                      <w:kern w:val="2"/>
                      <w:sz w:val="21"/>
                      <w:szCs w:val="21"/>
                      <w:highlight w:val="none"/>
                      <w:u w:val="none"/>
                      <w:lang w:val="en-US" w:eastAsia="zh-CN" w:bidi="ar-SA"/>
                    </w:rPr>
                    <w:t>/d的生产废水处理设施，</w:t>
                  </w:r>
                  <w:r>
                    <w:rPr>
                      <w:color w:val="auto"/>
                      <w:sz w:val="21"/>
                      <w:szCs w:val="21"/>
                      <w:highlight w:val="none"/>
                    </w:rPr>
                    <w:t>采用“</w:t>
                  </w:r>
                  <w:r>
                    <w:rPr>
                      <w:rFonts w:hint="eastAsia"/>
                      <w:color w:val="auto"/>
                      <w:sz w:val="21"/>
                      <w:szCs w:val="21"/>
                      <w:highlight w:val="none"/>
                      <w:lang w:eastAsia="zh-CN"/>
                    </w:rPr>
                    <w:t>调节池</w:t>
                  </w:r>
                  <w:r>
                    <w:rPr>
                      <w:rFonts w:hint="eastAsia"/>
                      <w:color w:val="auto"/>
                      <w:sz w:val="21"/>
                      <w:szCs w:val="21"/>
                      <w:highlight w:val="none"/>
                      <w:lang w:val="en-US" w:eastAsia="zh-CN"/>
                    </w:rPr>
                    <w:t>+</w:t>
                  </w:r>
                  <w:r>
                    <w:rPr>
                      <w:color w:val="auto"/>
                      <w:sz w:val="21"/>
                      <w:szCs w:val="21"/>
                      <w:highlight w:val="none"/>
                    </w:rPr>
                    <w:t>混凝沉淀+</w:t>
                  </w:r>
                  <w:r>
                    <w:rPr>
                      <w:rFonts w:hint="eastAsia"/>
                      <w:color w:val="auto"/>
                      <w:sz w:val="21"/>
                      <w:szCs w:val="21"/>
                      <w:highlight w:val="none"/>
                      <w:lang w:eastAsia="zh-CN"/>
                    </w:rPr>
                    <w:t>过滤</w:t>
                  </w:r>
                  <w:r>
                    <w:rPr>
                      <w:color w:val="auto"/>
                      <w:sz w:val="21"/>
                      <w:szCs w:val="21"/>
                      <w:highlight w:val="none"/>
                    </w:rPr>
                    <w:t>”工艺</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BED3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sz w:val="21"/>
                      <w:szCs w:val="21"/>
                      <w:highlight w:val="none"/>
                      <w:u w:val="none"/>
                      <w:lang w:val="en-US" w:eastAsia="zh-CN"/>
                    </w:rPr>
                    <w:t>1套</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078F">
                  <w:pPr>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sz w:val="21"/>
                      <w:szCs w:val="21"/>
                      <w:highlight w:val="none"/>
                      <w:u w:val="none"/>
                      <w:lang w:eastAsia="zh-CN"/>
                    </w:rPr>
                    <w:t>处理生产废水</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1CAA9">
                  <w:pPr>
                    <w:jc w:val="center"/>
                    <w:rPr>
                      <w:rFonts w:hint="eastAsia" w:ascii="Calibri" w:hAnsi="Calibri" w:eastAsia="宋体" w:cs="Calibri"/>
                      <w:i w:val="0"/>
                      <w:iCs w:val="0"/>
                      <w:color w:val="auto"/>
                      <w:kern w:val="2"/>
                      <w:sz w:val="21"/>
                      <w:szCs w:val="21"/>
                      <w:highlight w:val="none"/>
                      <w:u w:val="none"/>
                      <w:lang w:val="en-US" w:eastAsia="zh-CN" w:bidi="ar-SA"/>
                    </w:rPr>
                  </w:pPr>
                  <w:r>
                    <w:rPr>
                      <w:rFonts w:hint="eastAsia" w:ascii="Calibri" w:hAnsi="Calibri" w:cs="Calibri"/>
                      <w:i w:val="0"/>
                      <w:iCs w:val="0"/>
                      <w:color w:val="auto"/>
                      <w:kern w:val="2"/>
                      <w:sz w:val="21"/>
                      <w:szCs w:val="21"/>
                      <w:highlight w:val="none"/>
                      <w:u w:val="none"/>
                      <w:lang w:val="en-US" w:eastAsia="zh-CN" w:bidi="ar-SA"/>
                    </w:rPr>
                    <w:t>新增</w:t>
                  </w:r>
                </w:p>
              </w:tc>
            </w:tr>
            <w:tr w14:paraId="451C8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50FCA">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D8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sz w:val="21"/>
                      <w:szCs w:val="21"/>
                      <w:highlight w:val="none"/>
                      <w:u w:val="none"/>
                      <w:lang w:eastAsia="zh-CN"/>
                    </w:rPr>
                    <w:t>废气净化处理设施</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742F">
                  <w:pPr>
                    <w:jc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碱液喷淋洗涤塔及风机（配套风机风量为10000m</w:t>
                  </w:r>
                  <w:r>
                    <w:rPr>
                      <w:rFonts w:hint="eastAsia" w:cs="Times New Roman"/>
                      <w:i w:val="0"/>
                      <w:iCs w:val="0"/>
                      <w:color w:val="auto"/>
                      <w:sz w:val="21"/>
                      <w:szCs w:val="21"/>
                      <w:highlight w:val="none"/>
                      <w:u w:val="none"/>
                      <w:vertAlign w:val="superscript"/>
                      <w:lang w:val="en-US" w:eastAsia="zh-CN"/>
                    </w:rPr>
                    <w:t>3</w:t>
                  </w:r>
                  <w:r>
                    <w:rPr>
                      <w:rFonts w:hint="eastAsia" w:cs="Times New Roman"/>
                      <w:i w:val="0"/>
                      <w:iCs w:val="0"/>
                      <w:color w:val="auto"/>
                      <w:sz w:val="21"/>
                      <w:szCs w:val="21"/>
                      <w:highlight w:val="none"/>
                      <w:u w:val="none"/>
                      <w:lang w:val="en-US" w:eastAsia="zh-CN"/>
                    </w:rPr>
                    <w:t>/h）</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FD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1套</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3D87">
                  <w:pPr>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处理废气</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FCD9">
                  <w:pPr>
                    <w:jc w:val="center"/>
                    <w:rPr>
                      <w:rFonts w:hint="eastAsia" w:ascii="Calibri" w:hAnsi="Calibri" w:eastAsia="宋体" w:cs="Calibri"/>
                      <w:i w:val="0"/>
                      <w:iCs w:val="0"/>
                      <w:color w:val="auto"/>
                      <w:kern w:val="2"/>
                      <w:sz w:val="21"/>
                      <w:szCs w:val="21"/>
                      <w:highlight w:val="none"/>
                      <w:u w:val="none"/>
                      <w:lang w:val="en-US" w:eastAsia="zh-CN" w:bidi="ar-SA"/>
                    </w:rPr>
                  </w:pPr>
                  <w:r>
                    <w:rPr>
                      <w:rFonts w:hint="eastAsia" w:ascii="Calibri" w:hAnsi="Calibri" w:eastAsia="宋体" w:cs="Calibri"/>
                      <w:i w:val="0"/>
                      <w:iCs w:val="0"/>
                      <w:color w:val="auto"/>
                      <w:sz w:val="21"/>
                      <w:szCs w:val="21"/>
                      <w:highlight w:val="none"/>
                      <w:u w:val="none"/>
                      <w:lang w:eastAsia="zh-CN"/>
                    </w:rPr>
                    <w:t>新增</w:t>
                  </w:r>
                </w:p>
              </w:tc>
            </w:tr>
            <w:tr w14:paraId="086DA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B05E7">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64F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防腐泵</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E43A">
                  <w:pPr>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sz w:val="21"/>
                      <w:szCs w:val="21"/>
                      <w:highlight w:val="none"/>
                      <w:u w:val="none"/>
                      <w:lang w:val="en-US" w:eastAsia="zh-CN"/>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448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41205">
                  <w:pPr>
                    <w:jc w:val="center"/>
                    <w:rPr>
                      <w:rFonts w:hint="eastAsia" w:ascii="Calibri" w:hAnsi="Calibri" w:eastAsia="宋体" w:cs="Calibri"/>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sz w:val="21"/>
                      <w:szCs w:val="21"/>
                      <w:highlight w:val="none"/>
                      <w:u w:val="none"/>
                      <w:lang w:val="en-US" w:eastAsia="zh-CN"/>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3E28">
                  <w:pPr>
                    <w:jc w:val="center"/>
                    <w:rPr>
                      <w:rFonts w:hint="eastAsia" w:ascii="Calibri" w:hAnsi="Calibri" w:eastAsia="宋体" w:cs="Calibri"/>
                      <w:i w:val="0"/>
                      <w:iCs w:val="0"/>
                      <w:color w:val="auto"/>
                      <w:kern w:val="2"/>
                      <w:sz w:val="21"/>
                      <w:szCs w:val="21"/>
                      <w:highlight w:val="none"/>
                      <w:u w:val="none"/>
                      <w:lang w:val="en-US" w:eastAsia="zh-CN" w:bidi="ar-SA"/>
                    </w:rPr>
                  </w:pPr>
                  <w:r>
                    <w:rPr>
                      <w:rFonts w:hint="eastAsia" w:ascii="Calibri" w:hAnsi="Calibri" w:eastAsia="宋体" w:cs="Calibri"/>
                      <w:i w:val="0"/>
                      <w:iCs w:val="0"/>
                      <w:color w:val="auto"/>
                      <w:sz w:val="21"/>
                      <w:szCs w:val="21"/>
                      <w:highlight w:val="none"/>
                      <w:u w:val="none"/>
                      <w:lang w:eastAsia="zh-CN"/>
                    </w:rPr>
                    <w:t>新增</w:t>
                  </w:r>
                </w:p>
              </w:tc>
            </w:tr>
            <w:tr w14:paraId="39520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B7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防火玻璃生产线</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D2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与钢化玻璃共用生产设备</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689E">
                  <w:pPr>
                    <w:keepNext w:val="0"/>
                    <w:keepLines w:val="0"/>
                    <w:widowControl/>
                    <w:suppressLineNumbers w:val="0"/>
                    <w:jc w:val="center"/>
                    <w:textAlignment w:val="center"/>
                    <w:rPr>
                      <w:rFonts w:hint="default"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ED1C">
                  <w:pPr>
                    <w:keepNext w:val="0"/>
                    <w:keepLines w:val="0"/>
                    <w:widowControl/>
                    <w:suppressLineNumbers w:val="0"/>
                    <w:jc w:val="center"/>
                    <w:textAlignment w:val="center"/>
                    <w:rPr>
                      <w:rFonts w:hint="eastAsia"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1C95">
                  <w:pPr>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t>生产防火玻璃</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DC046">
                  <w:pPr>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t>依托</w:t>
                  </w:r>
                </w:p>
              </w:tc>
            </w:tr>
            <w:tr w14:paraId="7BFC9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277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钢化玻璃生产线</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9C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切片机</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748B">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HD-2500</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19E8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F22A">
                  <w:pPr>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eastAsia="zh-CN"/>
                    </w:rPr>
                    <w:t>切割</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99731">
                  <w:pPr>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t>依托</w:t>
                  </w:r>
                </w:p>
              </w:tc>
            </w:tr>
            <w:tr w14:paraId="7599F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C5422">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7A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磨边机</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0CE5">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958A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r>
                    <w:rPr>
                      <w:rFonts w:hint="eastAsia" w:ascii="Times New Roman" w:hAnsi="Times New Roman" w:eastAsia="宋体" w:cs="Times New Roman"/>
                      <w:i w:val="0"/>
                      <w:iCs w:val="0"/>
                      <w:color w:val="auto"/>
                      <w:kern w:val="0"/>
                      <w:sz w:val="21"/>
                      <w:szCs w:val="21"/>
                      <w:highlight w:val="none"/>
                      <w:u w:val="none"/>
                      <w:lang w:val="en-US" w:eastAsia="zh-CN" w:bidi="ar"/>
                    </w:rPr>
                    <w:t>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55259">
                  <w:pPr>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t>磨边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04B56">
                  <w:pPr>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eastAsia="zh-CN"/>
                    </w:rPr>
                    <w:t>依托</w:t>
                  </w:r>
                </w:p>
              </w:tc>
            </w:tr>
            <w:tr w14:paraId="33610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4C78C">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55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清洗机</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54B3">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C13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2CC39">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65FC">
                  <w:pPr>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eastAsia="zh-CN"/>
                    </w:rPr>
                    <w:t>依托</w:t>
                  </w:r>
                </w:p>
              </w:tc>
            </w:tr>
            <w:tr w14:paraId="3AD71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38AE8">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08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水刀</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478A">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768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71701">
                  <w:pPr>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eastAsia="zh-CN"/>
                    </w:rPr>
                    <w:t>打孔</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822FD">
                  <w:pPr>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t>依托</w:t>
                  </w:r>
                </w:p>
              </w:tc>
            </w:tr>
            <w:tr w14:paraId="05E62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8612B">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BF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电加热玻璃钢化炉（自带风机）</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88AF">
                  <w:pPr>
                    <w:jc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1H36</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1C7C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3套</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2E855">
                  <w:pPr>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t>钢化</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771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依托</w:t>
                  </w:r>
                </w:p>
              </w:tc>
            </w:tr>
            <w:tr w14:paraId="4FB57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B612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其他公辅工程设备</w:t>
                  </w: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FE9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叉</w:t>
                  </w:r>
                  <w:r>
                    <w:rPr>
                      <w:rStyle w:val="85"/>
                      <w:color w:val="auto"/>
                      <w:sz w:val="21"/>
                      <w:szCs w:val="21"/>
                      <w:highlight w:val="none"/>
                      <w:lang w:val="en-US" w:eastAsia="zh-CN" w:bidi="ar"/>
                    </w:rPr>
                    <w:t>车</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F79E">
                  <w:pPr>
                    <w:keepNext w:val="0"/>
                    <w:keepLines w:val="0"/>
                    <w:widowControl/>
                    <w:suppressLineNumbers w:val="0"/>
                    <w:jc w:val="center"/>
                    <w:textAlignment w:val="center"/>
                    <w:rPr>
                      <w:rFonts w:hint="eastAsia"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32F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27D5">
                  <w:pPr>
                    <w:jc w:val="center"/>
                    <w:rPr>
                      <w:rFonts w:hint="eastAsia" w:ascii="宋体" w:hAnsi="宋体" w:eastAsia="宋体" w:cs="宋体"/>
                      <w:i w:val="0"/>
                      <w:iCs w:val="0"/>
                      <w:color w:val="auto"/>
                      <w:sz w:val="21"/>
                      <w:szCs w:val="21"/>
                      <w:highlight w:val="none"/>
                      <w:u w:val="none"/>
                      <w:lang w:eastAsia="zh-CN"/>
                    </w:rPr>
                  </w:pPr>
                  <w:r>
                    <w:rPr>
                      <w:rFonts w:hint="eastAsia" w:ascii="Times New Roman" w:hAnsi="Times New Roman" w:eastAsia="微软雅黑" w:cs="Times New Roman"/>
                      <w:i w:val="0"/>
                      <w:iCs w:val="0"/>
                      <w:color w:val="auto"/>
                      <w:kern w:val="0"/>
                      <w:sz w:val="21"/>
                      <w:szCs w:val="21"/>
                      <w:highlight w:val="none"/>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DC1D8">
                  <w:pPr>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eastAsia="zh-CN"/>
                    </w:rPr>
                    <w:t>依托</w:t>
                  </w:r>
                </w:p>
              </w:tc>
            </w:tr>
            <w:tr w14:paraId="660A5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44E51">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11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w:t>
                  </w:r>
                  <w:r>
                    <w:rPr>
                      <w:rStyle w:val="85"/>
                      <w:color w:val="auto"/>
                      <w:sz w:val="21"/>
                      <w:szCs w:val="21"/>
                      <w:highlight w:val="none"/>
                      <w:lang w:val="en-US" w:eastAsia="zh-CN" w:bidi="ar"/>
                    </w:rPr>
                    <w:t>储存架</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1356">
                  <w:pPr>
                    <w:keepNext w:val="0"/>
                    <w:keepLines w:val="0"/>
                    <w:widowControl/>
                    <w:suppressLineNumbers w:val="0"/>
                    <w:jc w:val="center"/>
                    <w:textAlignment w:val="center"/>
                    <w:rPr>
                      <w:rFonts w:hint="eastAsia"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B6A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100套</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AC10">
                  <w:pPr>
                    <w:jc w:val="center"/>
                    <w:rPr>
                      <w:rFonts w:hint="eastAsia" w:ascii="宋体" w:hAnsi="宋体" w:eastAsia="宋体" w:cs="宋体"/>
                      <w:i w:val="0"/>
                      <w:iCs w:val="0"/>
                      <w:color w:val="auto"/>
                      <w:sz w:val="21"/>
                      <w:szCs w:val="21"/>
                      <w:highlight w:val="none"/>
                      <w:u w:val="none"/>
                    </w:rPr>
                  </w:pPr>
                  <w:r>
                    <w:rPr>
                      <w:rStyle w:val="85"/>
                      <w:color w:val="auto"/>
                      <w:sz w:val="21"/>
                      <w:szCs w:val="21"/>
                      <w:highlight w:val="none"/>
                      <w:lang w:val="en-US" w:eastAsia="zh-CN" w:bidi="ar"/>
                    </w:rPr>
                    <w:t>储存</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D86B">
                  <w:pPr>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eastAsia="zh-CN"/>
                    </w:rPr>
                    <w:t>依托</w:t>
                  </w:r>
                </w:p>
              </w:tc>
            </w:tr>
            <w:tr w14:paraId="65C98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CD5B7">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FC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运送滑轮车</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82936">
                  <w:pPr>
                    <w:keepNext w:val="0"/>
                    <w:keepLines w:val="0"/>
                    <w:widowControl/>
                    <w:suppressLineNumbers w:val="0"/>
                    <w:jc w:val="center"/>
                    <w:textAlignment w:val="center"/>
                    <w:rPr>
                      <w:rFonts w:hint="eastAsia"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7FC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15台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A345">
                  <w:pPr>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t>运送</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02375">
                  <w:pPr>
                    <w:jc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eastAsia="zh-CN"/>
                    </w:rPr>
                    <w:t>依托</w:t>
                  </w:r>
                </w:p>
              </w:tc>
            </w:tr>
            <w:tr w14:paraId="21D0A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69589">
                  <w:pPr>
                    <w:jc w:val="center"/>
                    <w:rPr>
                      <w:rFonts w:hint="eastAsia" w:ascii="宋体" w:hAnsi="宋体" w:eastAsia="宋体" w:cs="宋体"/>
                      <w:i w:val="0"/>
                      <w:iCs w:val="0"/>
                      <w:color w:val="auto"/>
                      <w:sz w:val="21"/>
                      <w:szCs w:val="21"/>
                      <w:highlight w:val="none"/>
                      <w:u w:val="none"/>
                    </w:rPr>
                  </w:pPr>
                </w:p>
              </w:tc>
              <w:tc>
                <w:tcPr>
                  <w:tcW w:w="2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F5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2t行车</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7121F">
                  <w:pPr>
                    <w:keepNext w:val="0"/>
                    <w:keepLines w:val="0"/>
                    <w:widowControl/>
                    <w:suppressLineNumbers w:val="0"/>
                    <w:jc w:val="center"/>
                    <w:textAlignment w:val="center"/>
                    <w:rPr>
                      <w:rFonts w:hint="eastAsia"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DB0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3台</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CB51">
                  <w:pPr>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t>运送</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07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依托</w:t>
                  </w:r>
                </w:p>
              </w:tc>
            </w:tr>
          </w:tbl>
          <w:p w14:paraId="2B57FEA7">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4</w:t>
            </w:r>
            <w:r>
              <w:rPr>
                <w:rFonts w:hint="default" w:ascii="Times New Roman" w:hAnsi="Times New Roman" w:cs="Times New Roman"/>
                <w:b/>
                <w:bCs w:val="0"/>
                <w:color w:val="auto"/>
                <w:sz w:val="24"/>
                <w:szCs w:val="24"/>
                <w:highlight w:val="none"/>
                <w:lang w:val="en-US" w:eastAsia="zh-CN"/>
              </w:rPr>
              <w:t>、</w:t>
            </w:r>
            <w:r>
              <w:rPr>
                <w:rFonts w:hint="eastAsia" w:ascii="Times New Roman" w:hAnsi="Times New Roman" w:cs="Times New Roman"/>
                <w:b/>
                <w:bCs w:val="0"/>
                <w:color w:val="auto"/>
                <w:sz w:val="24"/>
                <w:szCs w:val="24"/>
                <w:highlight w:val="none"/>
                <w:lang w:val="en-US" w:eastAsia="zh-CN"/>
              </w:rPr>
              <w:t>产品方案及规模</w:t>
            </w:r>
          </w:p>
          <w:p w14:paraId="40A05CD6">
            <w:pPr>
              <w:adjustRightInd w:val="0"/>
              <w:snapToGrid w:val="0"/>
              <w:spacing w:line="360" w:lineRule="auto"/>
              <w:ind w:firstLine="480" w:firstLineChars="200"/>
              <w:rPr>
                <w:rFonts w:hint="default" w:ascii="Times New Roman" w:hAnsi="Times New Roman" w:eastAsia="宋体" w:cs="Times New Roman"/>
                <w:b/>
                <w:bCs/>
                <w:color w:val="auto"/>
                <w:szCs w:val="21"/>
                <w:highlight w:val="none"/>
              </w:rPr>
            </w:pPr>
            <w:r>
              <w:rPr>
                <w:rFonts w:hint="eastAsia" w:cs="Times New Roman"/>
                <w:color w:val="auto"/>
                <w:sz w:val="24"/>
                <w:highlight w:val="none"/>
                <w:lang w:eastAsia="zh-CN"/>
              </w:rPr>
              <w:t>本扩建</w:t>
            </w:r>
            <w:r>
              <w:rPr>
                <w:rFonts w:hint="default" w:ascii="Times New Roman" w:hAnsi="Times New Roman" w:eastAsia="宋体" w:cs="Times New Roman"/>
                <w:color w:val="auto"/>
                <w:sz w:val="24"/>
                <w:highlight w:val="none"/>
              </w:rPr>
              <w:t>项目</w:t>
            </w:r>
            <w:r>
              <w:rPr>
                <w:rFonts w:hint="eastAsia"/>
                <w:color w:val="auto"/>
                <w:sz w:val="24"/>
                <w:szCs w:val="24"/>
                <w:highlight w:val="none"/>
                <w:lang w:val="en-US" w:eastAsia="zh-CN"/>
              </w:rPr>
              <w:t>主要生产玉砂玻璃、防火玻璃和钢化玻璃，本次新增产能为玉砂玻璃10万m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/a、防火玻璃万1m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/a、扩建产能为钢化玻璃10万m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/a，通过增加工作时间和员工数量来增加产能。项目产品方案及规模见表2-3。</w:t>
            </w:r>
          </w:p>
          <w:p w14:paraId="0DEA6120">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 xml:space="preserve">  </w:t>
            </w:r>
            <w:r>
              <w:rPr>
                <w:rFonts w:hint="eastAsia"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项目</w:t>
            </w:r>
            <w:r>
              <w:rPr>
                <w:rFonts w:hint="eastAsia" w:cs="Times New Roman"/>
                <w:b/>
                <w:bCs/>
                <w:color w:val="auto"/>
                <w:szCs w:val="21"/>
                <w:highlight w:val="none"/>
                <w:lang w:val="en-US" w:eastAsia="zh-CN"/>
              </w:rPr>
              <w:t>产品方案及规模</w:t>
            </w:r>
            <w:r>
              <w:rPr>
                <w:rFonts w:hint="default" w:ascii="Times New Roman" w:hAnsi="Times New Roman" w:eastAsia="宋体" w:cs="Times New Roman"/>
                <w:b/>
                <w:bCs/>
                <w:color w:val="auto"/>
                <w:szCs w:val="21"/>
                <w:highlight w:val="none"/>
              </w:rPr>
              <w:t>一览表</w:t>
            </w:r>
          </w:p>
          <w:tbl>
            <w:tblPr>
              <w:tblStyle w:val="25"/>
              <w:tblW w:w="81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0"/>
              <w:gridCol w:w="1150"/>
              <w:gridCol w:w="1894"/>
              <w:gridCol w:w="1125"/>
              <w:gridCol w:w="1200"/>
              <w:gridCol w:w="1140"/>
              <w:gridCol w:w="1050"/>
            </w:tblGrid>
            <w:tr w14:paraId="4D0A6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F58DA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F8FFE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产品名称</w:t>
                  </w:r>
                </w:p>
              </w:tc>
              <w:tc>
                <w:tcPr>
                  <w:tcW w:w="1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0589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451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21FC8E">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年产量</w:t>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b/>
                      <w:bCs/>
                      <w:i w:val="0"/>
                      <w:iCs w:val="0"/>
                      <w:color w:val="auto"/>
                      <w:kern w:val="0"/>
                      <w:sz w:val="21"/>
                      <w:szCs w:val="21"/>
                      <w:highlight w:val="none"/>
                      <w:u w:val="none"/>
                      <w:lang w:val="en-US" w:eastAsia="zh-CN" w:bidi="ar"/>
                    </w:rPr>
                    <w:t>/a)</w:t>
                  </w:r>
                </w:p>
              </w:tc>
            </w:tr>
            <w:tr w14:paraId="68ACC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900D2">
                  <w:pPr>
                    <w:jc w:val="center"/>
                    <w:rPr>
                      <w:rFonts w:hint="eastAsia" w:ascii="宋体" w:hAnsi="宋体" w:eastAsia="宋体" w:cs="宋体"/>
                      <w:b/>
                      <w:bCs/>
                      <w:i w:val="0"/>
                      <w:iCs w:val="0"/>
                      <w:color w:val="auto"/>
                      <w:sz w:val="21"/>
                      <w:szCs w:val="21"/>
                      <w:highlight w:val="none"/>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A116E">
                  <w:pPr>
                    <w:jc w:val="center"/>
                    <w:rPr>
                      <w:rFonts w:hint="eastAsia" w:ascii="宋体" w:hAnsi="宋体" w:eastAsia="宋体" w:cs="宋体"/>
                      <w:b/>
                      <w:bCs/>
                      <w:i w:val="0"/>
                      <w:iCs w:val="0"/>
                      <w:color w:val="auto"/>
                      <w:sz w:val="21"/>
                      <w:szCs w:val="21"/>
                      <w:highlight w:val="none"/>
                      <w:u w:val="none"/>
                    </w:rPr>
                  </w:pPr>
                </w:p>
              </w:tc>
              <w:tc>
                <w:tcPr>
                  <w:tcW w:w="1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F1692">
                  <w:pPr>
                    <w:jc w:val="center"/>
                    <w:rPr>
                      <w:rFonts w:hint="eastAsia" w:ascii="宋体" w:hAnsi="宋体" w:eastAsia="宋体" w:cs="宋体"/>
                      <w:b/>
                      <w:bCs/>
                      <w:i w:val="0"/>
                      <w:iCs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676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cs="宋体"/>
                      <w:b/>
                      <w:bCs/>
                      <w:i w:val="0"/>
                      <w:iCs w:val="0"/>
                      <w:color w:val="auto"/>
                      <w:kern w:val="0"/>
                      <w:sz w:val="21"/>
                      <w:szCs w:val="21"/>
                      <w:highlight w:val="none"/>
                      <w:u w:val="none"/>
                      <w:lang w:val="en-US" w:eastAsia="zh-CN" w:bidi="ar"/>
                    </w:rPr>
                    <w:t>原</w:t>
                  </w:r>
                  <w:r>
                    <w:rPr>
                      <w:rFonts w:hint="eastAsia" w:ascii="宋体" w:hAnsi="宋体" w:eastAsia="宋体" w:cs="宋体"/>
                      <w:b/>
                      <w:bCs/>
                      <w:i w:val="0"/>
                      <w:iCs w:val="0"/>
                      <w:color w:val="auto"/>
                      <w:kern w:val="0"/>
                      <w:sz w:val="21"/>
                      <w:szCs w:val="21"/>
                      <w:highlight w:val="none"/>
                      <w:u w:val="none"/>
                      <w:lang w:val="en-US" w:eastAsia="zh-CN" w:bidi="ar"/>
                    </w:rPr>
                    <w:t>有项目</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AE7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扩建项目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BD29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全厂</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8D8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增减量</w:t>
                  </w:r>
                </w:p>
              </w:tc>
            </w:tr>
            <w:tr w14:paraId="6C722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1B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AB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玉砂玻璃</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31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根据客户需求进行生产</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A5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60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万</w:t>
                  </w:r>
                  <w:r>
                    <w:rPr>
                      <w:rStyle w:val="78"/>
                      <w:rFonts w:eastAsia="宋体"/>
                      <w:color w:val="auto"/>
                      <w:sz w:val="21"/>
                      <w:szCs w:val="21"/>
                      <w:highlight w:val="none"/>
                      <w:lang w:val="en-US" w:eastAsia="zh-CN" w:bidi="ar"/>
                    </w:rPr>
                    <w:t xml:space="preserve">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5B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Style w:val="79"/>
                      <w:color w:val="auto"/>
                      <w:sz w:val="21"/>
                      <w:szCs w:val="21"/>
                      <w:highlight w:val="none"/>
                      <w:lang w:val="en-US" w:eastAsia="zh-CN" w:bidi="ar"/>
                    </w:rPr>
                    <w:t>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1A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Style w:val="79"/>
                      <w:color w:val="auto"/>
                      <w:sz w:val="21"/>
                      <w:szCs w:val="21"/>
                      <w:highlight w:val="none"/>
                      <w:lang w:val="en-US" w:eastAsia="zh-CN" w:bidi="ar"/>
                    </w:rPr>
                    <w:t>万</w:t>
                  </w:r>
                  <w:r>
                    <w:rPr>
                      <w:rStyle w:val="80"/>
                      <w:rFonts w:eastAsia="宋体"/>
                      <w:color w:val="auto"/>
                      <w:sz w:val="21"/>
                      <w:szCs w:val="21"/>
                      <w:highlight w:val="none"/>
                      <w:lang w:val="en-US" w:eastAsia="zh-CN" w:bidi="ar"/>
                    </w:rPr>
                    <w:t xml:space="preserve"> </w:t>
                  </w:r>
                </w:p>
              </w:tc>
            </w:tr>
            <w:tr w14:paraId="2AE14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8D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94D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防火玻璃</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E88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根据客户需求进行生产</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50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90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1万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48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1万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5C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1万 </w:t>
                  </w:r>
                </w:p>
              </w:tc>
            </w:tr>
            <w:tr w14:paraId="4747C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1A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DAC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钢化玻璃</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7F3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根据客户需求进行生产</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FF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r>
                    <w:rPr>
                      <w:rFonts w:hint="eastAsia" w:ascii="Times New Roman" w:hAnsi="Times New Roman" w:eastAsia="宋体" w:cs="Times New Roman"/>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EC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090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80万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3E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bl>
          <w:p w14:paraId="4FA439AC">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5</w:t>
            </w:r>
            <w:r>
              <w:rPr>
                <w:rFonts w:hint="default" w:ascii="Times New Roman" w:hAnsi="Times New Roman" w:cs="Times New Roman"/>
                <w:b/>
                <w:bCs w:val="0"/>
                <w:color w:val="auto"/>
                <w:sz w:val="24"/>
                <w:szCs w:val="24"/>
                <w:highlight w:val="none"/>
                <w:lang w:val="en-US" w:eastAsia="zh-CN"/>
              </w:rPr>
              <w:t>、主要</w:t>
            </w:r>
            <w:r>
              <w:rPr>
                <w:rFonts w:hint="eastAsia" w:ascii="Times New Roman" w:hAnsi="Times New Roman" w:cs="Times New Roman"/>
                <w:b/>
                <w:bCs w:val="0"/>
                <w:color w:val="auto"/>
                <w:sz w:val="24"/>
                <w:szCs w:val="24"/>
                <w:highlight w:val="none"/>
                <w:lang w:val="en-US" w:eastAsia="zh-CN"/>
              </w:rPr>
              <w:t>原辅料</w:t>
            </w:r>
          </w:p>
          <w:p w14:paraId="037B304C">
            <w:pPr>
              <w:adjustRightInd w:val="0"/>
              <w:snapToGrid w:val="0"/>
              <w:spacing w:line="360" w:lineRule="auto"/>
              <w:ind w:firstLine="480" w:firstLineChars="20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highlight w:val="none"/>
              </w:rPr>
              <w:t>项目</w:t>
            </w:r>
            <w:r>
              <w:rPr>
                <w:rFonts w:hint="eastAsia" w:cs="Times New Roman"/>
                <w:color w:val="auto"/>
                <w:sz w:val="24"/>
                <w:highlight w:val="none"/>
                <w:lang w:val="en-US" w:eastAsia="zh-CN"/>
              </w:rPr>
              <w:t>主要原辅料及能源消耗情况</w:t>
            </w:r>
            <w:r>
              <w:rPr>
                <w:rFonts w:hint="default" w:ascii="Times New Roman" w:hAnsi="Times New Roman" w:eastAsia="宋体" w:cs="Times New Roman"/>
                <w:color w:val="auto"/>
                <w:sz w:val="24"/>
                <w:highlight w:val="none"/>
              </w:rPr>
              <w:t>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4，原辅料理化性质详见表2-5</w:t>
            </w:r>
            <w:r>
              <w:rPr>
                <w:rFonts w:hint="default" w:ascii="Times New Roman" w:hAnsi="Times New Roman" w:eastAsia="宋体" w:cs="Times New Roman"/>
                <w:color w:val="auto"/>
                <w:sz w:val="24"/>
                <w:highlight w:val="none"/>
              </w:rPr>
              <w:t>。</w:t>
            </w:r>
          </w:p>
          <w:p w14:paraId="304B9F54">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 xml:space="preserve">  </w:t>
            </w:r>
            <w:r>
              <w:rPr>
                <w:rFonts w:hint="eastAsia" w:cs="Times New Roman"/>
                <w:b/>
                <w:bCs/>
                <w:color w:val="auto"/>
                <w:szCs w:val="21"/>
                <w:highlight w:val="none"/>
                <w:lang w:val="en-US" w:eastAsia="zh-CN"/>
              </w:rPr>
              <w:t xml:space="preserve"> 主要原辅料及能源消耗情况一览表</w:t>
            </w:r>
          </w:p>
          <w:tbl>
            <w:tblPr>
              <w:tblStyle w:val="25"/>
              <w:tblW w:w="84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1091"/>
              <w:gridCol w:w="705"/>
              <w:gridCol w:w="840"/>
              <w:gridCol w:w="825"/>
              <w:gridCol w:w="795"/>
              <w:gridCol w:w="780"/>
              <w:gridCol w:w="705"/>
              <w:gridCol w:w="1099"/>
              <w:gridCol w:w="919"/>
            </w:tblGrid>
            <w:tr w14:paraId="7888C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8F5F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生产线</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BCAE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物质名称</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A5804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形态</w:t>
                  </w:r>
                </w:p>
              </w:tc>
              <w:tc>
                <w:tcPr>
                  <w:tcW w:w="324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7BE01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年</w:t>
                  </w:r>
                  <w:r>
                    <w:rPr>
                      <w:rStyle w:val="82"/>
                      <w:rFonts w:hint="eastAsia" w:ascii="宋体" w:hAnsi="宋体" w:eastAsia="宋体" w:cs="宋体"/>
                      <w:color w:val="auto"/>
                      <w:sz w:val="21"/>
                      <w:szCs w:val="21"/>
                      <w:highlight w:val="none"/>
                      <w:lang w:val="en-US" w:eastAsia="zh-CN" w:bidi="ar"/>
                    </w:rPr>
                    <w:t>耗量</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9BD4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包装方式</w:t>
                  </w:r>
                </w:p>
              </w:tc>
              <w:tc>
                <w:tcPr>
                  <w:tcW w:w="10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236B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来源</w:t>
                  </w:r>
                </w:p>
              </w:tc>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9BE85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厂区最大存储量</w:t>
                  </w:r>
                </w:p>
              </w:tc>
            </w:tr>
            <w:tr w14:paraId="3D95A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3D396">
                  <w:pPr>
                    <w:jc w:val="center"/>
                    <w:rPr>
                      <w:rFonts w:hint="eastAsia" w:ascii="宋体" w:hAnsi="宋体" w:eastAsia="宋体" w:cs="宋体"/>
                      <w:b/>
                      <w:bCs/>
                      <w:i w:val="0"/>
                      <w:iCs w:val="0"/>
                      <w:color w:val="auto"/>
                      <w:sz w:val="21"/>
                      <w:szCs w:val="21"/>
                      <w:highlight w:val="none"/>
                      <w:u w:val="none"/>
                    </w:rPr>
                  </w:pP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5B196">
                  <w:pPr>
                    <w:jc w:val="center"/>
                    <w:rPr>
                      <w:rFonts w:hint="eastAsia" w:ascii="宋体" w:hAnsi="宋体" w:eastAsia="宋体" w:cs="宋体"/>
                      <w:b/>
                      <w:bCs/>
                      <w:i w:val="0"/>
                      <w:iCs w:val="0"/>
                      <w:color w:val="auto"/>
                      <w:sz w:val="21"/>
                      <w:szCs w:val="21"/>
                      <w:highlight w:val="none"/>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9BF61">
                  <w:pPr>
                    <w:jc w:val="center"/>
                    <w:rPr>
                      <w:rFonts w:hint="eastAsia" w:ascii="宋体" w:hAnsi="宋体" w:eastAsia="宋体" w:cs="宋体"/>
                      <w:b/>
                      <w:bCs/>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188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cs="宋体"/>
                      <w:b/>
                      <w:bCs/>
                      <w:i w:val="0"/>
                      <w:iCs w:val="0"/>
                      <w:color w:val="auto"/>
                      <w:kern w:val="0"/>
                      <w:sz w:val="21"/>
                      <w:szCs w:val="21"/>
                      <w:highlight w:val="none"/>
                      <w:u w:val="none"/>
                      <w:lang w:val="en-US" w:eastAsia="zh-CN" w:bidi="ar"/>
                    </w:rPr>
                    <w:t>原</w:t>
                  </w:r>
                  <w:r>
                    <w:rPr>
                      <w:rFonts w:hint="eastAsia" w:ascii="宋体" w:hAnsi="宋体" w:eastAsia="宋体" w:cs="宋体"/>
                      <w:b/>
                      <w:bCs/>
                      <w:i w:val="0"/>
                      <w:iCs w:val="0"/>
                      <w:color w:val="auto"/>
                      <w:kern w:val="0"/>
                      <w:sz w:val="21"/>
                      <w:szCs w:val="21"/>
                      <w:highlight w:val="none"/>
                      <w:u w:val="none"/>
                      <w:lang w:val="en-US" w:eastAsia="zh-CN" w:bidi="ar"/>
                    </w:rPr>
                    <w:t>有项目</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D0C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扩建项目</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D18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全厂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89F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增减量</w:t>
                  </w: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D5DE6">
                  <w:pPr>
                    <w:jc w:val="center"/>
                    <w:rPr>
                      <w:rFonts w:hint="default" w:ascii="仿宋_GB2312" w:hAnsi="宋体" w:eastAsia="仿宋_GB2312" w:cs="仿宋_GB2312"/>
                      <w:b/>
                      <w:bCs/>
                      <w:i w:val="0"/>
                      <w:iCs w:val="0"/>
                      <w:color w:val="auto"/>
                      <w:sz w:val="21"/>
                      <w:szCs w:val="21"/>
                      <w:highlight w:val="none"/>
                      <w:u w:val="none"/>
                    </w:rPr>
                  </w:pPr>
                </w:p>
              </w:tc>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3A882">
                  <w:pPr>
                    <w:jc w:val="center"/>
                    <w:rPr>
                      <w:rFonts w:hint="default" w:ascii="仿宋_GB2312" w:hAnsi="宋体" w:eastAsia="仿宋_GB2312" w:cs="仿宋_GB2312"/>
                      <w:b/>
                      <w:bCs/>
                      <w:i w:val="0"/>
                      <w:iCs w:val="0"/>
                      <w:color w:val="auto"/>
                      <w:sz w:val="21"/>
                      <w:szCs w:val="21"/>
                      <w:highlight w:val="none"/>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AE332">
                  <w:pPr>
                    <w:jc w:val="center"/>
                    <w:rPr>
                      <w:rFonts w:hint="default" w:ascii="仿宋_GB2312" w:hAnsi="宋体" w:eastAsia="仿宋_GB2312" w:cs="仿宋_GB2312"/>
                      <w:b/>
                      <w:bCs/>
                      <w:i w:val="0"/>
                      <w:iCs w:val="0"/>
                      <w:color w:val="auto"/>
                      <w:sz w:val="21"/>
                      <w:szCs w:val="21"/>
                      <w:highlight w:val="none"/>
                      <w:u w:val="none"/>
                    </w:rPr>
                  </w:pPr>
                </w:p>
              </w:tc>
            </w:tr>
            <w:tr w14:paraId="32F71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60" w:type="dxa"/>
                  <w:vMerge w:val="restart"/>
                  <w:tcBorders>
                    <w:top w:val="single" w:color="000000" w:sz="4" w:space="0"/>
                    <w:left w:val="single" w:color="000000" w:sz="4" w:space="0"/>
                    <w:bottom w:val="nil"/>
                    <w:right w:val="single" w:color="000000" w:sz="4" w:space="0"/>
                  </w:tcBorders>
                  <w:shd w:val="clear" w:color="auto" w:fill="auto"/>
                  <w:vAlign w:val="center"/>
                </w:tcPr>
                <w:p w14:paraId="0E98A0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玉砂玻璃生产线</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D6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玻璃原片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95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91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CE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5</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22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5</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C7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5</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BCC4">
                  <w:pPr>
                    <w:keepNext w:val="0"/>
                    <w:keepLines w:val="0"/>
                    <w:widowControl/>
                    <w:suppressLineNumbers w:val="0"/>
                    <w:jc w:val="center"/>
                    <w:textAlignment w:val="center"/>
                    <w:rPr>
                      <w:rFonts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E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17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r>
            <w:tr w14:paraId="6BBEC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0" w:type="dxa"/>
                  <w:vMerge w:val="continue"/>
                  <w:tcBorders>
                    <w:top w:val="single" w:color="000000" w:sz="4" w:space="0"/>
                    <w:left w:val="single" w:color="000000" w:sz="4" w:space="0"/>
                    <w:bottom w:val="nil"/>
                    <w:right w:val="single" w:color="000000" w:sz="4" w:space="0"/>
                  </w:tcBorders>
                  <w:shd w:val="clear" w:color="auto" w:fill="auto"/>
                  <w:vAlign w:val="center"/>
                </w:tcPr>
                <w:p w14:paraId="10F0DC27">
                  <w:pPr>
                    <w:jc w:val="center"/>
                    <w:rPr>
                      <w:rFonts w:hint="eastAsia" w:ascii="宋体" w:hAnsi="宋体" w:eastAsia="宋体" w:cs="宋体"/>
                      <w:i w:val="0"/>
                      <w:iCs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67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98%</w:t>
                  </w:r>
                  <w:r>
                    <w:rPr>
                      <w:rFonts w:hint="eastAsia" w:ascii="宋体" w:hAnsi="宋体" w:eastAsia="宋体" w:cs="宋体"/>
                      <w:i w:val="0"/>
                      <w:iCs w:val="0"/>
                      <w:color w:val="auto"/>
                      <w:kern w:val="0"/>
                      <w:sz w:val="21"/>
                      <w:szCs w:val="21"/>
                      <w:highlight w:val="none"/>
                      <w:u w:val="none"/>
                      <w:lang w:val="en-US" w:eastAsia="zh-CN" w:bidi="ar"/>
                    </w:rPr>
                    <w:t>硫酸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F3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87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B4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21</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A8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21</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1F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21</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84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桶装</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CE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13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t</w:t>
                  </w:r>
                </w:p>
              </w:tc>
            </w:tr>
            <w:tr w14:paraId="45CAD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60" w:type="dxa"/>
                  <w:vMerge w:val="continue"/>
                  <w:tcBorders>
                    <w:top w:val="single" w:color="000000" w:sz="4" w:space="0"/>
                    <w:left w:val="single" w:color="000000" w:sz="4" w:space="0"/>
                    <w:bottom w:val="nil"/>
                    <w:right w:val="single" w:color="000000" w:sz="4" w:space="0"/>
                  </w:tcBorders>
                  <w:shd w:val="clear" w:color="auto" w:fill="auto"/>
                  <w:vAlign w:val="center"/>
                </w:tcPr>
                <w:p w14:paraId="38D44454">
                  <w:pPr>
                    <w:jc w:val="center"/>
                    <w:rPr>
                      <w:rFonts w:hint="eastAsia" w:ascii="宋体" w:hAnsi="宋体" w:eastAsia="宋体" w:cs="宋体"/>
                      <w:i w:val="0"/>
                      <w:iCs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A80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37%盐酸</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44D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613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3F0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D7B1">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872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4C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桶装</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B2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68C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t</w:t>
                  </w:r>
                </w:p>
              </w:tc>
            </w:tr>
            <w:tr w14:paraId="79747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60" w:type="dxa"/>
                  <w:vMerge w:val="continue"/>
                  <w:tcBorders>
                    <w:top w:val="single" w:color="000000" w:sz="4" w:space="0"/>
                    <w:left w:val="single" w:color="000000" w:sz="4" w:space="0"/>
                    <w:bottom w:val="nil"/>
                    <w:right w:val="single" w:color="000000" w:sz="4" w:space="0"/>
                  </w:tcBorders>
                  <w:shd w:val="clear" w:color="auto" w:fill="auto"/>
                  <w:vAlign w:val="center"/>
                </w:tcPr>
                <w:p w14:paraId="4C69D3F2">
                  <w:pPr>
                    <w:jc w:val="center"/>
                    <w:rPr>
                      <w:rFonts w:hint="eastAsia" w:ascii="宋体" w:hAnsi="宋体" w:eastAsia="宋体" w:cs="宋体"/>
                      <w:i w:val="0"/>
                      <w:iCs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64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氟化氢</w:t>
                  </w:r>
                  <w:r>
                    <w:rPr>
                      <w:rFonts w:hint="eastAsia" w:ascii="宋体" w:hAnsi="宋体" w:eastAsia="宋体" w:cs="宋体"/>
                      <w:i w:val="0"/>
                      <w:iCs w:val="0"/>
                      <w:color w:val="auto"/>
                      <w:kern w:val="0"/>
                      <w:sz w:val="21"/>
                      <w:szCs w:val="21"/>
                      <w:highlight w:val="none"/>
                      <w:u w:val="none"/>
                      <w:lang w:val="en-US" w:eastAsia="zh-CN" w:bidi="ar"/>
                    </w:rPr>
                    <w:t>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CC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固态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402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33B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6D5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3F0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0t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318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袋装</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265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737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t</w:t>
                  </w:r>
                </w:p>
              </w:tc>
            </w:tr>
            <w:tr w14:paraId="00AEB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60" w:type="dxa"/>
                  <w:vMerge w:val="continue"/>
                  <w:tcBorders>
                    <w:top w:val="single" w:color="000000" w:sz="4" w:space="0"/>
                    <w:left w:val="single" w:color="000000" w:sz="4" w:space="0"/>
                    <w:bottom w:val="nil"/>
                    <w:right w:val="single" w:color="000000" w:sz="4" w:space="0"/>
                  </w:tcBorders>
                  <w:shd w:val="clear" w:color="auto" w:fill="auto"/>
                  <w:vAlign w:val="center"/>
                </w:tcPr>
                <w:p w14:paraId="7CEED8BA">
                  <w:pPr>
                    <w:jc w:val="center"/>
                    <w:rPr>
                      <w:rFonts w:hint="eastAsia" w:ascii="宋体" w:hAnsi="宋体" w:eastAsia="宋体" w:cs="宋体"/>
                      <w:i w:val="0"/>
                      <w:iCs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31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火碱</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022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固态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E72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71C0">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16D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B99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318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袋装</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E34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E9D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w:t>
                  </w:r>
                </w:p>
              </w:tc>
            </w:tr>
            <w:tr w14:paraId="182BC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60" w:type="dxa"/>
                  <w:vMerge w:val="continue"/>
                  <w:tcBorders>
                    <w:top w:val="single" w:color="000000" w:sz="4" w:space="0"/>
                    <w:left w:val="single" w:color="000000" w:sz="4" w:space="0"/>
                    <w:bottom w:val="nil"/>
                    <w:right w:val="single" w:color="000000" w:sz="4" w:space="0"/>
                  </w:tcBorders>
                  <w:shd w:val="clear" w:color="auto" w:fill="auto"/>
                  <w:vAlign w:val="center"/>
                </w:tcPr>
                <w:p w14:paraId="439F209F">
                  <w:pPr>
                    <w:jc w:val="center"/>
                    <w:rPr>
                      <w:rFonts w:hint="eastAsia" w:ascii="宋体" w:hAnsi="宋体" w:eastAsia="宋体" w:cs="宋体"/>
                      <w:i w:val="0"/>
                      <w:iCs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686E">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生石灰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B7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固态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AFC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27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17B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1t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6EEE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1t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4E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袋装</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3A7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45D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0.1t</w:t>
                  </w:r>
                </w:p>
              </w:tc>
            </w:tr>
            <w:tr w14:paraId="1FD05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60" w:type="dxa"/>
                  <w:vMerge w:val="continue"/>
                  <w:tcBorders>
                    <w:top w:val="single" w:color="000000" w:sz="4" w:space="0"/>
                    <w:left w:val="single" w:color="000000" w:sz="4" w:space="0"/>
                    <w:bottom w:val="nil"/>
                    <w:right w:val="single" w:color="000000" w:sz="4" w:space="0"/>
                  </w:tcBorders>
                  <w:shd w:val="clear" w:color="auto" w:fill="auto"/>
                  <w:vAlign w:val="center"/>
                </w:tcPr>
                <w:p w14:paraId="3F304388">
                  <w:pPr>
                    <w:jc w:val="center"/>
                    <w:rPr>
                      <w:rFonts w:hint="eastAsia" w:ascii="宋体" w:hAnsi="宋体" w:eastAsia="宋体" w:cs="宋体"/>
                      <w:i w:val="0"/>
                      <w:iCs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42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PAC</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8E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固态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43A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ED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0.6t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C8A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0.6t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CB1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0.6t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5F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袋装</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3F2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F4D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0.06t</w:t>
                  </w:r>
                </w:p>
              </w:tc>
            </w:tr>
            <w:tr w14:paraId="50736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60" w:type="dxa"/>
                  <w:vMerge w:val="continue"/>
                  <w:tcBorders>
                    <w:top w:val="single" w:color="000000" w:sz="4" w:space="0"/>
                    <w:left w:val="single" w:color="000000" w:sz="4" w:space="0"/>
                    <w:bottom w:val="nil"/>
                    <w:right w:val="single" w:color="000000" w:sz="4" w:space="0"/>
                  </w:tcBorders>
                  <w:shd w:val="clear" w:color="auto" w:fill="auto"/>
                  <w:vAlign w:val="center"/>
                </w:tcPr>
                <w:p w14:paraId="0BF8B0D0">
                  <w:pPr>
                    <w:jc w:val="center"/>
                    <w:rPr>
                      <w:rFonts w:hint="eastAsia" w:ascii="宋体" w:hAnsi="宋体" w:eastAsia="宋体" w:cs="宋体"/>
                      <w:i w:val="0"/>
                      <w:iCs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26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PAM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59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eastAsia="zh-CN"/>
                    </w:rPr>
                    <w:t>固态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D46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A9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0.05t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1CA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0.05t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30F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0.05t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FC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袋装</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DC2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908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0.05t</w:t>
                  </w:r>
                </w:p>
              </w:tc>
            </w:tr>
            <w:tr w14:paraId="366D2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6F79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防火玻璃生产线</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C9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玻璃原片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79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9C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37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5</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9D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5</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03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5</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33E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D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F8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r>
            <w:tr w14:paraId="3FCFE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8E59A">
                  <w:pPr>
                    <w:jc w:val="center"/>
                    <w:rPr>
                      <w:rFonts w:hint="eastAsia" w:ascii="宋体" w:hAnsi="宋体" w:eastAsia="宋体" w:cs="宋体"/>
                      <w:i w:val="0"/>
                      <w:iCs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26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防火液</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49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EC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F9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8E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BE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B7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桶装</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CB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73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t</w:t>
                  </w:r>
                </w:p>
              </w:tc>
            </w:tr>
            <w:tr w14:paraId="190BF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660" w:type="dxa"/>
                  <w:tcBorders>
                    <w:top w:val="single" w:color="000000" w:sz="4" w:space="0"/>
                    <w:left w:val="single" w:color="000000" w:sz="4" w:space="0"/>
                    <w:bottom w:val="nil"/>
                    <w:right w:val="single" w:color="000000" w:sz="4" w:space="0"/>
                  </w:tcBorders>
                  <w:shd w:val="clear" w:color="auto" w:fill="auto"/>
                  <w:vAlign w:val="center"/>
                </w:tcPr>
                <w:p w14:paraId="4DCEB4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钢化玻璃生产线</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0C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w:t>
                  </w:r>
                  <w:r>
                    <w:rPr>
                      <w:rStyle w:val="84"/>
                      <w:rFonts w:hint="eastAsia" w:ascii="宋体" w:hAnsi="宋体" w:eastAsia="宋体" w:cs="宋体"/>
                      <w:color w:val="auto"/>
                      <w:sz w:val="21"/>
                      <w:szCs w:val="21"/>
                      <w:highlight w:val="none"/>
                      <w:lang w:val="en-US" w:eastAsia="zh-CN" w:bidi="ar"/>
                    </w:rPr>
                    <w:t>原片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9F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A6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72.9</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6E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5</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10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w:t>
                  </w:r>
                  <w:r>
                    <w:rPr>
                      <w:rFonts w:hint="eastAsia" w:cs="Times New Roman"/>
                      <w:i w:val="0"/>
                      <w:iCs w:val="0"/>
                      <w:color w:val="auto"/>
                      <w:kern w:val="0"/>
                      <w:sz w:val="21"/>
                      <w:szCs w:val="21"/>
                      <w:highlight w:val="none"/>
                      <w:u w:val="none"/>
                      <w:lang w:val="en-US" w:eastAsia="zh-CN" w:bidi="ar"/>
                    </w:rPr>
                    <w:t>4</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12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5</w:t>
                  </w:r>
                  <w:r>
                    <w:rPr>
                      <w:rStyle w:val="83"/>
                      <w:color w:val="auto"/>
                      <w:sz w:val="21"/>
                      <w:szCs w:val="21"/>
                      <w:highlight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C82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6D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外购</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75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r>
            <w:tr w14:paraId="40848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4AD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其他公辅工程原辅料</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E6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4D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液态</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E9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AB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49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B3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F88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A3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园区自来水供水</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5EC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w:t>
                  </w:r>
                </w:p>
              </w:tc>
            </w:tr>
            <w:tr w14:paraId="2BA75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5"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CD8BE">
                  <w:pPr>
                    <w:jc w:val="center"/>
                    <w:rPr>
                      <w:rFonts w:hint="eastAsia" w:ascii="宋体" w:hAnsi="宋体" w:eastAsia="宋体" w:cs="宋体"/>
                      <w:i w:val="0"/>
                      <w:iCs w:val="0"/>
                      <w:color w:val="auto"/>
                      <w:sz w:val="21"/>
                      <w:szCs w:val="21"/>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C3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97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81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600</w:t>
                  </w:r>
                  <w:r>
                    <w:rPr>
                      <w:rStyle w:val="83"/>
                      <w:color w:val="auto"/>
                      <w:sz w:val="21"/>
                      <w:szCs w:val="21"/>
                      <w:highlight w:val="none"/>
                      <w:lang w:val="en-US" w:eastAsia="zh-CN" w:bidi="ar"/>
                    </w:rPr>
                    <w:t>万</w:t>
                  </w:r>
                  <w:r>
                    <w:rPr>
                      <w:rStyle w:val="83"/>
                      <w:rFonts w:hint="default" w:ascii="Times New Roman" w:hAnsi="Times New Roman" w:cs="Times New Roman"/>
                      <w:color w:val="auto"/>
                      <w:sz w:val="21"/>
                      <w:szCs w:val="21"/>
                      <w:highlight w:val="none"/>
                      <w:lang w:val="en-US" w:eastAsia="zh-CN" w:bidi="ar"/>
                    </w:rPr>
                    <w:t>KW</w:t>
                  </w:r>
                  <w:r>
                    <w:rPr>
                      <w:rStyle w:val="83"/>
                      <w:rFonts w:hint="default" w:ascii="Times New Roman" w:hAnsi="Times New Roman" w:eastAsia="宋体" w:cs="Times New Roman"/>
                      <w:color w:val="auto"/>
                      <w:sz w:val="21"/>
                      <w:szCs w:val="21"/>
                      <w:highlight w:val="none"/>
                      <w:lang w:val="en-US" w:eastAsia="zh-CN" w:bidi="ar"/>
                    </w:rPr>
                    <w:t>·h</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37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r>
                    <w:rPr>
                      <w:rStyle w:val="83"/>
                      <w:color w:val="auto"/>
                      <w:sz w:val="21"/>
                      <w:szCs w:val="21"/>
                      <w:highlight w:val="none"/>
                      <w:lang w:val="en-US" w:eastAsia="zh-CN" w:bidi="ar"/>
                    </w:rPr>
                    <w:t>万</w:t>
                  </w:r>
                  <w:r>
                    <w:rPr>
                      <w:rStyle w:val="83"/>
                      <w:rFonts w:hint="default" w:ascii="Times New Roman" w:hAnsi="Times New Roman" w:cs="Times New Roman"/>
                      <w:color w:val="auto"/>
                      <w:sz w:val="21"/>
                      <w:szCs w:val="21"/>
                      <w:highlight w:val="none"/>
                      <w:lang w:val="en-US" w:eastAsia="zh-CN" w:bidi="ar"/>
                    </w:rPr>
                    <w:t>KW</w:t>
                  </w:r>
                  <w:r>
                    <w:rPr>
                      <w:rStyle w:val="83"/>
                      <w:rFonts w:hint="default" w:ascii="Times New Roman" w:hAnsi="Times New Roman" w:eastAsia="宋体" w:cs="Times New Roman"/>
                      <w:color w:val="auto"/>
                      <w:sz w:val="21"/>
                      <w:szCs w:val="21"/>
                      <w:highlight w:val="none"/>
                      <w:lang w:val="en-US" w:eastAsia="zh-CN" w:bidi="ar"/>
                    </w:rPr>
                    <w:t>·h</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89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720</w:t>
                  </w:r>
                  <w:r>
                    <w:rPr>
                      <w:rStyle w:val="83"/>
                      <w:color w:val="auto"/>
                      <w:sz w:val="21"/>
                      <w:szCs w:val="21"/>
                      <w:highlight w:val="none"/>
                      <w:lang w:val="en-US" w:eastAsia="zh-CN" w:bidi="ar"/>
                    </w:rPr>
                    <w:t>万</w:t>
                  </w:r>
                  <w:r>
                    <w:rPr>
                      <w:rStyle w:val="83"/>
                      <w:rFonts w:hint="default" w:ascii="Times New Roman" w:hAnsi="Times New Roman" w:cs="Times New Roman"/>
                      <w:color w:val="auto"/>
                      <w:sz w:val="21"/>
                      <w:szCs w:val="21"/>
                      <w:highlight w:val="none"/>
                      <w:lang w:val="en-US" w:eastAsia="zh-CN" w:bidi="ar"/>
                    </w:rPr>
                    <w:t>KW</w:t>
                  </w:r>
                  <w:r>
                    <w:rPr>
                      <w:rStyle w:val="83"/>
                      <w:rFonts w:hint="default" w:ascii="Times New Roman" w:hAnsi="Times New Roman" w:eastAsia="宋体" w:cs="Times New Roman"/>
                      <w:color w:val="auto"/>
                      <w:sz w:val="21"/>
                      <w:szCs w:val="21"/>
                      <w:highlight w:val="none"/>
                      <w:lang w:val="en-US" w:eastAsia="zh-CN" w:bidi="ar"/>
                    </w:rPr>
                    <w:t>·h</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59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r>
                    <w:rPr>
                      <w:rStyle w:val="83"/>
                      <w:color w:val="auto"/>
                      <w:sz w:val="21"/>
                      <w:szCs w:val="21"/>
                      <w:highlight w:val="none"/>
                      <w:lang w:val="en-US" w:eastAsia="zh-CN" w:bidi="ar"/>
                    </w:rPr>
                    <w:t>万</w:t>
                  </w:r>
                  <w:r>
                    <w:rPr>
                      <w:rStyle w:val="83"/>
                      <w:rFonts w:hint="default" w:ascii="Times New Roman" w:hAnsi="Times New Roman" w:cs="Times New Roman"/>
                      <w:color w:val="auto"/>
                      <w:sz w:val="21"/>
                      <w:szCs w:val="21"/>
                      <w:highlight w:val="none"/>
                      <w:lang w:val="en-US" w:eastAsia="zh-CN" w:bidi="ar"/>
                    </w:rPr>
                    <w:t>KW</w:t>
                  </w:r>
                  <w:r>
                    <w:rPr>
                      <w:rStyle w:val="83"/>
                      <w:rFonts w:hint="default" w:ascii="Times New Roman" w:hAnsi="Times New Roman" w:eastAsia="宋体" w:cs="Times New Roman"/>
                      <w:color w:val="auto"/>
                      <w:sz w:val="21"/>
                      <w:szCs w:val="21"/>
                      <w:highlight w:val="none"/>
                      <w:lang w:val="en-US" w:eastAsia="zh-CN" w:bidi="ar"/>
                    </w:rPr>
                    <w:t>·h</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BB8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8A9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园区电网供电，项目区</w:t>
                  </w:r>
                  <w:r>
                    <w:rPr>
                      <w:rFonts w:hint="eastAsia" w:ascii="宋体" w:hAnsi="宋体" w:cs="宋体"/>
                      <w:i w:val="0"/>
                      <w:iCs w:val="0"/>
                      <w:color w:val="auto"/>
                      <w:kern w:val="0"/>
                      <w:sz w:val="21"/>
                      <w:szCs w:val="21"/>
                      <w:highlight w:val="none"/>
                      <w:u w:val="none"/>
                      <w:lang w:val="en-US" w:eastAsia="zh-CN" w:bidi="ar"/>
                    </w:rPr>
                    <w:t>已</w:t>
                  </w:r>
                  <w:r>
                    <w:rPr>
                      <w:rFonts w:hint="eastAsia" w:ascii="宋体" w:hAnsi="宋体" w:eastAsia="宋体" w:cs="宋体"/>
                      <w:i w:val="0"/>
                      <w:iCs w:val="0"/>
                      <w:color w:val="auto"/>
                      <w:kern w:val="0"/>
                      <w:sz w:val="21"/>
                      <w:szCs w:val="21"/>
                      <w:highlight w:val="none"/>
                      <w:u w:val="none"/>
                      <w:lang w:val="en-US" w:eastAsia="zh-CN" w:bidi="ar"/>
                    </w:rPr>
                    <w:t>设置配电房，不设变压站</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FCC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w:t>
                  </w:r>
                </w:p>
              </w:tc>
            </w:tr>
            <w:bookmarkEnd w:id="20"/>
          </w:tbl>
          <w:p w14:paraId="12CD0072">
            <w:pPr>
              <w:adjustRightInd w:val="0"/>
              <w:snapToGrid w:val="0"/>
              <w:spacing w:line="360" w:lineRule="auto"/>
              <w:ind w:firstLine="420" w:firstLineChars="200"/>
              <w:rPr>
                <w:rFonts w:hint="eastAsia"/>
                <w:color w:val="auto"/>
                <w:highlight w:val="none"/>
                <w:lang w:eastAsia="zh-CN"/>
              </w:rPr>
            </w:pPr>
            <w:r>
              <w:rPr>
                <w:rFonts w:hint="eastAsia" w:cs="Times New Roman"/>
                <w:color w:val="auto"/>
                <w:sz w:val="21"/>
                <w:szCs w:val="21"/>
                <w:highlight w:val="none"/>
                <w:lang w:eastAsia="zh-CN"/>
              </w:rPr>
              <w:t>注：</w:t>
            </w:r>
            <w:r>
              <w:rPr>
                <w:rFonts w:hint="eastAsia" w:ascii="Times New Roman" w:hAnsi="Times New Roman" w:eastAsia="宋体" w:cs="Times New Roman"/>
                <w:color w:val="auto"/>
                <w:sz w:val="21"/>
                <w:szCs w:val="21"/>
                <w:highlight w:val="none"/>
              </w:rPr>
              <w:t>项目所用原片玻璃厚度约为5mm，1m</w:t>
            </w:r>
            <w:r>
              <w:rPr>
                <w:rFonts w:hint="eastAsia" w:ascii="Times New Roman" w:hAnsi="Times New Roman" w:eastAsia="宋体" w:cs="Times New Roman"/>
                <w:color w:val="auto"/>
                <w:sz w:val="21"/>
                <w:szCs w:val="21"/>
                <w:highlight w:val="none"/>
                <w:vertAlign w:val="superscript"/>
              </w:rPr>
              <w:t>2</w:t>
            </w:r>
            <w:r>
              <w:rPr>
                <w:rFonts w:hint="eastAsia" w:ascii="Times New Roman" w:hAnsi="Times New Roman" w:eastAsia="宋体" w:cs="Times New Roman"/>
                <w:color w:val="auto"/>
                <w:sz w:val="21"/>
                <w:szCs w:val="21"/>
                <w:highlight w:val="none"/>
              </w:rPr>
              <w:t>原片玻璃质量为12.5kg，生产过程会产生一定量的边角废料，根据业主提供数据，边角废料</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不合格产品、沉淀池碎渣等损耗约为原料的</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p>
          <w:p w14:paraId="1B6C0501">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w:t>
            </w:r>
            <w:r>
              <w:rPr>
                <w:rFonts w:hint="eastAsia" w:cs="Times New Roman"/>
                <w:b/>
                <w:bCs/>
                <w:color w:val="auto"/>
                <w:szCs w:val="21"/>
                <w:highlight w:val="none"/>
                <w:lang w:val="en-US" w:eastAsia="zh-CN"/>
              </w:rPr>
              <w:t xml:space="preserve"> </w:t>
            </w:r>
            <w:r>
              <w:rPr>
                <w:rFonts w:hint="eastAsia" w:cs="Times New Roman"/>
                <w:b/>
                <w:bCs/>
                <w:color w:val="auto"/>
                <w:szCs w:val="21"/>
                <w:highlight w:val="none"/>
                <w:lang w:eastAsia="zh-CN"/>
              </w:rPr>
              <w:t>原辅料理化性质</w:t>
            </w:r>
            <w:r>
              <w:rPr>
                <w:rFonts w:hint="default" w:ascii="Times New Roman" w:hAnsi="Times New Roman" w:eastAsia="宋体" w:cs="Times New Roman"/>
                <w:b/>
                <w:bCs/>
                <w:color w:val="auto"/>
                <w:szCs w:val="21"/>
                <w:highlight w:val="none"/>
              </w:rPr>
              <w:t>一览表</w:t>
            </w:r>
          </w:p>
          <w:tbl>
            <w:tblPr>
              <w:tblStyle w:val="25"/>
              <w:tblW w:w="8297"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7"/>
              <w:gridCol w:w="825"/>
              <w:gridCol w:w="6765"/>
            </w:tblGrid>
            <w:tr w14:paraId="6B639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4F3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序号</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9A8A">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名称</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AC73">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理化性质</w:t>
                  </w:r>
                </w:p>
              </w:tc>
            </w:tr>
            <w:tr w14:paraId="08A7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6"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F423">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BD39">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玻璃原片</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545D">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玻璃原片指平板玻璃厂生产的固定尺寸的玻璃，尺寸通常以一些英制常规数据为多，如12英尺（3660mm），130英寸（3300mm），8 英尺（2440mm），7 英 尺（2134mm）等。市场对玻璃尺寸的需求是各种各样的，这种玻璃基本不能直接使用，还需进行改裁。相对改裁后的成品板，这种来自玻璃生产厂的玻璃称为原板或原片。</w:t>
                  </w:r>
                </w:p>
              </w:tc>
            </w:tr>
            <w:tr w14:paraId="143C1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8"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DC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72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98%</w:t>
                  </w:r>
                  <w:r>
                    <w:rPr>
                      <w:rFonts w:hint="eastAsia" w:ascii="宋体" w:hAnsi="宋体" w:eastAsia="宋体" w:cs="宋体"/>
                      <w:i w:val="0"/>
                      <w:iCs w:val="0"/>
                      <w:color w:val="auto"/>
                      <w:kern w:val="0"/>
                      <w:sz w:val="21"/>
                      <w:szCs w:val="21"/>
                      <w:highlight w:val="none"/>
                      <w:u w:val="none"/>
                      <w:lang w:val="en-US" w:eastAsia="zh-CN" w:bidi="ar"/>
                    </w:rPr>
                    <w:t>硫酸</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D89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硫酸是一种无机化合物，化学式是</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cs="Times New Roman"/>
                      <w:i w:val="0"/>
                      <w:iCs w:val="0"/>
                      <w:color w:val="auto"/>
                      <w:kern w:val="0"/>
                      <w:sz w:val="21"/>
                      <w:szCs w:val="21"/>
                      <w:highlight w:val="none"/>
                      <w:u w:val="none"/>
                      <w:vertAlign w:val="subscript"/>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，硫的最重要的含氧酸</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相对密度</w:t>
                  </w:r>
                  <w:r>
                    <w:rPr>
                      <w:rFonts w:hint="eastAsia" w:ascii="Times New Roman" w:hAnsi="Times New Roman" w:eastAsia="宋体" w:cs="Times New Roman"/>
                      <w:i w:val="0"/>
                      <w:iCs w:val="0"/>
                      <w:color w:val="auto"/>
                      <w:kern w:val="0"/>
                      <w:sz w:val="21"/>
                      <w:szCs w:val="21"/>
                      <w:highlight w:val="none"/>
                      <w:u w:val="none"/>
                      <w:lang w:val="en-US" w:eastAsia="zh-CN" w:bidi="ar"/>
                    </w:rPr>
                    <w:t>1.84，</w:t>
                  </w:r>
                  <w:r>
                    <w:rPr>
                      <w:rFonts w:hint="eastAsia" w:ascii="宋体" w:hAnsi="宋体" w:cs="宋体"/>
                      <w:i w:val="0"/>
                      <w:iCs w:val="0"/>
                      <w:color w:val="auto"/>
                      <w:kern w:val="0"/>
                      <w:sz w:val="21"/>
                      <w:szCs w:val="21"/>
                      <w:highlight w:val="none"/>
                      <w:u w:val="none"/>
                      <w:lang w:val="en-US" w:eastAsia="zh-CN" w:bidi="ar"/>
                    </w:rPr>
                    <w:t>沸点</w:t>
                  </w:r>
                  <w:r>
                    <w:rPr>
                      <w:rFonts w:hint="eastAsia" w:ascii="Times New Roman" w:hAnsi="Times New Roman" w:eastAsia="宋体" w:cs="Times New Roman"/>
                      <w:i w:val="0"/>
                      <w:iCs w:val="0"/>
                      <w:color w:val="auto"/>
                      <w:kern w:val="0"/>
                      <w:sz w:val="21"/>
                      <w:szCs w:val="21"/>
                      <w:highlight w:val="none"/>
                      <w:u w:val="none"/>
                      <w:lang w:val="en-US" w:eastAsia="zh-CN" w:bidi="ar"/>
                    </w:rPr>
                    <w:t>337℃</w:t>
                  </w:r>
                  <w:r>
                    <w:rPr>
                      <w:rFonts w:hint="eastAsia" w:ascii="宋体" w:hAnsi="宋体" w:cs="宋体"/>
                      <w:i w:val="0"/>
                      <w:iCs w:val="0"/>
                      <w:color w:val="auto"/>
                      <w:kern w:val="0"/>
                      <w:sz w:val="21"/>
                      <w:szCs w:val="21"/>
                      <w:highlight w:val="none"/>
                      <w:u w:val="none"/>
                      <w:lang w:val="en-US" w:eastAsia="zh-CN" w:bidi="ar"/>
                    </w:rPr>
                    <w:t>，熔点是</w:t>
                  </w:r>
                  <w:r>
                    <w:rPr>
                      <w:rFonts w:hint="eastAsia" w:ascii="Times New Roman" w:hAnsi="Times New Roman" w:eastAsia="宋体" w:cs="Times New Roman"/>
                      <w:i w:val="0"/>
                      <w:iCs w:val="0"/>
                      <w:color w:val="auto"/>
                      <w:kern w:val="0"/>
                      <w:sz w:val="21"/>
                      <w:szCs w:val="21"/>
                      <w:highlight w:val="none"/>
                      <w:u w:val="none"/>
                      <w:lang w:val="en-US" w:eastAsia="zh-CN" w:bidi="ar"/>
                    </w:rPr>
                    <w:t>10.371℃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硫酸是一种最活泼的二元无机强酸，能和绝大多数金属发生反应。高浓度的硫酸有强烈吸水性，可用作脱水剂，碳化木材、纸张、棉麻织物及生物皮肉等含碳水化合物的物质。与水混合时，亦会放出大量热能。其具有强烈的腐蚀性和氧化性，故需谨慎使用。是一种重要的工业原料，可用于制造肥料、药物、炸药、颜料、洗涤剂、蓄电池等，也广泛应用于净化石油、金属冶炼以及染料等工业中。常用作化学试剂，在有机合成中可用作脱水剂和磺化剂</w:t>
                  </w:r>
                  <w:r>
                    <w:rPr>
                      <w:rFonts w:hint="eastAsia" w:ascii="宋体" w:hAnsi="宋体" w:cs="宋体"/>
                      <w:i w:val="0"/>
                      <w:iCs w:val="0"/>
                      <w:color w:val="auto"/>
                      <w:kern w:val="0"/>
                      <w:sz w:val="21"/>
                      <w:szCs w:val="21"/>
                      <w:highlight w:val="none"/>
                      <w:u w:val="none"/>
                      <w:lang w:val="en-US" w:eastAsia="zh-CN" w:bidi="ar"/>
                    </w:rPr>
                    <w:t>。</w:t>
                  </w:r>
                </w:p>
              </w:tc>
            </w:tr>
            <w:tr w14:paraId="602AF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9"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1C2E">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83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37%盐酸</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3237">
                  <w:pPr>
                    <w:pStyle w:val="15"/>
                    <w:rPr>
                      <w:rFonts w:hint="eastAsia"/>
                      <w:color w:val="auto"/>
                      <w:highlight w:val="none"/>
                      <w:lang w:val="zh-CN" w:eastAsia="zh-CN"/>
                    </w:rPr>
                  </w:pPr>
                  <w:r>
                    <w:rPr>
                      <w:rFonts w:hint="eastAsia"/>
                      <w:color w:val="auto"/>
                      <w:highlight w:val="none"/>
                      <w:lang w:val="zh-CN" w:eastAsia="zh-CN"/>
                    </w:rPr>
                    <w:t>盐酸是氯化氢</w:t>
                  </w:r>
                  <w:r>
                    <w:rPr>
                      <w:rFonts w:hint="default" w:ascii="Times New Roman" w:hAnsi="Times New Roman" w:cs="Times New Roman"/>
                      <w:color w:val="auto"/>
                      <w:highlight w:val="none"/>
                      <w:lang w:val="zh-CN" w:eastAsia="zh-CN"/>
                    </w:rPr>
                    <w:t>（HCl）</w:t>
                  </w:r>
                  <w:r>
                    <w:rPr>
                      <w:rFonts w:hint="eastAsia"/>
                      <w:color w:val="auto"/>
                      <w:highlight w:val="none"/>
                      <w:lang w:val="zh-CN" w:eastAsia="zh-CN"/>
                    </w:rPr>
                    <w:t>的水溶液 ，属于一元无机强酸，工业用途广泛。盐酸的性状为无色透明的液体，有强烈的刺鼻气味，具有较高的腐蚀性。浓盐酸（质量分数约为</w:t>
                  </w:r>
                  <w:r>
                    <w:rPr>
                      <w:rFonts w:hint="default" w:ascii="Times New Roman" w:hAnsi="Times New Roman" w:cs="Times New Roman"/>
                      <w:color w:val="auto"/>
                      <w:highlight w:val="none"/>
                      <w:lang w:val="zh-CN" w:eastAsia="zh-CN"/>
                    </w:rPr>
                    <w:t>37%</w:t>
                  </w:r>
                  <w:r>
                    <w:rPr>
                      <w:rFonts w:hint="eastAsia"/>
                      <w:color w:val="auto"/>
                      <w:highlight w:val="none"/>
                      <w:lang w:val="zh-CN" w:eastAsia="zh-CN"/>
                    </w:rPr>
                    <w:t>）具有极强的挥发性，因此盛有浓盐酸的容器打开后氯化氢气体会挥发，与空气中的水蒸气结合产生盐酸小液滴，使瓶口上方出现酸雾；盐酸的熔点为</w:t>
                  </w:r>
                  <w:r>
                    <w:rPr>
                      <w:rFonts w:hint="default" w:ascii="Times New Roman" w:hAnsi="Times New Roman" w:cs="Times New Roman"/>
                      <w:color w:val="auto"/>
                      <w:highlight w:val="none"/>
                      <w:lang w:val="zh-CN" w:eastAsia="zh-CN"/>
                    </w:rPr>
                    <w:t>-27.32℃</w:t>
                  </w:r>
                  <w:r>
                    <w:rPr>
                      <w:rFonts w:hint="eastAsia"/>
                      <w:color w:val="auto"/>
                      <w:highlight w:val="none"/>
                      <w:lang w:val="zh-CN" w:eastAsia="zh-CN"/>
                    </w:rPr>
                    <w:t>，沸点为</w:t>
                  </w:r>
                  <w:r>
                    <w:rPr>
                      <w:rFonts w:hint="default" w:ascii="Times New Roman" w:hAnsi="Times New Roman" w:cs="Times New Roman"/>
                      <w:color w:val="auto"/>
                      <w:highlight w:val="none"/>
                      <w:lang w:val="zh-CN" w:eastAsia="zh-CN"/>
                    </w:rPr>
                    <w:t>48℃</w:t>
                  </w:r>
                  <w:r>
                    <w:rPr>
                      <w:rFonts w:hint="eastAsia"/>
                      <w:color w:val="auto"/>
                      <w:highlight w:val="none"/>
                      <w:lang w:val="zh-CN" w:eastAsia="zh-CN"/>
                    </w:rPr>
                    <w:t>。</w:t>
                  </w:r>
                </w:p>
              </w:tc>
            </w:tr>
            <w:tr w14:paraId="1FB9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6"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34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7B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氟化氢</w:t>
                  </w:r>
                  <w:r>
                    <w:rPr>
                      <w:rFonts w:hint="eastAsia" w:ascii="宋体" w:hAnsi="宋体" w:eastAsia="宋体" w:cs="宋体"/>
                      <w:i w:val="0"/>
                      <w:iCs w:val="0"/>
                      <w:color w:val="auto"/>
                      <w:kern w:val="0"/>
                      <w:sz w:val="21"/>
                      <w:szCs w:val="21"/>
                      <w:highlight w:val="none"/>
                      <w:u w:val="none"/>
                      <w:lang w:val="en-US" w:eastAsia="zh-CN" w:bidi="ar"/>
                    </w:rPr>
                    <w:t>铵</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AC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sz w:val="21"/>
                      <w:szCs w:val="21"/>
                      <w:highlight w:val="none"/>
                      <w:u w:val="none"/>
                      <w:lang w:val="zh-CN"/>
                    </w:rPr>
                    <w:t>氟化氢</w:t>
                  </w:r>
                  <w:r>
                    <w:rPr>
                      <w:rFonts w:hint="eastAsia" w:ascii="宋体" w:hAnsi="宋体" w:eastAsia="宋体" w:cs="宋体"/>
                      <w:i w:val="0"/>
                      <w:iCs w:val="0"/>
                      <w:color w:val="auto"/>
                      <w:sz w:val="21"/>
                      <w:szCs w:val="21"/>
                      <w:highlight w:val="none"/>
                      <w:u w:val="none"/>
                      <w:lang w:val="zh-CN"/>
                    </w:rPr>
                    <w:t>铵是一种无机物，分子式是</w:t>
                  </w:r>
                  <w:r>
                    <w:rPr>
                      <w:rFonts w:hint="eastAsia" w:ascii="Times New Roman" w:hAnsi="Times New Roman" w:eastAsia="宋体" w:cs="Times New Roman"/>
                      <w:i w:val="0"/>
                      <w:iCs w:val="0"/>
                      <w:color w:val="auto"/>
                      <w:kern w:val="0"/>
                      <w:sz w:val="21"/>
                      <w:szCs w:val="21"/>
                      <w:highlight w:val="none"/>
                      <w:u w:val="none"/>
                      <w:lang w:val="zh-CN" w:eastAsia="zh-CN" w:bidi="ar"/>
                    </w:rPr>
                    <w:t>NH</w:t>
                  </w:r>
                  <w:r>
                    <w:rPr>
                      <w:rFonts w:hint="eastAsia" w:ascii="Times New Roman" w:hAnsi="Times New Roman" w:eastAsia="宋体" w:cs="Times New Roman"/>
                      <w:i w:val="0"/>
                      <w:iCs w:val="0"/>
                      <w:color w:val="auto"/>
                      <w:kern w:val="0"/>
                      <w:sz w:val="21"/>
                      <w:szCs w:val="21"/>
                      <w:highlight w:val="none"/>
                      <w:u w:val="none"/>
                      <w:vertAlign w:val="subscript"/>
                      <w:lang w:val="en-US" w:eastAsia="zh-CN" w:bidi="ar"/>
                    </w:rPr>
                    <w:t>4</w:t>
                  </w:r>
                  <w:r>
                    <w:rPr>
                      <w:rFonts w:hint="eastAsia" w:ascii="Times New Roman" w:hAnsi="Times New Roman" w:eastAsia="宋体" w:cs="Times New Roman"/>
                      <w:i w:val="0"/>
                      <w:iCs w:val="0"/>
                      <w:color w:val="auto"/>
                      <w:kern w:val="0"/>
                      <w:sz w:val="21"/>
                      <w:szCs w:val="21"/>
                      <w:highlight w:val="none"/>
                      <w:u w:val="none"/>
                      <w:lang w:val="zh-CN" w:eastAsia="zh-CN" w:bidi="ar"/>
                    </w:rPr>
                    <w:t>HF</w:t>
                  </w:r>
                  <w:r>
                    <w:rPr>
                      <w:rFonts w:hint="eastAsia" w:ascii="Times New Roman" w:hAnsi="Times New Roman" w:eastAsia="宋体" w:cs="Times New Roman"/>
                      <w:i w:val="0"/>
                      <w:iCs w:val="0"/>
                      <w:color w:val="auto"/>
                      <w:kern w:val="0"/>
                      <w:sz w:val="21"/>
                      <w:szCs w:val="21"/>
                      <w:highlight w:val="none"/>
                      <w:u w:val="none"/>
                      <w:vertAlign w:val="subscript"/>
                      <w:lang w:val="zh-CN" w:eastAsia="zh-CN" w:bidi="ar"/>
                    </w:rPr>
                    <w:t>2</w:t>
                  </w:r>
                  <w:r>
                    <w:rPr>
                      <w:rFonts w:hint="eastAsia" w:ascii="宋体" w:hAnsi="宋体" w:eastAsia="宋体" w:cs="宋体"/>
                      <w:i w:val="0"/>
                      <w:iCs w:val="0"/>
                      <w:color w:val="auto"/>
                      <w:sz w:val="21"/>
                      <w:szCs w:val="21"/>
                      <w:highlight w:val="none"/>
                      <w:u w:val="none"/>
                      <w:lang w:val="zh-CN"/>
                    </w:rPr>
                    <w:t>，白色或无色透明斜方晶系结晶，商品呈片状，</w:t>
                  </w:r>
                  <w:r>
                    <w:rPr>
                      <w:rFonts w:hint="eastAsia" w:ascii="宋体" w:hAnsi="宋体" w:cs="宋体"/>
                      <w:i w:val="0"/>
                      <w:iCs w:val="0"/>
                      <w:color w:val="auto"/>
                      <w:sz w:val="21"/>
                      <w:szCs w:val="21"/>
                      <w:highlight w:val="none"/>
                      <w:u w:val="none"/>
                      <w:lang w:val="zh-CN"/>
                    </w:rPr>
                    <w:t>略带</w:t>
                  </w:r>
                  <w:r>
                    <w:rPr>
                      <w:rFonts w:hint="eastAsia" w:ascii="宋体" w:hAnsi="宋体" w:eastAsia="宋体" w:cs="宋体"/>
                      <w:i w:val="0"/>
                      <w:iCs w:val="0"/>
                      <w:color w:val="auto"/>
                      <w:sz w:val="21"/>
                      <w:szCs w:val="21"/>
                      <w:highlight w:val="none"/>
                      <w:u w:val="none"/>
                      <w:lang w:val="zh-CN"/>
                    </w:rPr>
                    <w:t>酸味，相对密度为</w:t>
                  </w:r>
                  <w:r>
                    <w:rPr>
                      <w:rFonts w:hint="default" w:ascii="Times New Roman" w:hAnsi="Times New Roman" w:eastAsia="宋体" w:cs="Times New Roman"/>
                      <w:i w:val="0"/>
                      <w:iCs w:val="0"/>
                      <w:color w:val="auto"/>
                      <w:sz w:val="21"/>
                      <w:szCs w:val="21"/>
                      <w:highlight w:val="none"/>
                      <w:u w:val="none"/>
                      <w:lang w:val="zh-CN"/>
                    </w:rPr>
                    <w:t>1.52</w:t>
                  </w:r>
                  <w:r>
                    <w:rPr>
                      <w:rFonts w:hint="eastAsia" w:ascii="宋体" w:hAnsi="宋体" w:eastAsia="宋体" w:cs="宋体"/>
                      <w:i w:val="0"/>
                      <w:iCs w:val="0"/>
                      <w:color w:val="auto"/>
                      <w:sz w:val="21"/>
                      <w:szCs w:val="21"/>
                      <w:highlight w:val="none"/>
                      <w:u w:val="none"/>
                      <w:lang w:val="zh-CN"/>
                    </w:rPr>
                    <w:t>，熔点</w:t>
                  </w:r>
                  <w:r>
                    <w:rPr>
                      <w:rFonts w:hint="default" w:ascii="Times New Roman" w:hAnsi="Times New Roman" w:eastAsia="宋体" w:cs="Times New Roman"/>
                      <w:i w:val="0"/>
                      <w:iCs w:val="0"/>
                      <w:color w:val="auto"/>
                      <w:sz w:val="21"/>
                      <w:szCs w:val="21"/>
                      <w:highlight w:val="none"/>
                      <w:u w:val="none"/>
                      <w:lang w:val="zh-CN"/>
                    </w:rPr>
                    <w:t>124.6℃</w:t>
                  </w:r>
                  <w:r>
                    <w:rPr>
                      <w:rFonts w:hint="eastAsia" w:ascii="宋体" w:hAnsi="宋体" w:eastAsia="宋体" w:cs="宋体"/>
                      <w:i w:val="0"/>
                      <w:iCs w:val="0"/>
                      <w:color w:val="auto"/>
                      <w:sz w:val="21"/>
                      <w:szCs w:val="21"/>
                      <w:highlight w:val="none"/>
                      <w:u w:val="none"/>
                      <w:lang w:val="zh-CN"/>
                    </w:rPr>
                    <w:t>，沸点</w:t>
                  </w:r>
                  <w:r>
                    <w:rPr>
                      <w:rFonts w:hint="default" w:ascii="Times New Roman" w:hAnsi="Times New Roman" w:eastAsia="宋体" w:cs="Times New Roman"/>
                      <w:i w:val="0"/>
                      <w:iCs w:val="0"/>
                      <w:color w:val="auto"/>
                      <w:sz w:val="21"/>
                      <w:szCs w:val="21"/>
                      <w:highlight w:val="none"/>
                      <w:u w:val="none"/>
                      <w:lang w:val="zh-CN"/>
                    </w:rPr>
                    <w:t>240℃</w:t>
                  </w:r>
                  <w:r>
                    <w:rPr>
                      <w:rFonts w:hint="eastAsia" w:ascii="宋体" w:hAnsi="宋体" w:eastAsia="宋体" w:cs="宋体"/>
                      <w:i w:val="0"/>
                      <w:iCs w:val="0"/>
                      <w:color w:val="auto"/>
                      <w:sz w:val="21"/>
                      <w:szCs w:val="21"/>
                      <w:highlight w:val="none"/>
                      <w:u w:val="none"/>
                      <w:lang w:val="zh-CN"/>
                    </w:rPr>
                    <w:t>。具有腐蚀性的化学物质，遇潮、水分解有毒</w:t>
                  </w:r>
                  <w:r>
                    <w:rPr>
                      <w:rFonts w:hint="eastAsia" w:ascii="宋体" w:hAnsi="宋体" w:cs="宋体"/>
                      <w:i w:val="0"/>
                      <w:iCs w:val="0"/>
                      <w:color w:val="auto"/>
                      <w:sz w:val="21"/>
                      <w:szCs w:val="21"/>
                      <w:highlight w:val="none"/>
                      <w:u w:val="none"/>
                      <w:lang w:val="zh-CN"/>
                    </w:rPr>
                    <w:t>氟化氢</w:t>
                  </w:r>
                  <w:r>
                    <w:rPr>
                      <w:rFonts w:hint="eastAsia" w:ascii="宋体" w:hAnsi="宋体" w:eastAsia="宋体" w:cs="宋体"/>
                      <w:i w:val="0"/>
                      <w:iCs w:val="0"/>
                      <w:color w:val="auto"/>
                      <w:sz w:val="21"/>
                      <w:szCs w:val="21"/>
                      <w:highlight w:val="none"/>
                      <w:u w:val="none"/>
                      <w:lang w:val="zh-CN"/>
                    </w:rPr>
                    <w:t>，氮氧化物和氨气体。溶于水为</w:t>
                  </w:r>
                  <w:r>
                    <w:rPr>
                      <w:rFonts w:hint="eastAsia" w:ascii="宋体" w:hAnsi="宋体" w:cs="宋体"/>
                      <w:i w:val="0"/>
                      <w:iCs w:val="0"/>
                      <w:color w:val="auto"/>
                      <w:sz w:val="21"/>
                      <w:szCs w:val="21"/>
                      <w:highlight w:val="none"/>
                      <w:u w:val="none"/>
                      <w:lang w:val="zh-CN"/>
                    </w:rPr>
                    <w:t>稀</w:t>
                  </w:r>
                  <w:r>
                    <w:rPr>
                      <w:rFonts w:hint="eastAsia" w:ascii="宋体" w:hAnsi="宋体" w:eastAsia="宋体" w:cs="宋体"/>
                      <w:i w:val="0"/>
                      <w:iCs w:val="0"/>
                      <w:color w:val="auto"/>
                      <w:sz w:val="21"/>
                      <w:szCs w:val="21"/>
                      <w:highlight w:val="none"/>
                      <w:u w:val="none"/>
                      <w:lang w:val="zh-CN"/>
                    </w:rPr>
                    <w:t>酸，可以溶解玻璃，微溶于醇，极易溶于冷水，水溶液有较强酸性，在较高温度下能升华，能腐蚀玻璃，对皮肤有腐蚀性，有毒。</w:t>
                  </w:r>
                </w:p>
              </w:tc>
            </w:tr>
            <w:tr w14:paraId="7C1C1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B8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188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火碱</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518A">
                  <w:pPr>
                    <w:keepNext w:val="0"/>
                    <w:keepLines w:val="0"/>
                    <w:widowControl/>
                    <w:suppressLineNumbers w:val="0"/>
                    <w:jc w:val="left"/>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一种具有高腐蚀性的强碱，一般为白色片状或颗粒，</w:t>
                  </w:r>
                  <w:r>
                    <w:rPr>
                      <w:rFonts w:hint="eastAsia" w:cs="Times New Roman"/>
                      <w:i w:val="0"/>
                      <w:iCs w:val="0"/>
                      <w:color w:val="auto"/>
                      <w:kern w:val="0"/>
                      <w:sz w:val="21"/>
                      <w:szCs w:val="21"/>
                      <w:highlight w:val="none"/>
                      <w:u w:val="none"/>
                      <w:lang w:val="en-US" w:eastAsia="zh-CN" w:bidi="ar"/>
                    </w:rPr>
                    <w:t>易</w:t>
                  </w:r>
                  <w:r>
                    <w:rPr>
                      <w:rFonts w:hint="eastAsia" w:ascii="Times New Roman" w:hAnsi="Times New Roman" w:eastAsia="宋体" w:cs="Times New Roman"/>
                      <w:i w:val="0"/>
                      <w:iCs w:val="0"/>
                      <w:color w:val="auto"/>
                      <w:kern w:val="0"/>
                      <w:sz w:val="21"/>
                      <w:szCs w:val="21"/>
                      <w:highlight w:val="none"/>
                      <w:u w:val="none"/>
                      <w:lang w:val="en-US" w:eastAsia="zh-CN" w:bidi="ar"/>
                    </w:rPr>
                    <w:t>溶于水生成碱性溶液，也能溶解于甲醇及乙醇。此碱性物具有潮解性，会吸收空气里的水蒸气，亦会吸取二氧化碳等酸性气体。</w:t>
                  </w:r>
                </w:p>
              </w:tc>
            </w:tr>
            <w:tr w14:paraId="26F1C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4E0C">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B1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PAC</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83FF">
                  <w:pPr>
                    <w:keepNext w:val="0"/>
                    <w:keepLines w:val="0"/>
                    <w:widowControl/>
                    <w:suppressLineNumbers w:val="0"/>
                    <w:jc w:val="left"/>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PAC</w:t>
                  </w:r>
                  <w:r>
                    <w:rPr>
                      <w:rFonts w:hint="eastAsia" w:cs="Times New Roman"/>
                      <w:i w:val="0"/>
                      <w:iCs w:val="0"/>
                      <w:color w:val="auto"/>
                      <w:kern w:val="0"/>
                      <w:sz w:val="21"/>
                      <w:szCs w:val="21"/>
                      <w:highlight w:val="none"/>
                      <w:u w:val="none"/>
                      <w:lang w:val="en-US" w:eastAsia="zh-CN" w:bidi="ar"/>
                    </w:rPr>
                    <w:t>为聚合氯化铝，是一种无机高分子混凝剂，液体产品为无色、淡黄色、淡灰色或棕褐色透明或半透明液体，无沉淀。固体产品是白色、淡灰色、淡黄色或棕褐色晶粒或粉末。原料中无挥发性成分。</w:t>
                  </w:r>
                </w:p>
              </w:tc>
            </w:tr>
            <w:tr w14:paraId="137BD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33EE">
                  <w:pPr>
                    <w:keepNext w:val="0"/>
                    <w:keepLines w:val="0"/>
                    <w:widowControl/>
                    <w:suppressLineNumbers w:val="0"/>
                    <w:jc w:val="center"/>
                    <w:textAlignment w:val="center"/>
                    <w:rPr>
                      <w:rFonts w:hint="default"/>
                      <w:color w:val="auto"/>
                      <w:highlight w:val="none"/>
                      <w:lang w:val="en-US" w:eastAsia="zh-CN"/>
                    </w:rPr>
                  </w:pPr>
                  <w:r>
                    <w:rPr>
                      <w:rFonts w:hint="eastAsia"/>
                      <w:color w:val="auto"/>
                      <w:highlight w:val="none"/>
                      <w:lang w:val="en-US" w:eastAsia="zh-CN"/>
                    </w:rPr>
                    <w:t>7</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1B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PAM</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FE8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PAM</w:t>
                  </w:r>
                  <w:r>
                    <w:rPr>
                      <w:rFonts w:hint="eastAsia" w:cs="Times New Roman"/>
                      <w:i w:val="0"/>
                      <w:iCs w:val="0"/>
                      <w:color w:val="auto"/>
                      <w:kern w:val="0"/>
                      <w:sz w:val="21"/>
                      <w:szCs w:val="21"/>
                      <w:highlight w:val="none"/>
                      <w:u w:val="none"/>
                      <w:lang w:val="en-US" w:eastAsia="zh-CN" w:bidi="ar"/>
                    </w:rPr>
                    <w:t>为聚丙烯酰胺，该产品的分子能与分散于溶液中的悬浮粒子架桥吸附，有着极强的絮凝作用。密度=1.3g/cm</w:t>
                  </w:r>
                  <w:r>
                    <w:rPr>
                      <w:rFonts w:hint="eastAsia" w:cs="Times New Roman"/>
                      <w:i w:val="0"/>
                      <w:iCs w:val="0"/>
                      <w:color w:val="auto"/>
                      <w:kern w:val="0"/>
                      <w:sz w:val="21"/>
                      <w:szCs w:val="21"/>
                      <w:highlight w:val="none"/>
                      <w:u w:val="none"/>
                      <w:vertAlign w:val="superscript"/>
                      <w:lang w:val="en-US" w:eastAsia="zh-CN" w:bidi="ar"/>
                    </w:rPr>
                    <w:t>3</w:t>
                  </w:r>
                  <w:r>
                    <w:rPr>
                      <w:rFonts w:hint="eastAsia" w:cs="Times New Roman"/>
                      <w:i w:val="0"/>
                      <w:iCs w:val="0"/>
                      <w:color w:val="auto"/>
                      <w:kern w:val="0"/>
                      <w:sz w:val="21"/>
                      <w:szCs w:val="21"/>
                      <w:highlight w:val="none"/>
                      <w:u w:val="none"/>
                      <w:lang w:val="en-US" w:eastAsia="zh-CN" w:bidi="ar"/>
                    </w:rPr>
                    <w:t>。PAM在50~60</w:t>
                  </w:r>
                  <w:r>
                    <w:rPr>
                      <w:rFonts w:hint="default" w:ascii="Times New Roman" w:hAnsi="Times New Roman" w:cs="Times New Roman"/>
                      <w:color w:val="auto"/>
                      <w:highlight w:val="none"/>
                      <w:lang w:val="zh-CN" w:eastAsia="zh-CN"/>
                    </w:rPr>
                    <w:t>℃</w:t>
                  </w:r>
                  <w:r>
                    <w:rPr>
                      <w:rFonts w:hint="eastAsia" w:cs="Times New Roman"/>
                      <w:color w:val="auto"/>
                      <w:highlight w:val="none"/>
                      <w:lang w:val="zh-CN" w:eastAsia="zh-CN"/>
                    </w:rPr>
                    <w:t>下溶于水，水解度为</w:t>
                  </w:r>
                  <w:r>
                    <w:rPr>
                      <w:rFonts w:hint="eastAsia" w:cs="Times New Roman"/>
                      <w:color w:val="auto"/>
                      <w:highlight w:val="none"/>
                      <w:lang w:val="en-US" w:eastAsia="zh-CN"/>
                    </w:rPr>
                    <w:t>5%</w:t>
                  </w:r>
                  <w:r>
                    <w:rPr>
                      <w:rFonts w:hint="eastAsia" w:cs="Times New Roman"/>
                      <w:i w:val="0"/>
                      <w:iCs w:val="0"/>
                      <w:color w:val="auto"/>
                      <w:kern w:val="0"/>
                      <w:sz w:val="21"/>
                      <w:szCs w:val="21"/>
                      <w:highlight w:val="none"/>
                      <w:u w:val="none"/>
                      <w:lang w:val="en-US" w:eastAsia="zh-CN" w:bidi="ar"/>
                    </w:rPr>
                    <w:t>~35%，也溶于乙酸、丙酸、氯代乙酸、乙二醇、甘油和胺等有机溶剂。本项目使用的</w:t>
                  </w:r>
                  <w:r>
                    <w:rPr>
                      <w:rFonts w:hint="eastAsia" w:ascii="Times New Roman" w:hAnsi="Times New Roman" w:eastAsia="宋体" w:cs="Times New Roman"/>
                      <w:i w:val="0"/>
                      <w:iCs w:val="0"/>
                      <w:color w:val="auto"/>
                      <w:kern w:val="0"/>
                      <w:sz w:val="21"/>
                      <w:szCs w:val="21"/>
                      <w:highlight w:val="none"/>
                      <w:u w:val="none"/>
                      <w:lang w:val="en-US" w:eastAsia="zh-CN" w:bidi="ar"/>
                    </w:rPr>
                    <w:t>PAM</w:t>
                  </w:r>
                  <w:r>
                    <w:rPr>
                      <w:rFonts w:hint="eastAsia" w:cs="Times New Roman"/>
                      <w:i w:val="0"/>
                      <w:iCs w:val="0"/>
                      <w:color w:val="auto"/>
                      <w:kern w:val="0"/>
                      <w:sz w:val="21"/>
                      <w:szCs w:val="21"/>
                      <w:highlight w:val="none"/>
                      <w:u w:val="none"/>
                      <w:lang w:val="en-US" w:eastAsia="zh-CN" w:bidi="ar"/>
                    </w:rPr>
                    <w:t>原料中无挥发性成分。</w:t>
                  </w:r>
                </w:p>
              </w:tc>
            </w:tr>
            <w:tr w14:paraId="3519E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6478">
                  <w:pPr>
                    <w:pStyle w:val="15"/>
                    <w:jc w:val="center"/>
                    <w:rPr>
                      <w:rFonts w:hint="default"/>
                      <w:color w:val="auto"/>
                      <w:highlight w:val="none"/>
                      <w:lang w:val="en-US" w:eastAsia="zh-CN"/>
                    </w:rPr>
                  </w:pPr>
                  <w:r>
                    <w:rPr>
                      <w:rFonts w:hint="eastAsia"/>
                      <w:color w:val="auto"/>
                      <w:highlight w:val="none"/>
                      <w:lang w:val="en-US" w:eastAsia="zh-CN"/>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1C0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生石灰</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844A">
                  <w:pPr>
                    <w:keepNext w:val="0"/>
                    <w:keepLines w:val="0"/>
                    <w:widowControl/>
                    <w:suppressLineNumbers w:val="0"/>
                    <w:jc w:val="left"/>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生石灰，又称烧石灰，主要成分为氧化钙（CaO），通常制法为将主要成分为碳酸钙的天然岩石，在高温下煅烧，即可分解生成二氧化碳以及氧化钙。</w:t>
                  </w:r>
                </w:p>
              </w:tc>
            </w:tr>
            <w:tr w14:paraId="6F051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E412">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56AB">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蒙砂液</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A56A">
                  <w:pPr>
                    <w:keepNext w:val="0"/>
                    <w:keepLines w:val="0"/>
                    <w:widowControl/>
                    <w:suppressLineNumbers w:val="0"/>
                    <w:jc w:val="left"/>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蒙砂液主要成分为氟化氢铵与硫酸（或盐酸）按2.5:1比例配比（硫酸和盐酸不同时使用，二者使用时间分别各占一半，且使用过程中无需更换蒙砂液）。</w:t>
                  </w:r>
                </w:p>
              </w:tc>
            </w:tr>
            <w:tr w14:paraId="05FAD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AD1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735F">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防火液</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4E77">
                  <w:pPr>
                    <w:keepNext w:val="0"/>
                    <w:keepLines w:val="0"/>
                    <w:widowControl/>
                    <w:suppressLineNumbers w:val="0"/>
                    <w:jc w:val="both"/>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zh-CN" w:eastAsia="zh-CN" w:bidi="ar"/>
                    </w:rPr>
                    <w:t>企业外购于北京虹升玻璃技术有限公司，因防火液为配方产品，主要成分涉密，相关技术报告及主要成分供货商不予提供，但供货商明确了防火液为无机产品，不含有有机溶剂及树脂，呈无色透明液态。</w:t>
                  </w:r>
                </w:p>
              </w:tc>
            </w:tr>
          </w:tbl>
          <w:p w14:paraId="436716DC">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6、危化品储存方式与运输过程</w:t>
            </w:r>
          </w:p>
          <w:p w14:paraId="66FD38AF">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（1）储存方式</w:t>
            </w:r>
          </w:p>
          <w:p w14:paraId="4D8DCDB1">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本项目危化品储存于阴凉、通风的危化品库。浓硫酸和盐酸为液体，储存在储存桶中，氟化氢铵与火碱为袋装。库温不超过35℃，相对湿度不超过80%，保持容器密封。应与易（可）燃物、还原剂、碱类、碱金属、食用化学品分开存放，切忌混储。危化品库进行重点防渗处理，且备有泄漏应急处理设备和合适的收容材料。</w:t>
            </w:r>
          </w:p>
          <w:p w14:paraId="5E67D635">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（2）运输过程</w:t>
            </w:r>
          </w:p>
          <w:p w14:paraId="06949D8D">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本项目生产所用原材料和产品均由汽车运输。项目危险品运输过程中必须严格按照《危险化学品安全管理条例》、《道路危险货物运输管理规定（2022年）》和《汽车危险货物运输规则》执行，并严格建立、执行危险品贮存、运输、发放的管理制度，并建立相应的档案。</w:t>
            </w:r>
          </w:p>
          <w:p w14:paraId="5459F9C5">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7</w:t>
            </w:r>
            <w:r>
              <w:rPr>
                <w:rFonts w:hint="default" w:ascii="Times New Roman" w:hAnsi="Times New Roman" w:cs="Times New Roman"/>
                <w:b/>
                <w:bCs w:val="0"/>
                <w:color w:val="auto"/>
                <w:sz w:val="24"/>
                <w:szCs w:val="24"/>
                <w:highlight w:val="none"/>
                <w:lang w:val="en-US" w:eastAsia="zh-CN"/>
              </w:rPr>
              <w:t>、</w:t>
            </w:r>
            <w:r>
              <w:rPr>
                <w:rFonts w:hint="eastAsia" w:ascii="Times New Roman" w:hAnsi="Times New Roman" w:cs="Times New Roman"/>
                <w:b/>
                <w:bCs w:val="0"/>
                <w:color w:val="auto"/>
                <w:sz w:val="24"/>
                <w:szCs w:val="24"/>
                <w:highlight w:val="none"/>
                <w:lang w:val="en-US" w:eastAsia="zh-CN"/>
              </w:rPr>
              <w:t>平面布置</w:t>
            </w:r>
          </w:p>
          <w:p w14:paraId="6B7D962A">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本项目不新增占地，仅在原项目生产车间内新增生产线及产能。</w:t>
            </w:r>
            <w:r>
              <w:rPr>
                <w:rFonts w:hint="eastAsia"/>
                <w:color w:val="auto"/>
                <w:sz w:val="24"/>
                <w:szCs w:val="24"/>
                <w:highlight w:val="none"/>
                <w:lang w:val="en-US" w:eastAsia="zh-CN"/>
              </w:rPr>
              <w:t>本次新建工程位于整个厂区东侧，位于原有生产车间东侧。其中玉砂玻璃生产线布置于项目区东侧；防火玻璃生产线与</w:t>
            </w:r>
            <w:r>
              <w:rPr>
                <w:rFonts w:hint="eastAsia" w:cs="Times New Roman"/>
                <w:color w:val="auto"/>
                <w:sz w:val="24"/>
                <w:highlight w:val="none"/>
                <w:lang w:val="en-US" w:eastAsia="zh-CN"/>
              </w:rPr>
              <w:t>钢化玻璃共用生产设备，</w:t>
            </w:r>
            <w:r>
              <w:rPr>
                <w:rFonts w:hint="eastAsia"/>
                <w:color w:val="auto"/>
                <w:sz w:val="24"/>
                <w:szCs w:val="24"/>
                <w:highlight w:val="none"/>
                <w:lang w:val="en-US" w:eastAsia="zh-CN"/>
              </w:rPr>
              <w:t>布置于项目南侧；钢化玻璃生产线依托原项目，布置于生产车间中间。</w:t>
            </w:r>
          </w:p>
          <w:p w14:paraId="23C39FE7">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整个厂区总平面布置见附图2，生产车间平面布置见附图3。</w:t>
            </w:r>
          </w:p>
          <w:p w14:paraId="4E7AE141">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8</w:t>
            </w:r>
            <w:r>
              <w:rPr>
                <w:rFonts w:hint="default" w:ascii="Times New Roman" w:hAnsi="Times New Roman" w:cs="Times New Roman"/>
                <w:b/>
                <w:bCs w:val="0"/>
                <w:color w:val="auto"/>
                <w:sz w:val="24"/>
                <w:szCs w:val="24"/>
                <w:highlight w:val="none"/>
                <w:lang w:val="en-US" w:eastAsia="zh-CN"/>
              </w:rPr>
              <w:t>、劳动定员及工作制度</w:t>
            </w:r>
          </w:p>
          <w:p w14:paraId="770A2383">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劳动定员：</w:t>
            </w:r>
            <w:r>
              <w:rPr>
                <w:rFonts w:hint="eastAsia" w:ascii="Times New Roman" w:hAnsi="Times New Roman" w:eastAsia="宋体" w:cs="Times New Roman"/>
                <w:color w:val="auto"/>
                <w:sz w:val="24"/>
                <w:highlight w:val="none"/>
                <w:lang w:val="en-US" w:eastAsia="zh-CN"/>
              </w:rPr>
              <w:t>原项目劳动定员为30人，厂区设有食宿，有10人在厂区住宿，30人在厂区内用餐；</w:t>
            </w:r>
            <w:r>
              <w:rPr>
                <w:rFonts w:hint="default" w:ascii="Times New Roman" w:hAnsi="Times New Roman" w:eastAsia="宋体" w:cs="Times New Roman"/>
                <w:color w:val="auto"/>
                <w:sz w:val="24"/>
                <w:highlight w:val="none"/>
                <w:lang w:val="en-US" w:eastAsia="zh-CN"/>
              </w:rPr>
              <w:t>本</w:t>
            </w:r>
            <w:r>
              <w:rPr>
                <w:rFonts w:hint="eastAsia" w:ascii="Times New Roman" w:hAnsi="Times New Roman" w:cs="Times New Roman"/>
                <w:color w:val="auto"/>
                <w:sz w:val="24"/>
                <w:highlight w:val="none"/>
                <w:lang w:val="en-US" w:eastAsia="zh-CN"/>
              </w:rPr>
              <w:t>扩建</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新增工作人员20</w:t>
            </w:r>
            <w:r>
              <w:rPr>
                <w:rFonts w:hint="default" w:ascii="Times New Roman" w:hAnsi="Times New Roman" w:eastAsia="宋体" w:cs="Times New Roman"/>
                <w:color w:val="auto"/>
                <w:sz w:val="24"/>
                <w:highlight w:val="none"/>
                <w:lang w:val="en-US" w:eastAsia="zh-CN"/>
              </w:rPr>
              <w:t>人</w:t>
            </w:r>
            <w:r>
              <w:rPr>
                <w:rFonts w:hint="eastAsia" w:ascii="Times New Roman" w:hAnsi="Times New Roman" w:eastAsia="宋体" w:cs="Times New Roman"/>
                <w:color w:val="auto"/>
                <w:sz w:val="24"/>
                <w:highlight w:val="none"/>
                <w:lang w:val="en-US" w:eastAsia="zh-CN"/>
              </w:rPr>
              <w:t>，有10人在厂区住宿，20人在厂区内用餐。</w:t>
            </w:r>
            <w:r>
              <w:rPr>
                <w:rFonts w:hint="default" w:ascii="Times New Roman" w:hAnsi="Times New Roman" w:eastAsia="宋体" w:cs="Times New Roman"/>
                <w:color w:val="auto"/>
                <w:sz w:val="24"/>
                <w:highlight w:val="none"/>
                <w:lang w:val="en-US" w:eastAsia="zh-CN"/>
              </w:rPr>
              <w:t>扩</w:t>
            </w:r>
            <w:r>
              <w:rPr>
                <w:rFonts w:hint="eastAsia" w:ascii="Times New Roman" w:hAnsi="Times New Roman" w:cs="Times New Roman"/>
                <w:color w:val="auto"/>
                <w:sz w:val="24"/>
                <w:highlight w:val="none"/>
                <w:lang w:val="en-US" w:eastAsia="zh-CN"/>
              </w:rPr>
              <w:t>建</w:t>
            </w:r>
            <w:r>
              <w:rPr>
                <w:rFonts w:hint="default" w:ascii="Times New Roman" w:hAnsi="Times New Roman" w:eastAsia="宋体" w:cs="Times New Roman"/>
                <w:color w:val="auto"/>
                <w:sz w:val="24"/>
                <w:highlight w:val="none"/>
                <w:lang w:val="en-US" w:eastAsia="zh-CN"/>
              </w:rPr>
              <w:t>后全厂总定员</w:t>
            </w:r>
            <w:r>
              <w:rPr>
                <w:rFonts w:hint="eastAsia" w:ascii="Times New Roman" w:hAnsi="Times New Roman" w:eastAsia="宋体" w:cs="Times New Roman"/>
                <w:color w:val="auto"/>
                <w:sz w:val="24"/>
                <w:highlight w:val="none"/>
                <w:lang w:val="en-US" w:eastAsia="zh-CN"/>
              </w:rPr>
              <w:t>50人，有20人在厂区住宿，50人在厂区内用餐。</w:t>
            </w:r>
          </w:p>
          <w:p w14:paraId="0D67F7A3">
            <w:pPr>
              <w:pStyle w:val="15"/>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工作制度：</w:t>
            </w:r>
            <w:r>
              <w:rPr>
                <w:rFonts w:hint="eastAsia" w:ascii="Times New Roman" w:hAnsi="Times New Roman" w:cs="Times New Roman"/>
                <w:color w:val="auto"/>
                <w:sz w:val="24"/>
                <w:highlight w:val="none"/>
                <w:lang w:eastAsia="zh-CN"/>
              </w:rPr>
              <w:t>原项目</w:t>
            </w:r>
            <w:r>
              <w:rPr>
                <w:rFonts w:ascii="宋体" w:hAnsi="宋体"/>
                <w:color w:val="auto"/>
                <w:sz w:val="24"/>
                <w:highlight w:val="none"/>
              </w:rPr>
              <w:t>年工作</w:t>
            </w:r>
            <w:r>
              <w:rPr>
                <w:rFonts w:hint="default" w:ascii="Times New Roman" w:hAnsi="Times New Roman" w:cs="Times New Roman"/>
                <w:color w:val="auto"/>
                <w:sz w:val="24"/>
                <w:highlight w:val="none"/>
              </w:rPr>
              <w:t>300</w:t>
            </w:r>
            <w:r>
              <w:rPr>
                <w:rFonts w:ascii="宋体" w:hAnsi="宋体"/>
                <w:color w:val="auto"/>
                <w:sz w:val="24"/>
                <w:highlight w:val="none"/>
              </w:rPr>
              <w:t>天，实行</w:t>
            </w:r>
            <w:r>
              <w:rPr>
                <w:rFonts w:hint="default" w:ascii="Times New Roman" w:hAnsi="Times New Roman" w:cs="Times New Roman"/>
                <w:color w:val="auto"/>
                <w:sz w:val="24"/>
                <w:highlight w:val="none"/>
              </w:rPr>
              <w:t>8h</w:t>
            </w:r>
            <w:r>
              <w:rPr>
                <w:rFonts w:ascii="宋体" w:hAnsi="宋体"/>
                <w:color w:val="auto"/>
                <w:sz w:val="24"/>
                <w:highlight w:val="none"/>
              </w:rPr>
              <w:t>单班工作制。</w:t>
            </w:r>
            <w:r>
              <w:rPr>
                <w:rFonts w:hint="default" w:ascii="Times New Roman" w:hAnsi="Times New Roman" w:eastAsia="宋体" w:cs="Times New Roman"/>
                <w:bCs/>
                <w:color w:val="auto"/>
                <w:sz w:val="24"/>
                <w:highlight w:val="none"/>
              </w:rPr>
              <w:t>本</w:t>
            </w:r>
            <w:r>
              <w:rPr>
                <w:rFonts w:hint="eastAsia" w:ascii="Times New Roman" w:hAnsi="Times New Roman" w:cs="Times New Roman"/>
                <w:bCs/>
                <w:color w:val="auto"/>
                <w:sz w:val="24"/>
                <w:highlight w:val="none"/>
                <w:lang w:eastAsia="zh-CN"/>
              </w:rPr>
              <w:t>扩建</w:t>
            </w:r>
            <w:r>
              <w:rPr>
                <w:rFonts w:hint="eastAsia"/>
                <w:color w:val="auto"/>
                <w:sz w:val="24"/>
                <w:szCs w:val="24"/>
                <w:highlight w:val="none"/>
                <w:lang w:val="en-US" w:eastAsia="zh-CN"/>
              </w:rPr>
              <w:t>项目年工作</w:t>
            </w:r>
            <w:r>
              <w:rPr>
                <w:rFonts w:hint="default" w:ascii="Times New Roman" w:hAnsi="Times New Roman" w:cs="Times New Roman"/>
                <w:color w:val="auto"/>
                <w:sz w:val="24"/>
                <w:szCs w:val="24"/>
                <w:highlight w:val="none"/>
                <w:lang w:val="en-US" w:eastAsia="zh-CN"/>
              </w:rPr>
              <w:t>300</w:t>
            </w:r>
            <w:r>
              <w:rPr>
                <w:rFonts w:hint="eastAsia"/>
                <w:color w:val="auto"/>
                <w:sz w:val="24"/>
                <w:szCs w:val="24"/>
                <w:highlight w:val="none"/>
                <w:lang w:val="en-US" w:eastAsia="zh-CN"/>
              </w:rPr>
              <w:t>天，每天实行</w:t>
            </w:r>
            <w:r>
              <w:rPr>
                <w:rFonts w:hint="default" w:ascii="Times New Roman" w:hAnsi="Times New Roman" w:cs="Times New Roman"/>
                <w:color w:val="auto"/>
                <w:sz w:val="24"/>
                <w:szCs w:val="24"/>
                <w:highlight w:val="none"/>
                <w:lang w:val="en-US" w:eastAsia="zh-CN"/>
              </w:rPr>
              <w:t>2</w:t>
            </w:r>
            <w:r>
              <w:rPr>
                <w:rFonts w:hint="eastAsia"/>
                <w:color w:val="auto"/>
                <w:sz w:val="24"/>
                <w:szCs w:val="24"/>
                <w:highlight w:val="none"/>
                <w:lang w:val="en-US" w:eastAsia="zh-CN"/>
              </w:rPr>
              <w:t>班制，每班工作</w:t>
            </w:r>
            <w:r>
              <w:rPr>
                <w:rFonts w:hint="default" w:ascii="Times New Roman" w:hAnsi="Times New Roman" w:cs="Times New Roman"/>
                <w:color w:val="auto"/>
                <w:sz w:val="24"/>
                <w:szCs w:val="24"/>
                <w:highlight w:val="none"/>
                <w:lang w:val="en-US" w:eastAsia="zh-CN"/>
              </w:rPr>
              <w:t>8</w:t>
            </w:r>
            <w:r>
              <w:rPr>
                <w:rFonts w:hint="eastAsia"/>
                <w:color w:val="auto"/>
                <w:sz w:val="24"/>
                <w:szCs w:val="24"/>
                <w:highlight w:val="none"/>
                <w:lang w:val="en-US" w:eastAsia="zh-CN"/>
              </w:rPr>
              <w:t>小时。</w:t>
            </w:r>
          </w:p>
          <w:p w14:paraId="3DA90D8B">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9</w:t>
            </w:r>
            <w:r>
              <w:rPr>
                <w:rFonts w:hint="default" w:ascii="Times New Roman" w:hAnsi="Times New Roman" w:cs="Times New Roman"/>
                <w:b/>
                <w:bCs w:val="0"/>
                <w:color w:val="auto"/>
                <w:sz w:val="24"/>
                <w:szCs w:val="24"/>
                <w:highlight w:val="none"/>
                <w:lang w:val="en-US" w:eastAsia="zh-CN"/>
              </w:rPr>
              <w:t>、</w:t>
            </w:r>
            <w:r>
              <w:rPr>
                <w:rFonts w:hint="eastAsia" w:ascii="Times New Roman" w:hAnsi="Times New Roman" w:cs="Times New Roman"/>
                <w:b/>
                <w:bCs w:val="0"/>
                <w:color w:val="auto"/>
                <w:sz w:val="24"/>
                <w:szCs w:val="24"/>
                <w:highlight w:val="none"/>
                <w:lang w:val="en-US" w:eastAsia="zh-CN"/>
              </w:rPr>
              <w:t>施工进度</w:t>
            </w:r>
          </w:p>
          <w:p w14:paraId="1FAAA81A">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cs="Times New Roman"/>
                <w:color w:val="auto"/>
                <w:sz w:val="24"/>
                <w:highlight w:val="none"/>
                <w:lang w:val="en-US" w:eastAsia="zh-CN"/>
              </w:rPr>
              <w:t>根据项</w:t>
            </w:r>
            <w:r>
              <w:rPr>
                <w:rFonts w:hint="eastAsia" w:ascii="Times New Roman" w:hAnsi="Times New Roman" w:eastAsia="宋体" w:cs="Times New Roman"/>
                <w:color w:val="auto"/>
                <w:sz w:val="24"/>
                <w:highlight w:val="none"/>
                <w:lang w:val="en-US" w:eastAsia="zh-CN"/>
              </w:rPr>
              <w:t>目投资备案证，项目计划于202</w:t>
            </w:r>
            <w:r>
              <w:rPr>
                <w:rFonts w:hint="eastAsia" w:ascii="Times New Roman" w:hAnsi="Times New Roman"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月开工建设，于202</w:t>
            </w:r>
            <w:r>
              <w:rPr>
                <w:rFonts w:hint="eastAsia" w:ascii="Times New Roman" w:hAnsi="Times New Roman"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月竣工</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总工期为</w:t>
            </w:r>
            <w:r>
              <w:rPr>
                <w:rFonts w:hint="eastAsia" w:ascii="Times New Roman" w:hAnsi="Times New Roman"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个月。</w:t>
            </w:r>
            <w:r>
              <w:rPr>
                <w:rFonts w:hint="eastAsia" w:ascii="Times New Roman" w:hAnsi="Times New Roman" w:cs="Times New Roman"/>
                <w:color w:val="auto"/>
                <w:sz w:val="24"/>
                <w:highlight w:val="none"/>
                <w:lang w:eastAsia="zh-CN"/>
              </w:rPr>
              <w:t>经现场核实</w:t>
            </w:r>
            <w:r>
              <w:rPr>
                <w:rFonts w:hint="default" w:ascii="Times New Roman" w:hAnsi="Times New Roman" w:eastAsia="宋体" w:cs="Times New Roman"/>
                <w:color w:val="auto"/>
                <w:sz w:val="24"/>
                <w:highlight w:val="none"/>
              </w:rPr>
              <w:t>，项目现阶段还未动工建设。</w:t>
            </w:r>
          </w:p>
          <w:p w14:paraId="5E6A52EB">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10</w:t>
            </w:r>
            <w:r>
              <w:rPr>
                <w:rFonts w:hint="default" w:ascii="Times New Roman" w:hAnsi="Times New Roman" w:cs="Times New Roman"/>
                <w:b/>
                <w:bCs w:val="0"/>
                <w:color w:val="auto"/>
                <w:sz w:val="24"/>
                <w:szCs w:val="24"/>
                <w:highlight w:val="none"/>
                <w:lang w:val="en-US" w:eastAsia="zh-CN"/>
              </w:rPr>
              <w:t>、环保投资</w:t>
            </w:r>
          </w:p>
          <w:p w14:paraId="4F17390A">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00</w:t>
            </w:r>
            <w:r>
              <w:rPr>
                <w:rFonts w:hint="default" w:ascii="Times New Roman" w:hAnsi="Times New Roman" w:eastAsia="宋体" w:cs="Times New Roman"/>
                <w:color w:val="auto"/>
                <w:sz w:val="24"/>
                <w:highlight w:val="none"/>
              </w:rPr>
              <w:t>万元，</w:t>
            </w:r>
            <w:r>
              <w:rPr>
                <w:rFonts w:hint="eastAsia"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eastAsia" w:cs="Times New Roman"/>
                <w:color w:val="auto"/>
                <w:sz w:val="24"/>
                <w:highlight w:val="none"/>
                <w:lang w:val="en-US" w:eastAsia="zh-CN"/>
              </w:rPr>
              <w:t>42</w:t>
            </w:r>
            <w:r>
              <w:rPr>
                <w:rFonts w:hint="default" w:ascii="Times New Roman" w:hAnsi="Times New Roman" w:eastAsia="宋体" w:cs="Times New Roman"/>
                <w:color w:val="auto"/>
                <w:sz w:val="24"/>
                <w:highlight w:val="none"/>
              </w:rPr>
              <w:t>万元，占总投资的</w:t>
            </w:r>
            <w:r>
              <w:rPr>
                <w:rFonts w:hint="eastAsia" w:cs="Times New Roman"/>
                <w:color w:val="auto"/>
                <w:sz w:val="24"/>
                <w:highlight w:val="none"/>
                <w:lang w:val="en-US" w:eastAsia="zh-CN"/>
              </w:rPr>
              <w:t>8.4</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14:paraId="0C687F2E">
            <w:pPr>
              <w:adjustRightInd w:val="0"/>
              <w:snapToGrid w:val="0"/>
              <w:jc w:val="center"/>
              <w:textAlignment w:val="baseline"/>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6</w:t>
            </w:r>
            <w:r>
              <w:rPr>
                <w:rFonts w:hint="default" w:ascii="Times New Roman" w:hAnsi="Times New Roman" w:eastAsia="宋体" w:cs="Times New Roman"/>
                <w:b/>
                <w:bCs/>
                <w:color w:val="auto"/>
                <w:szCs w:val="21"/>
                <w:highlight w:val="none"/>
              </w:rPr>
              <w:t xml:space="preserve">  项目环保投资一览表</w:t>
            </w:r>
          </w:p>
          <w:tbl>
            <w:tblPr>
              <w:tblStyle w:val="25"/>
              <w:tblW w:w="8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317"/>
              <w:gridCol w:w="5200"/>
              <w:gridCol w:w="1065"/>
            </w:tblGrid>
            <w:tr w14:paraId="109C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29" w:type="dxa"/>
                  <w:vAlign w:val="center"/>
                </w:tcPr>
                <w:p w14:paraId="59F389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auto"/>
                      <w:kern w:val="0"/>
                      <w:sz w:val="21"/>
                      <w:szCs w:val="21"/>
                      <w:highlight w:val="none"/>
                    </w:rPr>
                  </w:pPr>
                  <w:r>
                    <w:rPr>
                      <w:b/>
                      <w:snapToGrid w:val="0"/>
                      <w:color w:val="auto"/>
                      <w:kern w:val="0"/>
                      <w:sz w:val="21"/>
                      <w:szCs w:val="21"/>
                      <w:highlight w:val="none"/>
                    </w:rPr>
                    <w:t>治理对象</w:t>
                  </w:r>
                </w:p>
              </w:tc>
              <w:tc>
                <w:tcPr>
                  <w:tcW w:w="1317" w:type="dxa"/>
                  <w:vAlign w:val="center"/>
                </w:tcPr>
                <w:p w14:paraId="6EC0B7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auto"/>
                      <w:kern w:val="0"/>
                      <w:sz w:val="21"/>
                      <w:szCs w:val="21"/>
                      <w:highlight w:val="none"/>
                    </w:rPr>
                  </w:pPr>
                  <w:r>
                    <w:rPr>
                      <w:b/>
                      <w:snapToGrid w:val="0"/>
                      <w:color w:val="auto"/>
                      <w:kern w:val="0"/>
                      <w:sz w:val="21"/>
                      <w:szCs w:val="21"/>
                      <w:highlight w:val="none"/>
                    </w:rPr>
                    <w:t>污染物名称</w:t>
                  </w:r>
                </w:p>
              </w:tc>
              <w:tc>
                <w:tcPr>
                  <w:tcW w:w="5200" w:type="dxa"/>
                  <w:vAlign w:val="center"/>
                </w:tcPr>
                <w:p w14:paraId="025B86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auto"/>
                      <w:kern w:val="0"/>
                      <w:sz w:val="21"/>
                      <w:szCs w:val="21"/>
                      <w:highlight w:val="none"/>
                    </w:rPr>
                  </w:pPr>
                  <w:r>
                    <w:rPr>
                      <w:b/>
                      <w:snapToGrid w:val="0"/>
                      <w:color w:val="auto"/>
                      <w:kern w:val="0"/>
                      <w:sz w:val="21"/>
                      <w:szCs w:val="21"/>
                      <w:highlight w:val="none"/>
                    </w:rPr>
                    <w:t>环保设施</w:t>
                  </w:r>
                </w:p>
              </w:tc>
              <w:tc>
                <w:tcPr>
                  <w:tcW w:w="1065" w:type="dxa"/>
                  <w:vAlign w:val="center"/>
                </w:tcPr>
                <w:p w14:paraId="066D35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napToGrid w:val="0"/>
                      <w:color w:val="auto"/>
                      <w:kern w:val="0"/>
                      <w:sz w:val="21"/>
                      <w:szCs w:val="21"/>
                      <w:highlight w:val="none"/>
                    </w:rPr>
                  </w:pPr>
                  <w:r>
                    <w:rPr>
                      <w:b/>
                      <w:snapToGrid w:val="0"/>
                      <w:color w:val="auto"/>
                      <w:kern w:val="0"/>
                      <w:sz w:val="21"/>
                      <w:szCs w:val="21"/>
                      <w:highlight w:val="none"/>
                    </w:rPr>
                    <w:t>投资（万元）</w:t>
                  </w:r>
                </w:p>
              </w:tc>
            </w:tr>
            <w:tr w14:paraId="78B0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11" w:type="dxa"/>
                  <w:gridSpan w:val="4"/>
                  <w:vAlign w:val="center"/>
                </w:tcPr>
                <w:p w14:paraId="371016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snapToGrid w:val="0"/>
                      <w:color w:val="auto"/>
                      <w:kern w:val="0"/>
                      <w:sz w:val="21"/>
                      <w:szCs w:val="21"/>
                      <w:highlight w:val="none"/>
                    </w:rPr>
                  </w:pPr>
                  <w:r>
                    <w:rPr>
                      <w:rFonts w:hint="eastAsia"/>
                      <w:b/>
                      <w:snapToGrid w:val="0"/>
                      <w:color w:val="auto"/>
                      <w:kern w:val="0"/>
                      <w:sz w:val="21"/>
                      <w:szCs w:val="21"/>
                      <w:highlight w:val="none"/>
                    </w:rPr>
                    <w:t>施工期</w:t>
                  </w:r>
                </w:p>
              </w:tc>
            </w:tr>
            <w:tr w14:paraId="1AA5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29" w:type="dxa"/>
                  <w:vAlign w:val="center"/>
                </w:tcPr>
                <w:p w14:paraId="37288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napToGrid w:val="0"/>
                      <w:color w:val="auto"/>
                      <w:kern w:val="0"/>
                      <w:sz w:val="21"/>
                      <w:szCs w:val="21"/>
                      <w:highlight w:val="none"/>
                    </w:rPr>
                  </w:pPr>
                  <w:r>
                    <w:rPr>
                      <w:rFonts w:hint="eastAsia"/>
                      <w:bCs/>
                      <w:snapToGrid w:val="0"/>
                      <w:color w:val="auto"/>
                      <w:kern w:val="0"/>
                      <w:sz w:val="21"/>
                      <w:szCs w:val="21"/>
                      <w:highlight w:val="none"/>
                    </w:rPr>
                    <w:t>废气</w:t>
                  </w:r>
                </w:p>
              </w:tc>
              <w:tc>
                <w:tcPr>
                  <w:tcW w:w="1317" w:type="dxa"/>
                  <w:vAlign w:val="center"/>
                </w:tcPr>
                <w:p w14:paraId="2D7178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napToGrid w:val="0"/>
                      <w:color w:val="auto"/>
                      <w:kern w:val="0"/>
                      <w:sz w:val="21"/>
                      <w:szCs w:val="21"/>
                      <w:highlight w:val="none"/>
                    </w:rPr>
                  </w:pPr>
                  <w:r>
                    <w:rPr>
                      <w:rFonts w:hint="eastAsia"/>
                      <w:bCs/>
                      <w:snapToGrid w:val="0"/>
                      <w:color w:val="auto"/>
                      <w:kern w:val="0"/>
                      <w:sz w:val="21"/>
                      <w:szCs w:val="21"/>
                      <w:highlight w:val="none"/>
                    </w:rPr>
                    <w:t>扬尘</w:t>
                  </w:r>
                </w:p>
              </w:tc>
              <w:tc>
                <w:tcPr>
                  <w:tcW w:w="5200" w:type="dxa"/>
                  <w:vAlign w:val="center"/>
                </w:tcPr>
                <w:p w14:paraId="6C99B6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napToGrid w:val="0"/>
                      <w:color w:val="auto"/>
                      <w:kern w:val="0"/>
                      <w:sz w:val="21"/>
                      <w:szCs w:val="21"/>
                      <w:highlight w:val="none"/>
                    </w:rPr>
                  </w:pPr>
                  <w:r>
                    <w:rPr>
                      <w:rFonts w:hint="default"/>
                      <w:color w:val="auto"/>
                      <w:sz w:val="21"/>
                      <w:szCs w:val="21"/>
                      <w:highlight w:val="none"/>
                    </w:rPr>
                    <w:t>施工作业洒水降尘、施工堆料场地采取覆盖、</w:t>
                  </w:r>
                  <w:r>
                    <w:rPr>
                      <w:rFonts w:hint="eastAsia"/>
                      <w:color w:val="auto"/>
                      <w:sz w:val="21"/>
                      <w:szCs w:val="21"/>
                      <w:highlight w:val="none"/>
                      <w:lang w:val="en-US" w:eastAsia="zh-CN"/>
                    </w:rPr>
                    <w:t>施工厂界围挡</w:t>
                  </w:r>
                </w:p>
              </w:tc>
              <w:tc>
                <w:tcPr>
                  <w:tcW w:w="1065" w:type="dxa"/>
                  <w:vAlign w:val="center"/>
                </w:tcPr>
                <w:p w14:paraId="458D5B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snapToGrid w:val="0"/>
                      <w:color w:val="auto"/>
                      <w:kern w:val="0"/>
                      <w:sz w:val="21"/>
                      <w:szCs w:val="21"/>
                      <w:highlight w:val="none"/>
                      <w:lang w:val="en-US" w:eastAsia="zh-CN"/>
                    </w:rPr>
                  </w:pPr>
                  <w:r>
                    <w:rPr>
                      <w:rFonts w:hint="eastAsia"/>
                      <w:bCs/>
                      <w:snapToGrid w:val="0"/>
                      <w:color w:val="auto"/>
                      <w:kern w:val="0"/>
                      <w:sz w:val="21"/>
                      <w:szCs w:val="21"/>
                      <w:highlight w:val="none"/>
                      <w:lang w:val="en-US" w:eastAsia="zh-CN"/>
                    </w:rPr>
                    <w:t>0.5</w:t>
                  </w:r>
                </w:p>
              </w:tc>
            </w:tr>
            <w:tr w14:paraId="5448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jc w:val="center"/>
              </w:trPr>
              <w:tc>
                <w:tcPr>
                  <w:tcW w:w="729" w:type="dxa"/>
                  <w:vAlign w:val="center"/>
                </w:tcPr>
                <w:p w14:paraId="755D6A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napToGrid w:val="0"/>
                      <w:color w:val="auto"/>
                      <w:kern w:val="0"/>
                      <w:sz w:val="21"/>
                      <w:szCs w:val="21"/>
                      <w:highlight w:val="none"/>
                    </w:rPr>
                  </w:pPr>
                  <w:r>
                    <w:rPr>
                      <w:rFonts w:hint="eastAsia"/>
                      <w:bCs/>
                      <w:snapToGrid w:val="0"/>
                      <w:color w:val="auto"/>
                      <w:kern w:val="0"/>
                      <w:sz w:val="21"/>
                      <w:szCs w:val="21"/>
                      <w:highlight w:val="none"/>
                    </w:rPr>
                    <w:t>废水</w:t>
                  </w:r>
                </w:p>
              </w:tc>
              <w:tc>
                <w:tcPr>
                  <w:tcW w:w="1317" w:type="dxa"/>
                  <w:vAlign w:val="center"/>
                </w:tcPr>
                <w:p w14:paraId="2B2878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napToGrid w:val="0"/>
                      <w:color w:val="auto"/>
                      <w:kern w:val="0"/>
                      <w:sz w:val="21"/>
                      <w:szCs w:val="21"/>
                      <w:highlight w:val="none"/>
                    </w:rPr>
                  </w:pPr>
                  <w:r>
                    <w:rPr>
                      <w:rFonts w:hint="eastAsia"/>
                      <w:bCs/>
                      <w:snapToGrid w:val="0"/>
                      <w:color w:val="auto"/>
                      <w:kern w:val="0"/>
                      <w:sz w:val="21"/>
                      <w:szCs w:val="21"/>
                      <w:highlight w:val="none"/>
                      <w:lang w:val="en-US" w:eastAsia="zh-CN"/>
                    </w:rPr>
                    <w:t>生活污水</w:t>
                  </w:r>
                </w:p>
              </w:tc>
              <w:tc>
                <w:tcPr>
                  <w:tcW w:w="5200" w:type="dxa"/>
                  <w:vAlign w:val="center"/>
                </w:tcPr>
                <w:p w14:paraId="500E5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napToGrid w:val="0"/>
                      <w:color w:val="auto"/>
                      <w:kern w:val="0"/>
                      <w:sz w:val="21"/>
                      <w:szCs w:val="21"/>
                      <w:highlight w:val="none"/>
                    </w:rPr>
                  </w:pPr>
                  <w:r>
                    <w:rPr>
                      <w:rFonts w:hint="eastAsia"/>
                      <w:bCs/>
                      <w:snapToGrid w:val="0"/>
                      <w:color w:val="auto"/>
                      <w:kern w:val="0"/>
                      <w:sz w:val="21"/>
                      <w:szCs w:val="21"/>
                      <w:highlight w:val="none"/>
                      <w:lang w:val="zh-CN" w:eastAsia="zh-CN"/>
                    </w:rPr>
                    <w:t>生活污水收集设施</w:t>
                  </w:r>
                </w:p>
              </w:tc>
              <w:tc>
                <w:tcPr>
                  <w:tcW w:w="1065" w:type="dxa"/>
                  <w:vAlign w:val="center"/>
                </w:tcPr>
                <w:p w14:paraId="2602C6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snapToGrid w:val="0"/>
                      <w:color w:val="auto"/>
                      <w:kern w:val="0"/>
                      <w:sz w:val="21"/>
                      <w:szCs w:val="21"/>
                      <w:highlight w:val="none"/>
                      <w:lang w:val="en-US" w:eastAsia="zh-CN"/>
                    </w:rPr>
                  </w:pPr>
                  <w:r>
                    <w:rPr>
                      <w:rFonts w:hint="eastAsia"/>
                      <w:color w:val="auto"/>
                      <w:sz w:val="21"/>
                      <w:szCs w:val="21"/>
                      <w:highlight w:val="none"/>
                      <w:lang w:val="en-US" w:eastAsia="zh-CN"/>
                    </w:rPr>
                    <w:t>依托原有</w:t>
                  </w:r>
                </w:p>
              </w:tc>
            </w:tr>
            <w:tr w14:paraId="5BED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046" w:type="dxa"/>
                  <w:gridSpan w:val="2"/>
                  <w:vAlign w:val="center"/>
                </w:tcPr>
                <w:p w14:paraId="50F58E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napToGrid w:val="0"/>
                      <w:color w:val="auto"/>
                      <w:kern w:val="0"/>
                      <w:sz w:val="21"/>
                      <w:szCs w:val="21"/>
                      <w:highlight w:val="none"/>
                    </w:rPr>
                  </w:pPr>
                  <w:r>
                    <w:rPr>
                      <w:rFonts w:hint="eastAsia"/>
                      <w:color w:val="auto"/>
                      <w:sz w:val="21"/>
                      <w:szCs w:val="21"/>
                      <w:highlight w:val="none"/>
                    </w:rPr>
                    <w:t>固体废物</w:t>
                  </w:r>
                </w:p>
              </w:tc>
              <w:tc>
                <w:tcPr>
                  <w:tcW w:w="5200" w:type="dxa"/>
                  <w:vAlign w:val="center"/>
                </w:tcPr>
                <w:p w14:paraId="473F37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固体废物收集设施</w:t>
                  </w:r>
                </w:p>
              </w:tc>
              <w:tc>
                <w:tcPr>
                  <w:tcW w:w="1065" w:type="dxa"/>
                  <w:vAlign w:val="center"/>
                </w:tcPr>
                <w:p w14:paraId="103C6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snapToGrid w:val="0"/>
                      <w:color w:val="auto"/>
                      <w:kern w:val="0"/>
                      <w:sz w:val="21"/>
                      <w:szCs w:val="21"/>
                      <w:highlight w:val="none"/>
                      <w:lang w:eastAsia="zh-CN"/>
                    </w:rPr>
                  </w:pPr>
                  <w:r>
                    <w:rPr>
                      <w:rFonts w:hint="eastAsia"/>
                      <w:bCs/>
                      <w:snapToGrid w:val="0"/>
                      <w:color w:val="auto"/>
                      <w:kern w:val="0"/>
                      <w:sz w:val="21"/>
                      <w:szCs w:val="21"/>
                      <w:highlight w:val="none"/>
                      <w:lang w:eastAsia="zh-CN"/>
                    </w:rPr>
                    <w:t>依托原有</w:t>
                  </w:r>
                </w:p>
              </w:tc>
            </w:tr>
            <w:tr w14:paraId="11B6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311" w:type="dxa"/>
                  <w:gridSpan w:val="4"/>
                  <w:vAlign w:val="center"/>
                </w:tcPr>
                <w:p w14:paraId="784113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snapToGrid w:val="0"/>
                      <w:color w:val="auto"/>
                      <w:kern w:val="0"/>
                      <w:sz w:val="21"/>
                      <w:szCs w:val="21"/>
                      <w:highlight w:val="none"/>
                    </w:rPr>
                  </w:pPr>
                  <w:r>
                    <w:rPr>
                      <w:rFonts w:hint="eastAsia"/>
                      <w:b/>
                      <w:snapToGrid w:val="0"/>
                      <w:color w:val="auto"/>
                      <w:kern w:val="0"/>
                      <w:sz w:val="21"/>
                      <w:szCs w:val="21"/>
                      <w:highlight w:val="none"/>
                    </w:rPr>
                    <w:t>运营期</w:t>
                  </w:r>
                </w:p>
              </w:tc>
            </w:tr>
            <w:tr w14:paraId="59BA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9" w:type="dxa"/>
                  <w:vMerge w:val="restart"/>
                  <w:vAlign w:val="center"/>
                </w:tcPr>
                <w:p w14:paraId="4AA0BE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val="en-US" w:eastAsia="zh-CN"/>
                    </w:rPr>
                  </w:pPr>
                  <w:r>
                    <w:rPr>
                      <w:snapToGrid w:val="0"/>
                      <w:color w:val="auto"/>
                      <w:kern w:val="0"/>
                      <w:sz w:val="21"/>
                      <w:szCs w:val="21"/>
                      <w:highlight w:val="none"/>
                    </w:rPr>
                    <w:t>废</w:t>
                  </w:r>
                  <w:r>
                    <w:rPr>
                      <w:rFonts w:hint="eastAsia"/>
                      <w:snapToGrid w:val="0"/>
                      <w:color w:val="auto"/>
                      <w:kern w:val="0"/>
                      <w:sz w:val="21"/>
                      <w:szCs w:val="21"/>
                      <w:highlight w:val="none"/>
                      <w:lang w:eastAsia="zh-CN"/>
                    </w:rPr>
                    <w:t>水</w:t>
                  </w:r>
                </w:p>
              </w:tc>
              <w:tc>
                <w:tcPr>
                  <w:tcW w:w="1317" w:type="dxa"/>
                  <w:vAlign w:val="center"/>
                </w:tcPr>
                <w:p w14:paraId="2CB941D3">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雨污分流</w:t>
                  </w:r>
                </w:p>
              </w:tc>
              <w:tc>
                <w:tcPr>
                  <w:tcW w:w="5200" w:type="dxa"/>
                  <w:vAlign w:val="center"/>
                </w:tcPr>
                <w:p w14:paraId="02AF457A">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雨污分流系统1套</w:t>
                  </w:r>
                </w:p>
              </w:tc>
              <w:tc>
                <w:tcPr>
                  <w:tcW w:w="1065" w:type="dxa"/>
                  <w:vAlign w:val="center"/>
                </w:tcPr>
                <w:p w14:paraId="76AFD7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依托原有</w:t>
                  </w:r>
                </w:p>
              </w:tc>
            </w:tr>
            <w:tr w14:paraId="0640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9" w:type="dxa"/>
                  <w:vMerge w:val="continue"/>
                  <w:vAlign w:val="center"/>
                </w:tcPr>
                <w:p w14:paraId="3359A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auto"/>
                      <w:kern w:val="0"/>
                      <w:sz w:val="21"/>
                      <w:szCs w:val="21"/>
                      <w:highlight w:val="none"/>
                    </w:rPr>
                  </w:pPr>
                </w:p>
              </w:tc>
              <w:tc>
                <w:tcPr>
                  <w:tcW w:w="1317" w:type="dxa"/>
                  <w:vAlign w:val="center"/>
                </w:tcPr>
                <w:p w14:paraId="57707CD7">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食堂废水</w:t>
                  </w:r>
                </w:p>
              </w:tc>
              <w:tc>
                <w:tcPr>
                  <w:tcW w:w="5200" w:type="dxa"/>
                  <w:vAlign w:val="center"/>
                </w:tcPr>
                <w:p w14:paraId="28E03552">
                  <w:pPr>
                    <w:pStyle w:val="16"/>
                    <w:adjustRightInd w:val="0"/>
                    <w:snapToGrid w:val="0"/>
                    <w:spacing w:line="0" w:lineRule="atLeast"/>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1个容积为0.5m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的隔油池</w:t>
                  </w:r>
                </w:p>
              </w:tc>
              <w:tc>
                <w:tcPr>
                  <w:tcW w:w="1065" w:type="dxa"/>
                  <w:vAlign w:val="center"/>
                </w:tcPr>
                <w:p w14:paraId="3F4D42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rPr>
                    <w:t>依托原有</w:t>
                  </w:r>
                </w:p>
              </w:tc>
            </w:tr>
            <w:tr w14:paraId="3DBD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9" w:type="dxa"/>
                  <w:vMerge w:val="continue"/>
                  <w:vAlign w:val="center"/>
                </w:tcPr>
                <w:p w14:paraId="5408A8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auto"/>
                      <w:kern w:val="0"/>
                      <w:sz w:val="21"/>
                      <w:szCs w:val="21"/>
                      <w:highlight w:val="none"/>
                    </w:rPr>
                  </w:pPr>
                </w:p>
              </w:tc>
              <w:tc>
                <w:tcPr>
                  <w:tcW w:w="1317" w:type="dxa"/>
                  <w:vMerge w:val="restart"/>
                  <w:vAlign w:val="center"/>
                </w:tcPr>
                <w:p w14:paraId="307EE5C4">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生活污水</w:t>
                  </w:r>
                </w:p>
              </w:tc>
              <w:tc>
                <w:tcPr>
                  <w:tcW w:w="5200" w:type="dxa"/>
                  <w:vAlign w:val="center"/>
                </w:tcPr>
                <w:p w14:paraId="1D13AF88">
                  <w:pPr>
                    <w:pStyle w:val="16"/>
                    <w:adjustRightInd w:val="0"/>
                    <w:snapToGrid w:val="0"/>
                    <w:spacing w:line="0" w:lineRule="atLeast"/>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1个容积为5m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的化粪池</w:t>
                  </w:r>
                </w:p>
              </w:tc>
              <w:tc>
                <w:tcPr>
                  <w:tcW w:w="1065" w:type="dxa"/>
                  <w:vAlign w:val="center"/>
                </w:tcPr>
                <w:p w14:paraId="55F34B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rPr>
                    <w:t>依托原有</w:t>
                  </w:r>
                </w:p>
              </w:tc>
            </w:tr>
            <w:tr w14:paraId="40EA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9" w:type="dxa"/>
                  <w:vMerge w:val="continue"/>
                  <w:vAlign w:val="center"/>
                </w:tcPr>
                <w:p w14:paraId="0488E3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auto"/>
                      <w:kern w:val="0"/>
                      <w:sz w:val="21"/>
                      <w:szCs w:val="21"/>
                      <w:highlight w:val="none"/>
                    </w:rPr>
                  </w:pPr>
                </w:p>
              </w:tc>
              <w:tc>
                <w:tcPr>
                  <w:tcW w:w="1317" w:type="dxa"/>
                  <w:vMerge w:val="continue"/>
                  <w:vAlign w:val="center"/>
                </w:tcPr>
                <w:p w14:paraId="15D2C098">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p>
              </w:tc>
              <w:tc>
                <w:tcPr>
                  <w:tcW w:w="5200" w:type="dxa"/>
                  <w:vAlign w:val="center"/>
                </w:tcPr>
                <w:p w14:paraId="49E2E2CE">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1座处理规模为5m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/d生活污水处理站</w:t>
                  </w:r>
                </w:p>
              </w:tc>
              <w:tc>
                <w:tcPr>
                  <w:tcW w:w="1065" w:type="dxa"/>
                  <w:vAlign w:val="center"/>
                </w:tcPr>
                <w:p w14:paraId="0026D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rPr>
                    <w:t>依托原有</w:t>
                  </w:r>
                </w:p>
              </w:tc>
            </w:tr>
            <w:tr w14:paraId="2443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9" w:type="dxa"/>
                  <w:vMerge w:val="continue"/>
                  <w:vAlign w:val="center"/>
                </w:tcPr>
                <w:p w14:paraId="14302B70">
                  <w:pPr>
                    <w:pStyle w:val="15"/>
                    <w:rPr>
                      <w:color w:val="auto"/>
                      <w:sz w:val="21"/>
                      <w:szCs w:val="21"/>
                      <w:highlight w:val="none"/>
                    </w:rPr>
                  </w:pPr>
                </w:p>
              </w:tc>
              <w:tc>
                <w:tcPr>
                  <w:tcW w:w="1317" w:type="dxa"/>
                  <w:vMerge w:val="continue"/>
                  <w:vAlign w:val="center"/>
                </w:tcPr>
                <w:p w14:paraId="27FD54B1">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p>
              </w:tc>
              <w:tc>
                <w:tcPr>
                  <w:tcW w:w="5200" w:type="dxa"/>
                  <w:vAlign w:val="center"/>
                </w:tcPr>
                <w:p w14:paraId="03927B03">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蓄水池扩容至25m</w:t>
                  </w:r>
                  <w:r>
                    <w:rPr>
                      <w:rFonts w:hint="eastAsia" w:cs="Times New Roman"/>
                      <w:color w:val="auto"/>
                      <w:sz w:val="21"/>
                      <w:szCs w:val="21"/>
                      <w:highlight w:val="none"/>
                      <w:vertAlign w:val="superscript"/>
                      <w:lang w:val="en-US" w:eastAsia="zh-CN"/>
                    </w:rPr>
                    <w:t>3</w:t>
                  </w:r>
                </w:p>
              </w:tc>
              <w:tc>
                <w:tcPr>
                  <w:tcW w:w="1065" w:type="dxa"/>
                  <w:vAlign w:val="center"/>
                </w:tcPr>
                <w:p w14:paraId="75C331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rPr>
                    <w:t>1.5</w:t>
                  </w:r>
                </w:p>
              </w:tc>
            </w:tr>
            <w:tr w14:paraId="3B85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29" w:type="dxa"/>
                  <w:vMerge w:val="continue"/>
                  <w:vAlign w:val="center"/>
                </w:tcPr>
                <w:p w14:paraId="2EF53744">
                  <w:pPr>
                    <w:rPr>
                      <w:color w:val="auto"/>
                      <w:sz w:val="21"/>
                      <w:szCs w:val="21"/>
                      <w:highlight w:val="none"/>
                    </w:rPr>
                  </w:pPr>
                </w:p>
              </w:tc>
              <w:tc>
                <w:tcPr>
                  <w:tcW w:w="1317" w:type="dxa"/>
                  <w:vAlign w:val="center"/>
                </w:tcPr>
                <w:p w14:paraId="43A843B0">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磨边清洗废水</w:t>
                  </w:r>
                </w:p>
              </w:tc>
              <w:tc>
                <w:tcPr>
                  <w:tcW w:w="5200" w:type="dxa"/>
                  <w:vAlign w:val="center"/>
                </w:tcPr>
                <w:p w14:paraId="218A8A9B">
                  <w:pPr>
                    <w:spacing w:before="54" w:line="228"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玻璃磨边处设置沉淀循环水池1个，容积为</w:t>
                  </w:r>
                  <w:r>
                    <w:rPr>
                      <w:rFonts w:hint="default" w:ascii="Times New Roman" w:hAnsi="Times New Roman" w:cs="Times New Roman"/>
                      <w:color w:val="auto"/>
                      <w:szCs w:val="21"/>
                      <w:highlight w:val="none"/>
                    </w:rPr>
                    <w:t>2m</w:t>
                  </w:r>
                  <w:r>
                    <w:rPr>
                      <w:rFonts w:hint="default" w:ascii="Times New Roman" w:hAnsi="Times New Roman" w:cs="Times New Roman"/>
                      <w:color w:val="auto"/>
                      <w:szCs w:val="21"/>
                      <w:highlight w:val="none"/>
                      <w:vertAlign w:val="superscript"/>
                    </w:rPr>
                    <w:t>3</w:t>
                  </w:r>
                </w:p>
              </w:tc>
              <w:tc>
                <w:tcPr>
                  <w:tcW w:w="1065" w:type="dxa"/>
                  <w:vAlign w:val="center"/>
                </w:tcPr>
                <w:p w14:paraId="1B816C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rPr>
                    <w:t>依托原有</w:t>
                  </w:r>
                </w:p>
              </w:tc>
            </w:tr>
            <w:tr w14:paraId="4C2C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29" w:type="dxa"/>
                  <w:vMerge w:val="continue"/>
                  <w:vAlign w:val="center"/>
                </w:tcPr>
                <w:p w14:paraId="71BB76B4">
                  <w:pPr>
                    <w:pStyle w:val="15"/>
                    <w:rPr>
                      <w:color w:val="auto"/>
                      <w:sz w:val="21"/>
                      <w:szCs w:val="21"/>
                      <w:highlight w:val="none"/>
                    </w:rPr>
                  </w:pPr>
                </w:p>
              </w:tc>
              <w:tc>
                <w:tcPr>
                  <w:tcW w:w="1317" w:type="dxa"/>
                  <w:vMerge w:val="restart"/>
                  <w:vAlign w:val="center"/>
                </w:tcPr>
                <w:p w14:paraId="53AA55D5">
                  <w:pPr>
                    <w:pStyle w:val="16"/>
                    <w:adjustRightInd w:val="0"/>
                    <w:snapToGrid w:val="0"/>
                    <w:spacing w:line="0" w:lineRule="atLeast"/>
                    <w:jc w:val="both"/>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生产废水（酸洗废水、水洗废水、碱洗塔废水）</w:t>
                  </w:r>
                </w:p>
              </w:tc>
              <w:tc>
                <w:tcPr>
                  <w:tcW w:w="5200" w:type="dxa"/>
                  <w:vAlign w:val="center"/>
                </w:tcPr>
                <w:p w14:paraId="4F147A01">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olor w:val="auto"/>
                      <w:sz w:val="21"/>
                      <w:szCs w:val="21"/>
                      <w:highlight w:val="none"/>
                      <w:lang w:eastAsia="zh-CN"/>
                    </w:rPr>
                    <w:t>生产废</w:t>
                  </w:r>
                  <w:r>
                    <w:rPr>
                      <w:color w:val="auto"/>
                      <w:sz w:val="21"/>
                      <w:szCs w:val="21"/>
                      <w:highlight w:val="none"/>
                    </w:rPr>
                    <w:t>水处理</w:t>
                  </w:r>
                  <w:r>
                    <w:rPr>
                      <w:rFonts w:hint="eastAsia"/>
                      <w:color w:val="auto"/>
                      <w:sz w:val="21"/>
                      <w:szCs w:val="21"/>
                      <w:highlight w:val="none"/>
                      <w:lang w:eastAsia="zh-CN"/>
                    </w:rPr>
                    <w:t>设施</w:t>
                  </w:r>
                  <w:r>
                    <w:rPr>
                      <w:rFonts w:hint="eastAsia"/>
                      <w:color w:val="auto"/>
                      <w:sz w:val="21"/>
                      <w:szCs w:val="21"/>
                      <w:highlight w:val="none"/>
                      <w:lang w:val="en-US" w:eastAsia="zh-CN"/>
                    </w:rPr>
                    <w:t>1套</w:t>
                  </w:r>
                  <w:r>
                    <w:rPr>
                      <w:color w:val="auto"/>
                      <w:sz w:val="21"/>
                      <w:szCs w:val="21"/>
                      <w:highlight w:val="none"/>
                    </w:rPr>
                    <w:t>，处理规模</w:t>
                  </w:r>
                  <w:r>
                    <w:rPr>
                      <w:rFonts w:hint="eastAsia"/>
                      <w:color w:val="auto"/>
                      <w:sz w:val="21"/>
                      <w:szCs w:val="21"/>
                      <w:highlight w:val="none"/>
                      <w:lang w:eastAsia="zh-CN"/>
                    </w:rPr>
                    <w:t>为</w:t>
                  </w:r>
                  <w:r>
                    <w:rPr>
                      <w:color w:val="auto"/>
                      <w:sz w:val="21"/>
                      <w:szCs w:val="21"/>
                      <w:highlight w:val="none"/>
                    </w:rPr>
                    <w:t>2m</w:t>
                  </w:r>
                  <w:r>
                    <w:rPr>
                      <w:color w:val="auto"/>
                      <w:sz w:val="21"/>
                      <w:szCs w:val="21"/>
                      <w:highlight w:val="none"/>
                      <w:vertAlign w:val="superscript"/>
                    </w:rPr>
                    <w:t>3</w:t>
                  </w:r>
                  <w:r>
                    <w:rPr>
                      <w:color w:val="auto"/>
                      <w:sz w:val="21"/>
                      <w:szCs w:val="21"/>
                      <w:highlight w:val="none"/>
                    </w:rPr>
                    <w:t>/d，采用“</w:t>
                  </w:r>
                  <w:r>
                    <w:rPr>
                      <w:rFonts w:hint="eastAsia"/>
                      <w:color w:val="auto"/>
                      <w:sz w:val="21"/>
                      <w:szCs w:val="21"/>
                      <w:highlight w:val="none"/>
                      <w:lang w:eastAsia="zh-CN"/>
                    </w:rPr>
                    <w:t>调节池</w:t>
                  </w:r>
                  <w:r>
                    <w:rPr>
                      <w:rFonts w:hint="eastAsia"/>
                      <w:color w:val="auto"/>
                      <w:sz w:val="21"/>
                      <w:szCs w:val="21"/>
                      <w:highlight w:val="none"/>
                      <w:lang w:val="en-US" w:eastAsia="zh-CN"/>
                    </w:rPr>
                    <w:t>+</w:t>
                  </w:r>
                  <w:r>
                    <w:rPr>
                      <w:color w:val="auto"/>
                      <w:sz w:val="21"/>
                      <w:szCs w:val="21"/>
                      <w:highlight w:val="none"/>
                    </w:rPr>
                    <w:t>混凝沉淀+</w:t>
                  </w:r>
                  <w:r>
                    <w:rPr>
                      <w:rFonts w:hint="eastAsia"/>
                      <w:color w:val="auto"/>
                      <w:sz w:val="21"/>
                      <w:szCs w:val="21"/>
                      <w:highlight w:val="none"/>
                      <w:lang w:eastAsia="zh-CN"/>
                    </w:rPr>
                    <w:t>过滤</w:t>
                  </w:r>
                  <w:r>
                    <w:rPr>
                      <w:color w:val="auto"/>
                      <w:sz w:val="21"/>
                      <w:szCs w:val="21"/>
                      <w:highlight w:val="none"/>
                    </w:rPr>
                    <w:t>”工艺。</w:t>
                  </w:r>
                </w:p>
              </w:tc>
              <w:tc>
                <w:tcPr>
                  <w:tcW w:w="1065" w:type="dxa"/>
                  <w:vAlign w:val="center"/>
                </w:tcPr>
                <w:p w14:paraId="6B1FDF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5</w:t>
                  </w:r>
                </w:p>
              </w:tc>
            </w:tr>
            <w:tr w14:paraId="20EC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29" w:type="dxa"/>
                  <w:vMerge w:val="continue"/>
                  <w:vAlign w:val="center"/>
                </w:tcPr>
                <w:p w14:paraId="26316560">
                  <w:pPr>
                    <w:pStyle w:val="15"/>
                    <w:rPr>
                      <w:color w:val="auto"/>
                      <w:sz w:val="21"/>
                      <w:szCs w:val="21"/>
                      <w:highlight w:val="none"/>
                    </w:rPr>
                  </w:pPr>
                </w:p>
              </w:tc>
              <w:tc>
                <w:tcPr>
                  <w:tcW w:w="1317" w:type="dxa"/>
                  <w:vMerge w:val="continue"/>
                  <w:vAlign w:val="center"/>
                </w:tcPr>
                <w:p w14:paraId="16B3F2C0">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p>
              </w:tc>
              <w:tc>
                <w:tcPr>
                  <w:tcW w:w="5200" w:type="dxa"/>
                  <w:vAlign w:val="center"/>
                </w:tcPr>
                <w:p w14:paraId="5C2B67D7">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1座容积为15m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的调节池</w:t>
                  </w:r>
                </w:p>
              </w:tc>
              <w:tc>
                <w:tcPr>
                  <w:tcW w:w="1065" w:type="dxa"/>
                  <w:vAlign w:val="center"/>
                </w:tcPr>
                <w:p w14:paraId="141BEC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2</w:t>
                  </w:r>
                </w:p>
              </w:tc>
            </w:tr>
            <w:tr w14:paraId="74D9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29" w:type="dxa"/>
                  <w:vMerge w:val="continue"/>
                  <w:vAlign w:val="center"/>
                </w:tcPr>
                <w:p w14:paraId="6387D2F9">
                  <w:pPr>
                    <w:rPr>
                      <w:color w:val="auto"/>
                      <w:sz w:val="21"/>
                      <w:szCs w:val="21"/>
                      <w:highlight w:val="none"/>
                    </w:rPr>
                  </w:pPr>
                </w:p>
              </w:tc>
              <w:tc>
                <w:tcPr>
                  <w:tcW w:w="1317" w:type="dxa"/>
                  <w:vMerge w:val="continue"/>
                  <w:vAlign w:val="center"/>
                </w:tcPr>
                <w:p w14:paraId="4B24326B">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p>
              </w:tc>
              <w:tc>
                <w:tcPr>
                  <w:tcW w:w="5200" w:type="dxa"/>
                  <w:vAlign w:val="center"/>
                </w:tcPr>
                <w:p w14:paraId="34F82EE8">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1座容积为15m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的清水池</w:t>
                  </w:r>
                </w:p>
              </w:tc>
              <w:tc>
                <w:tcPr>
                  <w:tcW w:w="1065" w:type="dxa"/>
                  <w:vAlign w:val="center"/>
                </w:tcPr>
                <w:p w14:paraId="63BEDF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2</w:t>
                  </w:r>
                </w:p>
              </w:tc>
            </w:tr>
            <w:tr w14:paraId="5C21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29" w:type="dxa"/>
                  <w:vMerge w:val="continue"/>
                  <w:vAlign w:val="center"/>
                </w:tcPr>
                <w:p w14:paraId="19FA60B0">
                  <w:pPr>
                    <w:rPr>
                      <w:color w:val="auto"/>
                      <w:sz w:val="21"/>
                      <w:szCs w:val="21"/>
                      <w:highlight w:val="none"/>
                    </w:rPr>
                  </w:pPr>
                </w:p>
              </w:tc>
              <w:tc>
                <w:tcPr>
                  <w:tcW w:w="1317" w:type="dxa"/>
                  <w:vMerge w:val="continue"/>
                  <w:vAlign w:val="center"/>
                </w:tcPr>
                <w:p w14:paraId="4D95A922">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p>
              </w:tc>
              <w:tc>
                <w:tcPr>
                  <w:tcW w:w="5200" w:type="dxa"/>
                  <w:vAlign w:val="center"/>
                </w:tcPr>
                <w:p w14:paraId="5AC1868A">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1座容积为50m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的事故应急池</w:t>
                  </w:r>
                </w:p>
              </w:tc>
              <w:tc>
                <w:tcPr>
                  <w:tcW w:w="1065" w:type="dxa"/>
                  <w:vAlign w:val="center"/>
                </w:tcPr>
                <w:p w14:paraId="3BF4F6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3</w:t>
                  </w:r>
                </w:p>
              </w:tc>
            </w:tr>
            <w:tr w14:paraId="54B1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729" w:type="dxa"/>
                  <w:vMerge w:val="restart"/>
                  <w:vAlign w:val="center"/>
                </w:tcPr>
                <w:p w14:paraId="52723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废气</w:t>
                  </w:r>
                </w:p>
              </w:tc>
              <w:tc>
                <w:tcPr>
                  <w:tcW w:w="1317" w:type="dxa"/>
                  <w:vAlign w:val="center"/>
                </w:tcPr>
                <w:p w14:paraId="413288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硫酸挥发废气</w:t>
                  </w:r>
                </w:p>
              </w:tc>
              <w:tc>
                <w:tcPr>
                  <w:tcW w:w="5200" w:type="dxa"/>
                  <w:vMerge w:val="restart"/>
                  <w:vAlign w:val="center"/>
                </w:tcPr>
                <w:p w14:paraId="55516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highlight w:val="none"/>
                      <w:lang w:val="en-US" w:eastAsia="zh-CN"/>
                    </w:rPr>
                  </w:pPr>
                  <w:r>
                    <w:rPr>
                      <w:rFonts w:hint="eastAsia" w:cs="Times New Roman"/>
                      <w:color w:val="auto"/>
                      <w:sz w:val="21"/>
                      <w:szCs w:val="21"/>
                      <w:highlight w:val="none"/>
                      <w:lang w:val="zh-CN" w:eastAsia="zh-CN"/>
                    </w:rPr>
                    <w:t>硫酸稀释、蒙砂液配制与蒙砂过程共同置于封闭生产车间内，生产车间保持负压状态，并在上方设置集气管道，</w:t>
                  </w:r>
                  <w:r>
                    <w:rPr>
                      <w:rFonts w:hint="default" w:ascii="Times New Roman" w:hAnsi="Times New Roman" w:cs="Times New Roman"/>
                      <w:color w:val="auto"/>
                      <w:sz w:val="21"/>
                      <w:szCs w:val="21"/>
                      <w:highlight w:val="none"/>
                      <w:lang w:val="zh-CN" w:eastAsia="zh-CN"/>
                    </w:rPr>
                    <w:t>硫酸挥发废气、配料废气</w:t>
                  </w:r>
                  <w:r>
                    <w:rPr>
                      <w:rFonts w:hint="eastAsia" w:cs="Times New Roman"/>
                      <w:color w:val="auto"/>
                      <w:sz w:val="21"/>
                      <w:szCs w:val="21"/>
                      <w:highlight w:val="none"/>
                      <w:lang w:val="zh-CN" w:eastAsia="zh-CN"/>
                    </w:rPr>
                    <w:t>和蒙砂</w:t>
                  </w:r>
                  <w:r>
                    <w:rPr>
                      <w:rFonts w:hint="default" w:ascii="Times New Roman" w:hAnsi="Times New Roman" w:cs="Times New Roman"/>
                      <w:color w:val="auto"/>
                      <w:sz w:val="21"/>
                      <w:szCs w:val="21"/>
                      <w:highlight w:val="none"/>
                      <w:lang w:val="zh-CN" w:eastAsia="zh-CN"/>
                    </w:rPr>
                    <w:t>废气由</w:t>
                  </w:r>
                  <w:r>
                    <w:rPr>
                      <w:rFonts w:hint="eastAsia" w:cs="Times New Roman"/>
                      <w:color w:val="auto"/>
                      <w:sz w:val="21"/>
                      <w:szCs w:val="21"/>
                      <w:highlight w:val="none"/>
                      <w:lang w:val="zh-CN" w:eastAsia="zh-CN"/>
                    </w:rPr>
                    <w:t>封</w:t>
                  </w:r>
                  <w:r>
                    <w:rPr>
                      <w:rFonts w:hint="default" w:ascii="Times New Roman" w:hAnsi="Times New Roman" w:cs="Times New Roman"/>
                      <w:color w:val="auto"/>
                      <w:sz w:val="21"/>
                      <w:szCs w:val="21"/>
                      <w:highlight w:val="none"/>
                      <w:lang w:val="zh-CN" w:eastAsia="zh-CN"/>
                    </w:rPr>
                    <w:t>闭生产</w:t>
                  </w:r>
                  <w:r>
                    <w:rPr>
                      <w:rFonts w:hint="eastAsia" w:cs="Times New Roman"/>
                      <w:color w:val="auto"/>
                      <w:sz w:val="21"/>
                      <w:szCs w:val="21"/>
                      <w:highlight w:val="none"/>
                      <w:lang w:val="zh-CN" w:eastAsia="zh-CN"/>
                    </w:rPr>
                    <w:t>车间</w:t>
                  </w:r>
                  <w:r>
                    <w:rPr>
                      <w:rFonts w:hint="default" w:ascii="Times New Roman" w:hAnsi="Times New Roman" w:cs="Times New Roman"/>
                      <w:color w:val="auto"/>
                      <w:sz w:val="21"/>
                      <w:szCs w:val="21"/>
                      <w:highlight w:val="none"/>
                      <w:lang w:val="en-US" w:eastAsia="zh-CN"/>
                    </w:rPr>
                    <w:t>集气管道</w:t>
                  </w:r>
                  <w:r>
                    <w:rPr>
                      <w:rFonts w:hint="default" w:ascii="Times New Roman" w:hAnsi="Times New Roman" w:cs="Times New Roman"/>
                      <w:color w:val="auto"/>
                      <w:sz w:val="21"/>
                      <w:szCs w:val="21"/>
                      <w:highlight w:val="none"/>
                      <w:lang w:val="zh-CN" w:eastAsia="zh-CN"/>
                    </w:rPr>
                    <w:t>收集后，</w:t>
                  </w:r>
                  <w:r>
                    <w:rPr>
                      <w:rFonts w:hint="eastAsia" w:ascii="Times New Roman" w:hAnsi="Times New Roman" w:cs="Times New Roman"/>
                      <w:color w:val="auto"/>
                      <w:sz w:val="21"/>
                      <w:szCs w:val="21"/>
                      <w:highlight w:val="none"/>
                      <w:lang w:val="zh-CN" w:eastAsia="zh-CN"/>
                    </w:rPr>
                    <w:t>通过</w:t>
                  </w:r>
                  <w:r>
                    <w:rPr>
                      <w:rFonts w:hint="default" w:ascii="Times New Roman" w:hAnsi="Times New Roman" w:cs="Times New Roman"/>
                      <w:color w:val="auto"/>
                      <w:sz w:val="21"/>
                      <w:szCs w:val="21"/>
                      <w:highlight w:val="none"/>
                      <w:lang w:val="zh-CN" w:eastAsia="zh-CN"/>
                    </w:rPr>
                    <w:t>一套碱液喷淋洗涤塔废气治理设施处理，</w:t>
                  </w:r>
                  <w:r>
                    <w:rPr>
                      <w:rFonts w:hint="eastAsia" w:cs="Times New Roman"/>
                      <w:color w:val="auto"/>
                      <w:sz w:val="21"/>
                      <w:szCs w:val="21"/>
                      <w:highlight w:val="none"/>
                      <w:lang w:val="zh-CN" w:eastAsia="zh-CN"/>
                    </w:rPr>
                    <w:t>后</w:t>
                  </w:r>
                  <w:r>
                    <w:rPr>
                      <w:rFonts w:hint="default" w:ascii="Times New Roman" w:hAnsi="Times New Roman" w:cs="Times New Roman"/>
                      <w:color w:val="auto"/>
                      <w:sz w:val="21"/>
                      <w:szCs w:val="21"/>
                      <w:highlight w:val="none"/>
                      <w:lang w:val="zh-CN" w:eastAsia="zh-CN"/>
                    </w:rPr>
                    <w:t>经15m高排气筒（</w:t>
                  </w: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z w:val="21"/>
                      <w:szCs w:val="21"/>
                      <w:highlight w:val="none"/>
                      <w:lang w:val="zh-CN" w:eastAsia="zh-CN"/>
                    </w:rPr>
                    <w:t>）排放</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配套的风机风量</w:t>
                  </w:r>
                  <w:r>
                    <w:rPr>
                      <w:rFonts w:hint="eastAsia" w:cs="Times New Roman"/>
                      <w:i w:val="0"/>
                      <w:iCs w:val="0"/>
                      <w:color w:val="auto"/>
                      <w:sz w:val="21"/>
                      <w:szCs w:val="21"/>
                      <w:highlight w:val="none"/>
                      <w:u w:val="none"/>
                      <w:lang w:val="en-US" w:eastAsia="zh-CN"/>
                    </w:rPr>
                    <w:t>为10000m</w:t>
                  </w:r>
                  <w:r>
                    <w:rPr>
                      <w:rFonts w:hint="eastAsia" w:cs="Times New Roman"/>
                      <w:i w:val="0"/>
                      <w:iCs w:val="0"/>
                      <w:color w:val="auto"/>
                      <w:sz w:val="21"/>
                      <w:szCs w:val="21"/>
                      <w:highlight w:val="none"/>
                      <w:u w:val="none"/>
                      <w:vertAlign w:val="superscript"/>
                      <w:lang w:val="en-US" w:eastAsia="zh-CN"/>
                    </w:rPr>
                    <w:t>3</w:t>
                  </w:r>
                  <w:r>
                    <w:rPr>
                      <w:rFonts w:hint="eastAsia" w:cs="Times New Roman"/>
                      <w:i w:val="0"/>
                      <w:iCs w:val="0"/>
                      <w:color w:val="auto"/>
                      <w:sz w:val="21"/>
                      <w:szCs w:val="21"/>
                      <w:highlight w:val="none"/>
                      <w:u w:val="none"/>
                      <w:lang w:val="en-US" w:eastAsia="zh-CN"/>
                    </w:rPr>
                    <w:t>/h。</w:t>
                  </w:r>
                </w:p>
              </w:tc>
              <w:tc>
                <w:tcPr>
                  <w:tcW w:w="1065" w:type="dxa"/>
                  <w:vMerge w:val="restart"/>
                  <w:vAlign w:val="center"/>
                </w:tcPr>
                <w:p w14:paraId="3F670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25</w:t>
                  </w:r>
                </w:p>
              </w:tc>
            </w:tr>
            <w:tr w14:paraId="0920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729" w:type="dxa"/>
                  <w:vMerge w:val="continue"/>
                  <w:vAlign w:val="center"/>
                </w:tcPr>
                <w:p w14:paraId="04BC85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1317" w:type="dxa"/>
                  <w:vAlign w:val="center"/>
                </w:tcPr>
                <w:p w14:paraId="34ABD5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配料废气</w:t>
                  </w:r>
                </w:p>
              </w:tc>
              <w:tc>
                <w:tcPr>
                  <w:tcW w:w="5200" w:type="dxa"/>
                  <w:vMerge w:val="continue"/>
                  <w:vAlign w:val="center"/>
                </w:tcPr>
                <w:p w14:paraId="7ADB04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1065" w:type="dxa"/>
                  <w:vMerge w:val="continue"/>
                  <w:vAlign w:val="center"/>
                </w:tcPr>
                <w:p w14:paraId="2532D8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21"/>
                      <w:highlight w:val="none"/>
                      <w:lang w:val="en-US" w:eastAsia="zh-CN"/>
                    </w:rPr>
                  </w:pPr>
                </w:p>
              </w:tc>
            </w:tr>
            <w:tr w14:paraId="7521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729" w:type="dxa"/>
                  <w:vMerge w:val="continue"/>
                  <w:vAlign w:val="center"/>
                </w:tcPr>
                <w:p w14:paraId="6DA40C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1317" w:type="dxa"/>
                  <w:vAlign w:val="center"/>
                </w:tcPr>
                <w:p w14:paraId="4BBEEF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蒙砂废气</w:t>
                  </w:r>
                </w:p>
              </w:tc>
              <w:tc>
                <w:tcPr>
                  <w:tcW w:w="5200" w:type="dxa"/>
                  <w:vMerge w:val="continue"/>
                  <w:vAlign w:val="center"/>
                </w:tcPr>
                <w:p w14:paraId="78F13A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1065" w:type="dxa"/>
                  <w:vMerge w:val="continue"/>
                  <w:vAlign w:val="center"/>
                </w:tcPr>
                <w:p w14:paraId="239B46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21"/>
                      <w:highlight w:val="none"/>
                      <w:lang w:val="en-US" w:eastAsia="zh-CN"/>
                    </w:rPr>
                  </w:pPr>
                </w:p>
              </w:tc>
            </w:tr>
            <w:tr w14:paraId="0892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9" w:type="dxa"/>
                  <w:vMerge w:val="continue"/>
                  <w:vAlign w:val="center"/>
                </w:tcPr>
                <w:p w14:paraId="2342FD64">
                  <w:pPr>
                    <w:jc w:val="center"/>
                    <w:rPr>
                      <w:bCs/>
                      <w:color w:val="auto"/>
                      <w:sz w:val="21"/>
                      <w:szCs w:val="21"/>
                      <w:highlight w:val="none"/>
                    </w:rPr>
                  </w:pPr>
                </w:p>
              </w:tc>
              <w:tc>
                <w:tcPr>
                  <w:tcW w:w="1317" w:type="dxa"/>
                  <w:vAlign w:val="center"/>
                </w:tcPr>
                <w:p w14:paraId="61FF6005">
                  <w:pPr>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油烟</w:t>
                  </w:r>
                </w:p>
              </w:tc>
              <w:tc>
                <w:tcPr>
                  <w:tcW w:w="5200" w:type="dxa"/>
                  <w:vAlign w:val="center"/>
                </w:tcPr>
                <w:p w14:paraId="66BA505F">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油烟净化器及高于楼顶1.5m排气筒</w:t>
                  </w:r>
                </w:p>
              </w:tc>
              <w:tc>
                <w:tcPr>
                  <w:tcW w:w="1065" w:type="dxa"/>
                  <w:vAlign w:val="center"/>
                </w:tcPr>
                <w:p w14:paraId="76060B97">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依托原有</w:t>
                  </w:r>
                </w:p>
              </w:tc>
            </w:tr>
            <w:tr w14:paraId="4518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9" w:type="dxa"/>
                  <w:vMerge w:val="continue"/>
                  <w:vAlign w:val="center"/>
                </w:tcPr>
                <w:p w14:paraId="27CD0087">
                  <w:pPr>
                    <w:jc w:val="center"/>
                    <w:rPr>
                      <w:bCs/>
                      <w:color w:val="auto"/>
                      <w:sz w:val="21"/>
                      <w:szCs w:val="21"/>
                      <w:highlight w:val="none"/>
                    </w:rPr>
                  </w:pPr>
                </w:p>
              </w:tc>
              <w:tc>
                <w:tcPr>
                  <w:tcW w:w="1317" w:type="dxa"/>
                  <w:vAlign w:val="center"/>
                </w:tcPr>
                <w:p w14:paraId="68FA147A">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异味</w:t>
                  </w:r>
                </w:p>
              </w:tc>
              <w:tc>
                <w:tcPr>
                  <w:tcW w:w="5200" w:type="dxa"/>
                  <w:vAlign w:val="center"/>
                </w:tcPr>
                <w:p w14:paraId="2EB48781">
                  <w:pPr>
                    <w:adjustRightInd w:val="0"/>
                    <w:snapToGrid w:val="0"/>
                    <w:jc w:val="center"/>
                    <w:rPr>
                      <w:rFonts w:hint="default" w:eastAsia="宋体"/>
                      <w:bCs/>
                      <w:color w:val="auto"/>
                      <w:sz w:val="21"/>
                      <w:szCs w:val="21"/>
                      <w:highlight w:val="none"/>
                      <w:lang w:val="en-US" w:eastAsia="zh-CN"/>
                    </w:rPr>
                  </w:pPr>
                  <w:r>
                    <w:rPr>
                      <w:rFonts w:hint="eastAsia" w:cs="Times New Roman"/>
                      <w:color w:val="auto"/>
                      <w:kern w:val="0"/>
                      <w:sz w:val="21"/>
                      <w:szCs w:val="21"/>
                      <w:highlight w:val="none"/>
                      <w:lang w:val="en-US" w:eastAsia="zh-CN" w:bidi="ar"/>
                    </w:rPr>
                    <w:t>污水处理站喷洒除臭剂，化粪池地埋式设置</w:t>
                  </w:r>
                </w:p>
              </w:tc>
              <w:tc>
                <w:tcPr>
                  <w:tcW w:w="1065" w:type="dxa"/>
                  <w:vAlign w:val="center"/>
                </w:tcPr>
                <w:p w14:paraId="2689ECA5">
                  <w:pPr>
                    <w:jc w:val="center"/>
                    <w:rPr>
                      <w:rFonts w:hint="eastAsia"/>
                      <w:bCs/>
                      <w:color w:val="auto"/>
                      <w:sz w:val="21"/>
                      <w:szCs w:val="21"/>
                      <w:highlight w:val="none"/>
                    </w:rPr>
                  </w:pPr>
                  <w:r>
                    <w:rPr>
                      <w:rFonts w:hint="eastAsia"/>
                      <w:bCs/>
                      <w:color w:val="auto"/>
                      <w:sz w:val="21"/>
                      <w:szCs w:val="21"/>
                      <w:highlight w:val="none"/>
                      <w:lang w:val="en-US" w:eastAsia="zh-CN"/>
                    </w:rPr>
                    <w:t>依托原有</w:t>
                  </w:r>
                </w:p>
              </w:tc>
            </w:tr>
            <w:tr w14:paraId="48F7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9" w:type="dxa"/>
                  <w:vAlign w:val="center"/>
                </w:tcPr>
                <w:p w14:paraId="6D93C3B8">
                  <w:pPr>
                    <w:jc w:val="center"/>
                    <w:rPr>
                      <w:snapToGrid w:val="0"/>
                      <w:color w:val="auto"/>
                      <w:kern w:val="0"/>
                      <w:sz w:val="21"/>
                      <w:szCs w:val="21"/>
                      <w:highlight w:val="none"/>
                    </w:rPr>
                  </w:pPr>
                  <w:r>
                    <w:rPr>
                      <w:snapToGrid w:val="0"/>
                      <w:color w:val="auto"/>
                      <w:kern w:val="0"/>
                      <w:sz w:val="21"/>
                      <w:szCs w:val="21"/>
                      <w:highlight w:val="none"/>
                    </w:rPr>
                    <w:t>噪声</w:t>
                  </w:r>
                </w:p>
              </w:tc>
              <w:tc>
                <w:tcPr>
                  <w:tcW w:w="1317" w:type="dxa"/>
                  <w:vAlign w:val="center"/>
                </w:tcPr>
                <w:p w14:paraId="1A26FA73">
                  <w:pPr>
                    <w:jc w:val="center"/>
                    <w:rPr>
                      <w:snapToGrid w:val="0"/>
                      <w:color w:val="auto"/>
                      <w:kern w:val="0"/>
                      <w:sz w:val="21"/>
                      <w:szCs w:val="21"/>
                      <w:highlight w:val="none"/>
                    </w:rPr>
                  </w:pPr>
                  <w:r>
                    <w:rPr>
                      <w:snapToGrid w:val="0"/>
                      <w:color w:val="auto"/>
                      <w:kern w:val="0"/>
                      <w:sz w:val="21"/>
                      <w:szCs w:val="21"/>
                      <w:highlight w:val="none"/>
                    </w:rPr>
                    <w:t>噪声</w:t>
                  </w:r>
                </w:p>
              </w:tc>
              <w:tc>
                <w:tcPr>
                  <w:tcW w:w="5200" w:type="dxa"/>
                  <w:vAlign w:val="center"/>
                </w:tcPr>
                <w:p w14:paraId="78FFE8C3">
                  <w:pPr>
                    <w:jc w:val="center"/>
                    <w:rPr>
                      <w:rFonts w:hint="eastAsia"/>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基础减震、</w:t>
                  </w:r>
                  <w:r>
                    <w:rPr>
                      <w:rFonts w:hint="eastAsia" w:cs="Times New Roman"/>
                      <w:color w:val="auto"/>
                      <w:sz w:val="21"/>
                      <w:szCs w:val="21"/>
                      <w:highlight w:val="none"/>
                      <w:lang w:val="en-US" w:eastAsia="zh-CN"/>
                    </w:rPr>
                    <w:t>厂房隔声、距离衰减</w:t>
                  </w:r>
                </w:p>
              </w:tc>
              <w:tc>
                <w:tcPr>
                  <w:tcW w:w="1065" w:type="dxa"/>
                  <w:vAlign w:val="center"/>
                </w:tcPr>
                <w:p w14:paraId="19285C62">
                  <w:pPr>
                    <w:jc w:val="center"/>
                    <w:rPr>
                      <w:rFonts w:hint="default"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1.0</w:t>
                  </w:r>
                </w:p>
              </w:tc>
            </w:tr>
            <w:tr w14:paraId="0B24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restart"/>
                  <w:vAlign w:val="center"/>
                </w:tcPr>
                <w:p w14:paraId="536AED0F">
                  <w:pPr>
                    <w:jc w:val="center"/>
                    <w:rPr>
                      <w:snapToGrid w:val="0"/>
                      <w:color w:val="auto"/>
                      <w:kern w:val="0"/>
                      <w:sz w:val="21"/>
                      <w:szCs w:val="21"/>
                      <w:highlight w:val="none"/>
                    </w:rPr>
                  </w:pPr>
                  <w:r>
                    <w:rPr>
                      <w:snapToGrid w:val="0"/>
                      <w:color w:val="auto"/>
                      <w:kern w:val="0"/>
                      <w:sz w:val="21"/>
                      <w:szCs w:val="21"/>
                      <w:highlight w:val="none"/>
                    </w:rPr>
                    <w:t>固体废物</w:t>
                  </w:r>
                </w:p>
              </w:tc>
              <w:tc>
                <w:tcPr>
                  <w:tcW w:w="1317" w:type="dxa"/>
                  <w:vAlign w:val="center"/>
                </w:tcPr>
                <w:p w14:paraId="3C930EB2">
                  <w:pPr>
                    <w:adjustRightInd w:val="0"/>
                    <w:snapToGrid w:val="0"/>
                    <w:jc w:val="center"/>
                    <w:rPr>
                      <w:rFonts w:hint="eastAsia"/>
                      <w:color w:val="auto"/>
                      <w:sz w:val="21"/>
                      <w:szCs w:val="21"/>
                      <w:highlight w:val="none"/>
                    </w:rPr>
                  </w:pPr>
                  <w:r>
                    <w:rPr>
                      <w:color w:val="auto"/>
                      <w:sz w:val="21"/>
                      <w:szCs w:val="21"/>
                      <w:highlight w:val="none"/>
                    </w:rPr>
                    <w:t>生活</w:t>
                  </w:r>
                  <w:r>
                    <w:rPr>
                      <w:rFonts w:hint="eastAsia"/>
                      <w:color w:val="auto"/>
                      <w:sz w:val="21"/>
                      <w:szCs w:val="21"/>
                      <w:highlight w:val="none"/>
                    </w:rPr>
                    <w:t>垃圾</w:t>
                  </w:r>
                </w:p>
              </w:tc>
              <w:tc>
                <w:tcPr>
                  <w:tcW w:w="5200" w:type="dxa"/>
                  <w:vAlign w:val="center"/>
                </w:tcPr>
                <w:p w14:paraId="3E9BA4DF">
                  <w:pPr>
                    <w:jc w:val="center"/>
                    <w:rPr>
                      <w:snapToGrid w:val="0"/>
                      <w:color w:val="auto"/>
                      <w:kern w:val="0"/>
                      <w:sz w:val="21"/>
                      <w:szCs w:val="21"/>
                      <w:highlight w:val="none"/>
                    </w:rPr>
                  </w:pPr>
                  <w:r>
                    <w:rPr>
                      <w:rFonts w:hint="eastAsia"/>
                      <w:snapToGrid w:val="0"/>
                      <w:color w:val="auto"/>
                      <w:kern w:val="0"/>
                      <w:sz w:val="21"/>
                      <w:szCs w:val="21"/>
                      <w:highlight w:val="none"/>
                    </w:rPr>
                    <w:t>若干带盖</w:t>
                  </w:r>
                  <w:r>
                    <w:rPr>
                      <w:snapToGrid w:val="0"/>
                      <w:color w:val="auto"/>
                      <w:kern w:val="0"/>
                      <w:sz w:val="21"/>
                      <w:szCs w:val="21"/>
                      <w:highlight w:val="none"/>
                    </w:rPr>
                    <w:t>生活垃圾收集桶</w:t>
                  </w:r>
                </w:p>
              </w:tc>
              <w:tc>
                <w:tcPr>
                  <w:tcW w:w="1065" w:type="dxa"/>
                  <w:vAlign w:val="center"/>
                </w:tcPr>
                <w:p w14:paraId="4B4926FB">
                  <w:pPr>
                    <w:jc w:val="center"/>
                    <w:rPr>
                      <w:rFonts w:hint="eastAsia" w:eastAsia="宋体"/>
                      <w:snapToGrid w:val="0"/>
                      <w:color w:val="auto"/>
                      <w:kern w:val="0"/>
                      <w:sz w:val="21"/>
                      <w:szCs w:val="21"/>
                      <w:highlight w:val="none"/>
                      <w:lang w:eastAsia="zh-CN"/>
                    </w:rPr>
                  </w:pPr>
                  <w:r>
                    <w:rPr>
                      <w:rFonts w:hint="eastAsia"/>
                      <w:snapToGrid w:val="0"/>
                      <w:color w:val="auto"/>
                      <w:kern w:val="0"/>
                      <w:sz w:val="21"/>
                      <w:szCs w:val="21"/>
                      <w:highlight w:val="none"/>
                      <w:lang w:val="en-US" w:eastAsia="zh-CN"/>
                    </w:rPr>
                    <w:t>依托原有</w:t>
                  </w:r>
                </w:p>
              </w:tc>
            </w:tr>
            <w:tr w14:paraId="0C0E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9" w:type="dxa"/>
                  <w:vMerge w:val="continue"/>
                  <w:vAlign w:val="center"/>
                </w:tcPr>
                <w:p w14:paraId="5CFB636A">
                  <w:pPr>
                    <w:jc w:val="center"/>
                    <w:rPr>
                      <w:snapToGrid w:val="0"/>
                      <w:color w:val="auto"/>
                      <w:kern w:val="0"/>
                      <w:sz w:val="21"/>
                      <w:szCs w:val="21"/>
                      <w:highlight w:val="none"/>
                    </w:rPr>
                  </w:pPr>
                </w:p>
              </w:tc>
              <w:tc>
                <w:tcPr>
                  <w:tcW w:w="1317" w:type="dxa"/>
                  <w:vAlign w:val="center"/>
                </w:tcPr>
                <w:p w14:paraId="16EBEA6D">
                  <w:pPr>
                    <w:adjustRightInd w:val="0"/>
                    <w:snapToGrid w:val="0"/>
                    <w:jc w:val="center"/>
                    <w:rPr>
                      <w:rFonts w:hint="eastAsia" w:eastAsia="宋体"/>
                      <w:color w:val="auto"/>
                      <w:sz w:val="21"/>
                      <w:szCs w:val="21"/>
                      <w:highlight w:val="none"/>
                      <w:lang w:val="en-US" w:eastAsia="zh-CN"/>
                    </w:rPr>
                  </w:pPr>
                  <w:r>
                    <w:rPr>
                      <w:color w:val="auto"/>
                      <w:sz w:val="21"/>
                      <w:szCs w:val="21"/>
                      <w:highlight w:val="none"/>
                    </w:rPr>
                    <w:t>泔水</w:t>
                  </w:r>
                  <w:r>
                    <w:rPr>
                      <w:rFonts w:hint="eastAsia"/>
                      <w:color w:val="auto"/>
                      <w:sz w:val="21"/>
                      <w:szCs w:val="21"/>
                      <w:highlight w:val="none"/>
                      <w:lang w:val="en-US" w:eastAsia="zh-CN"/>
                    </w:rPr>
                    <w:t>及</w:t>
                  </w:r>
                  <w:r>
                    <w:rPr>
                      <w:color w:val="auto"/>
                      <w:sz w:val="21"/>
                      <w:szCs w:val="21"/>
                      <w:highlight w:val="none"/>
                    </w:rPr>
                    <w:t>废</w:t>
                  </w:r>
                  <w:r>
                    <w:rPr>
                      <w:rFonts w:hint="eastAsia"/>
                      <w:color w:val="auto"/>
                      <w:sz w:val="21"/>
                      <w:szCs w:val="21"/>
                      <w:highlight w:val="none"/>
                      <w:lang w:val="en-US" w:eastAsia="zh-CN"/>
                    </w:rPr>
                    <w:t>油脂</w:t>
                  </w:r>
                </w:p>
              </w:tc>
              <w:tc>
                <w:tcPr>
                  <w:tcW w:w="5200" w:type="dxa"/>
                  <w:vAlign w:val="center"/>
                </w:tcPr>
                <w:p w14:paraId="76342656">
                  <w:pPr>
                    <w:jc w:val="center"/>
                    <w:rPr>
                      <w:snapToGrid w:val="0"/>
                      <w:color w:val="auto"/>
                      <w:kern w:val="0"/>
                      <w:sz w:val="21"/>
                      <w:szCs w:val="21"/>
                      <w:highlight w:val="none"/>
                    </w:rPr>
                  </w:pPr>
                  <w:r>
                    <w:rPr>
                      <w:rFonts w:hint="eastAsia"/>
                      <w:snapToGrid w:val="0"/>
                      <w:color w:val="auto"/>
                      <w:kern w:val="0"/>
                      <w:sz w:val="21"/>
                      <w:szCs w:val="21"/>
                      <w:highlight w:val="none"/>
                      <w:lang w:val="en-US" w:eastAsia="zh-CN"/>
                    </w:rPr>
                    <w:t>4</w:t>
                  </w:r>
                  <w:r>
                    <w:rPr>
                      <w:rFonts w:hint="eastAsia"/>
                      <w:snapToGrid w:val="0"/>
                      <w:color w:val="auto"/>
                      <w:kern w:val="0"/>
                      <w:sz w:val="21"/>
                      <w:szCs w:val="21"/>
                      <w:highlight w:val="none"/>
                    </w:rPr>
                    <w:t>个带盖泔水</w:t>
                  </w:r>
                  <w:r>
                    <w:rPr>
                      <w:snapToGrid w:val="0"/>
                      <w:color w:val="auto"/>
                      <w:kern w:val="0"/>
                      <w:sz w:val="21"/>
                      <w:szCs w:val="21"/>
                      <w:highlight w:val="none"/>
                    </w:rPr>
                    <w:t>桶</w:t>
                  </w:r>
                </w:p>
              </w:tc>
              <w:tc>
                <w:tcPr>
                  <w:tcW w:w="1065" w:type="dxa"/>
                  <w:vAlign w:val="center"/>
                </w:tcPr>
                <w:p w14:paraId="46E07EEA">
                  <w:pPr>
                    <w:jc w:val="center"/>
                    <w:rPr>
                      <w:snapToGrid w:val="0"/>
                      <w:color w:val="auto"/>
                      <w:kern w:val="0"/>
                      <w:sz w:val="21"/>
                      <w:szCs w:val="21"/>
                      <w:highlight w:val="none"/>
                    </w:rPr>
                  </w:pPr>
                  <w:r>
                    <w:rPr>
                      <w:rFonts w:hint="eastAsia"/>
                      <w:snapToGrid w:val="0"/>
                      <w:color w:val="auto"/>
                      <w:kern w:val="0"/>
                      <w:sz w:val="21"/>
                      <w:szCs w:val="21"/>
                      <w:highlight w:val="none"/>
                      <w:lang w:val="en-US" w:eastAsia="zh-CN"/>
                    </w:rPr>
                    <w:t>依托原有</w:t>
                  </w:r>
                </w:p>
              </w:tc>
            </w:tr>
            <w:tr w14:paraId="52B7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9" w:type="dxa"/>
                  <w:vMerge w:val="continue"/>
                  <w:vAlign w:val="center"/>
                </w:tcPr>
                <w:p w14:paraId="67C7C5DF">
                  <w:pPr>
                    <w:jc w:val="center"/>
                    <w:rPr>
                      <w:snapToGrid w:val="0"/>
                      <w:color w:val="auto"/>
                      <w:kern w:val="0"/>
                      <w:sz w:val="21"/>
                      <w:szCs w:val="21"/>
                      <w:highlight w:val="none"/>
                    </w:rPr>
                  </w:pPr>
                </w:p>
              </w:tc>
              <w:tc>
                <w:tcPr>
                  <w:tcW w:w="1317" w:type="dxa"/>
                  <w:vAlign w:val="center"/>
                </w:tcPr>
                <w:p w14:paraId="517A9781">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危险废物</w:t>
                  </w:r>
                </w:p>
              </w:tc>
              <w:tc>
                <w:tcPr>
                  <w:tcW w:w="5200" w:type="dxa"/>
                  <w:vAlign w:val="center"/>
                </w:tcPr>
                <w:p w14:paraId="3F5561DB">
                  <w:pPr>
                    <w:jc w:val="center"/>
                    <w:rPr>
                      <w:rFonts w:hint="eastAsia"/>
                      <w:snapToGrid w:val="0"/>
                      <w:color w:val="auto"/>
                      <w:kern w:val="0"/>
                      <w:sz w:val="21"/>
                      <w:szCs w:val="21"/>
                      <w:highlight w:val="none"/>
                      <w:lang w:val="en-US" w:eastAsia="zh-CN"/>
                    </w:rPr>
                  </w:pPr>
                  <w:r>
                    <w:rPr>
                      <w:rFonts w:hint="eastAsia" w:cs="Times New Roman"/>
                      <w:color w:val="auto"/>
                      <w:sz w:val="21"/>
                      <w:szCs w:val="21"/>
                      <w:highlight w:val="none"/>
                      <w:lang w:val="en-US" w:eastAsia="zh-CN"/>
                    </w:rPr>
                    <w:t>1间10m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的危险废物暂存间，并设置危险废物收集容器</w:t>
                  </w:r>
                </w:p>
              </w:tc>
              <w:tc>
                <w:tcPr>
                  <w:tcW w:w="1065" w:type="dxa"/>
                  <w:vAlign w:val="center"/>
                </w:tcPr>
                <w:p w14:paraId="3CB9B22F">
                  <w:pPr>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依托原有</w:t>
                  </w:r>
                </w:p>
              </w:tc>
            </w:tr>
            <w:tr w14:paraId="6B2C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9" w:type="dxa"/>
                  <w:vMerge w:val="continue"/>
                  <w:vAlign w:val="center"/>
                </w:tcPr>
                <w:p w14:paraId="6C5C0E7B">
                  <w:pPr>
                    <w:jc w:val="center"/>
                    <w:rPr>
                      <w:snapToGrid w:val="0"/>
                      <w:color w:val="auto"/>
                      <w:kern w:val="0"/>
                      <w:sz w:val="21"/>
                      <w:szCs w:val="21"/>
                      <w:highlight w:val="none"/>
                    </w:rPr>
                  </w:pPr>
                </w:p>
              </w:tc>
              <w:tc>
                <w:tcPr>
                  <w:tcW w:w="1317" w:type="dxa"/>
                  <w:vAlign w:val="center"/>
                </w:tcPr>
                <w:p w14:paraId="0C07D687">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一般固废</w:t>
                  </w:r>
                </w:p>
              </w:tc>
              <w:tc>
                <w:tcPr>
                  <w:tcW w:w="5200" w:type="dxa"/>
                  <w:vAlign w:val="center"/>
                </w:tcPr>
                <w:p w14:paraId="70E6BA5E">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1处20m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的一般固废暂存处</w:t>
                  </w:r>
                </w:p>
              </w:tc>
              <w:tc>
                <w:tcPr>
                  <w:tcW w:w="1065" w:type="dxa"/>
                  <w:vAlign w:val="center"/>
                </w:tcPr>
                <w:p w14:paraId="2B650590">
                  <w:pPr>
                    <w:jc w:val="center"/>
                    <w:rPr>
                      <w:rFonts w:hint="eastAsia"/>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依托原有</w:t>
                  </w:r>
                </w:p>
              </w:tc>
            </w:tr>
            <w:tr w14:paraId="4510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046" w:type="dxa"/>
                  <w:gridSpan w:val="2"/>
                  <w:vAlign w:val="center"/>
                </w:tcPr>
                <w:p w14:paraId="75080F9A">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snapToGrid w:val="0"/>
                      <w:color w:val="auto"/>
                      <w:kern w:val="0"/>
                      <w:sz w:val="21"/>
                      <w:szCs w:val="21"/>
                      <w:highlight w:val="none"/>
                      <w:lang w:eastAsia="zh-CN"/>
                    </w:rPr>
                    <w:t>地下水、土壤</w:t>
                  </w:r>
                </w:p>
              </w:tc>
              <w:tc>
                <w:tcPr>
                  <w:tcW w:w="5200" w:type="dxa"/>
                  <w:vAlign w:val="center"/>
                </w:tcPr>
                <w:p w14:paraId="495AB856">
                  <w:pPr>
                    <w:keepNext w:val="0"/>
                    <w:keepLines w:val="0"/>
                    <w:widowControl/>
                    <w:suppressLineNumbers w:val="0"/>
                    <w:jc w:val="both"/>
                    <w:textAlignment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1间10m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的危化品库，</w:t>
                  </w:r>
                  <w:r>
                    <w:rPr>
                      <w:rFonts w:hint="eastAsia" w:ascii="Times New Roman" w:hAnsi="Times New Roman"/>
                      <w:caps w:val="0"/>
                      <w:smallCaps w:val="0"/>
                      <w:color w:val="auto"/>
                      <w:highlight w:val="none"/>
                      <w:lang w:val="en-US" w:eastAsia="zh-CN"/>
                    </w:rPr>
                    <w:t>采用“2mm厚双层HDPE人工合成衬层+混凝土防渗+涂覆环氧树脂”进行重点防渗，渗透系数≤10</w:t>
                  </w:r>
                  <w:r>
                    <w:rPr>
                      <w:rFonts w:hint="eastAsia" w:ascii="Times New Roman" w:hAnsi="Times New Roman"/>
                      <w:caps w:val="0"/>
                      <w:smallCaps w:val="0"/>
                      <w:color w:val="auto"/>
                      <w:highlight w:val="none"/>
                      <w:vertAlign w:val="superscript"/>
                      <w:lang w:val="en-US" w:eastAsia="zh-CN"/>
                    </w:rPr>
                    <w:t>-10</w:t>
                  </w:r>
                  <w:r>
                    <w:rPr>
                      <w:rFonts w:hint="eastAsia" w:ascii="Times New Roman" w:hAnsi="Times New Roman"/>
                      <w:caps w:val="0"/>
                      <w:smallCaps w:val="0"/>
                      <w:color w:val="auto"/>
                      <w:highlight w:val="none"/>
                      <w:lang w:val="en-US" w:eastAsia="zh-CN"/>
                    </w:rPr>
                    <w:t>cm/s。</w:t>
                  </w:r>
                </w:p>
              </w:tc>
              <w:tc>
                <w:tcPr>
                  <w:tcW w:w="1065" w:type="dxa"/>
                  <w:vAlign w:val="center"/>
                </w:tcPr>
                <w:p w14:paraId="3C90253D">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r>
            <w:tr w14:paraId="5AA8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29" w:type="dxa"/>
                  <w:vAlign w:val="center"/>
                </w:tcPr>
                <w:p w14:paraId="51ABC440">
                  <w:pPr>
                    <w:jc w:val="center"/>
                    <w:rPr>
                      <w:snapToGrid w:val="0"/>
                      <w:color w:val="auto"/>
                      <w:kern w:val="0"/>
                      <w:sz w:val="21"/>
                      <w:szCs w:val="21"/>
                      <w:highlight w:val="none"/>
                    </w:rPr>
                  </w:pPr>
                  <w:r>
                    <w:rPr>
                      <w:snapToGrid w:val="0"/>
                      <w:color w:val="auto"/>
                      <w:kern w:val="0"/>
                      <w:sz w:val="21"/>
                      <w:szCs w:val="21"/>
                      <w:highlight w:val="none"/>
                    </w:rPr>
                    <w:t>合计</w:t>
                  </w:r>
                </w:p>
              </w:tc>
              <w:tc>
                <w:tcPr>
                  <w:tcW w:w="1317" w:type="dxa"/>
                  <w:vAlign w:val="center"/>
                </w:tcPr>
                <w:p w14:paraId="442EE77B">
                  <w:pPr>
                    <w:jc w:val="center"/>
                    <w:rPr>
                      <w:snapToGrid w:val="0"/>
                      <w:color w:val="auto"/>
                      <w:kern w:val="0"/>
                      <w:sz w:val="21"/>
                      <w:szCs w:val="21"/>
                      <w:highlight w:val="none"/>
                    </w:rPr>
                  </w:pPr>
                  <w:r>
                    <w:rPr>
                      <w:snapToGrid w:val="0"/>
                      <w:color w:val="auto"/>
                      <w:kern w:val="0"/>
                      <w:sz w:val="21"/>
                      <w:szCs w:val="21"/>
                      <w:highlight w:val="none"/>
                    </w:rPr>
                    <w:t>/</w:t>
                  </w:r>
                </w:p>
              </w:tc>
              <w:tc>
                <w:tcPr>
                  <w:tcW w:w="5200" w:type="dxa"/>
                  <w:vAlign w:val="center"/>
                </w:tcPr>
                <w:p w14:paraId="528DC369">
                  <w:pPr>
                    <w:jc w:val="center"/>
                    <w:rPr>
                      <w:snapToGrid w:val="0"/>
                      <w:color w:val="auto"/>
                      <w:kern w:val="0"/>
                      <w:sz w:val="21"/>
                      <w:szCs w:val="21"/>
                      <w:highlight w:val="none"/>
                    </w:rPr>
                  </w:pPr>
                  <w:r>
                    <w:rPr>
                      <w:snapToGrid w:val="0"/>
                      <w:color w:val="auto"/>
                      <w:kern w:val="0"/>
                      <w:sz w:val="21"/>
                      <w:szCs w:val="21"/>
                      <w:highlight w:val="none"/>
                    </w:rPr>
                    <w:t>/</w:t>
                  </w:r>
                </w:p>
              </w:tc>
              <w:tc>
                <w:tcPr>
                  <w:tcW w:w="1065" w:type="dxa"/>
                  <w:vAlign w:val="center"/>
                </w:tcPr>
                <w:p w14:paraId="1EA53D56">
                  <w:pPr>
                    <w:jc w:val="center"/>
                    <w:rPr>
                      <w:rFonts w:hint="default"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42</w:t>
                  </w:r>
                </w:p>
              </w:tc>
            </w:tr>
          </w:tbl>
          <w:p w14:paraId="7B562733">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w:t>
            </w:r>
            <w:r>
              <w:rPr>
                <w:rFonts w:hint="eastAsia" w:ascii="Times New Roman" w:hAnsi="Times New Roman"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val="en-US" w:eastAsia="zh-CN"/>
              </w:rPr>
              <w:t>、水平衡</w:t>
            </w:r>
          </w:p>
          <w:p w14:paraId="2A7378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项目运营期用水主要为生活用水和生产用水，</w:t>
            </w:r>
            <w:r>
              <w:rPr>
                <w:rFonts w:hint="eastAsia" w:cs="Times New Roman"/>
                <w:color w:val="auto"/>
                <w:sz w:val="24"/>
                <w:szCs w:val="24"/>
                <w:highlight w:val="none"/>
                <w:lang w:val="zh-CN"/>
              </w:rPr>
              <w:t>生产用水</w:t>
            </w:r>
            <w:r>
              <w:rPr>
                <w:rFonts w:hint="default" w:ascii="Times New Roman" w:hAnsi="Times New Roman" w:eastAsia="宋体" w:cs="Times New Roman"/>
                <w:color w:val="auto"/>
                <w:sz w:val="24"/>
                <w:szCs w:val="24"/>
                <w:highlight w:val="none"/>
                <w:lang w:val="en-US" w:eastAsia="zh-CN"/>
              </w:rPr>
              <w:t>主要包括弱酸液配制用水、</w:t>
            </w:r>
            <w:r>
              <w:rPr>
                <w:rFonts w:hint="eastAsia" w:cs="Times New Roman"/>
                <w:color w:val="auto"/>
                <w:sz w:val="24"/>
                <w:szCs w:val="24"/>
                <w:highlight w:val="none"/>
                <w:lang w:val="en-US" w:eastAsia="zh-CN"/>
              </w:rPr>
              <w:t>预水洗用水、二次清洗</w:t>
            </w:r>
            <w:r>
              <w:rPr>
                <w:rFonts w:hint="default" w:ascii="Times New Roman" w:hAnsi="Times New Roman" w:eastAsia="宋体" w:cs="Times New Roman"/>
                <w:color w:val="auto"/>
                <w:sz w:val="24"/>
                <w:szCs w:val="24"/>
                <w:highlight w:val="none"/>
                <w:lang w:val="en-US" w:eastAsia="zh-CN"/>
              </w:rPr>
              <w:t>用水、碱洗塔用水、磨边清洗</w:t>
            </w:r>
            <w:r>
              <w:rPr>
                <w:rFonts w:hint="eastAsia" w:cs="Times New Roman"/>
                <w:color w:val="auto"/>
                <w:sz w:val="24"/>
                <w:szCs w:val="24"/>
                <w:highlight w:val="none"/>
                <w:lang w:val="en-US" w:eastAsia="zh-CN"/>
              </w:rPr>
              <w:t>用</w:t>
            </w:r>
            <w:r>
              <w:rPr>
                <w:rFonts w:hint="default" w:ascii="Times New Roman" w:hAnsi="Times New Roman" w:eastAsia="宋体" w:cs="Times New Roman"/>
                <w:color w:val="auto"/>
                <w:sz w:val="24"/>
                <w:szCs w:val="24"/>
                <w:highlight w:val="none"/>
                <w:lang w:val="en-US" w:eastAsia="zh-CN"/>
              </w:rPr>
              <w:t>水等。</w:t>
            </w:r>
            <w:r>
              <w:rPr>
                <w:rFonts w:hint="default" w:ascii="Times New Roman" w:hAnsi="Times New Roman" w:eastAsia="宋体" w:cs="Times New Roman"/>
                <w:color w:val="auto"/>
                <w:sz w:val="24"/>
                <w:szCs w:val="24"/>
                <w:highlight w:val="none"/>
                <w:lang w:val="zh-CN"/>
              </w:rPr>
              <w:t>项目</w:t>
            </w:r>
            <w:r>
              <w:rPr>
                <w:rFonts w:hint="default" w:ascii="Times New Roman" w:hAnsi="Times New Roman" w:eastAsia="宋体" w:cs="Times New Roman"/>
                <w:color w:val="auto"/>
                <w:sz w:val="24"/>
                <w:szCs w:val="24"/>
                <w:highlight w:val="none"/>
                <w:lang w:val="en-US" w:eastAsia="zh-CN"/>
              </w:rPr>
              <w:t>用水定额根据业主资料、</w:t>
            </w:r>
            <w:r>
              <w:rPr>
                <w:rFonts w:hint="default" w:ascii="Times New Roman" w:hAnsi="Times New Roman" w:eastAsia="宋体" w:cs="Times New Roman"/>
                <w:color w:val="auto"/>
                <w:sz w:val="24"/>
                <w:szCs w:val="24"/>
                <w:highlight w:val="none"/>
                <w:lang w:val="zh-CN"/>
              </w:rPr>
              <w:t>取值参照《云南省用水定额》（DB53/T168-2019）</w:t>
            </w:r>
            <w:r>
              <w:rPr>
                <w:rFonts w:hint="default" w:ascii="Times New Roman" w:hAnsi="Times New Roman" w:eastAsia="宋体" w:cs="Times New Roman"/>
                <w:color w:val="auto"/>
                <w:sz w:val="24"/>
                <w:szCs w:val="24"/>
                <w:highlight w:val="none"/>
                <w:lang w:val="en-US" w:eastAsia="zh-CN"/>
              </w:rPr>
              <w:t>及类比同类项目确定。</w:t>
            </w:r>
          </w:p>
          <w:p w14:paraId="77742D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（1）本扩建项目用排水</w:t>
            </w:r>
          </w:p>
          <w:p w14:paraId="4D9F5B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1）生活用水</w:t>
            </w:r>
          </w:p>
          <w:p w14:paraId="4D3184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①住宿职工生活用水</w:t>
            </w:r>
          </w:p>
          <w:p w14:paraId="3DD2A3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highlight w:val="none"/>
              </w:rPr>
            </w:pPr>
            <w:r>
              <w:rPr>
                <w:rFonts w:hint="eastAsia"/>
                <w:color w:val="auto"/>
                <w:sz w:val="24"/>
                <w:szCs w:val="22"/>
                <w:highlight w:val="none"/>
                <w:lang w:eastAsia="zh-CN"/>
              </w:rPr>
              <w:t>本扩建项目</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新增</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工作人员20人，</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有10人在项目区住宿、20人在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项目区</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用餐</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，年工作300天，用水主要为食堂用水和其它办公生活用水。根据《云南省地方标准用水定额》（DB53/T168-2019）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w:t>
            </w:r>
            <w:r>
              <w:rPr>
                <w:rFonts w:hint="eastAsia"/>
                <w:color w:val="auto"/>
                <w:sz w:val="24"/>
                <w:szCs w:val="24"/>
                <w:highlight w:val="none"/>
                <w:lang w:val="en-US" w:eastAsia="zh-CN"/>
              </w:rPr>
              <w:t>住宿职工生活用水</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定额按100L/（人·d）计，则</w:t>
            </w:r>
            <w:r>
              <w:rPr>
                <w:rFonts w:hint="eastAsia"/>
                <w:color w:val="auto"/>
                <w:sz w:val="24"/>
                <w:szCs w:val="24"/>
                <w:highlight w:val="none"/>
                <w:lang w:val="en-US" w:eastAsia="zh-CN"/>
              </w:rPr>
              <w:t>住宿职工生活用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水量为</w:t>
            </w:r>
            <w:r>
              <w:rPr>
                <w:rFonts w:hint="eastAsia"/>
                <w:color w:val="auto"/>
                <w:sz w:val="24"/>
                <w:szCs w:val="22"/>
                <w:highlight w:val="none"/>
                <w:lang w:val="en-US" w:eastAsia="zh-CN"/>
              </w:rPr>
              <w:t>1</w:t>
            </w:r>
            <w:r>
              <w:rPr>
                <w:rFonts w:hint="eastAsia"/>
                <w:color w:val="auto"/>
                <w:sz w:val="24"/>
                <w:szCs w:val="22"/>
                <w:highlight w:val="none"/>
              </w:rPr>
              <w:t>.0m</w:t>
            </w:r>
            <w:r>
              <w:rPr>
                <w:rFonts w:hint="eastAsia"/>
                <w:color w:val="auto"/>
                <w:sz w:val="24"/>
                <w:szCs w:val="22"/>
                <w:highlight w:val="none"/>
                <w:vertAlign w:val="superscript"/>
              </w:rPr>
              <w:t>3</w:t>
            </w:r>
            <w:r>
              <w:rPr>
                <w:rFonts w:hint="eastAsia"/>
                <w:color w:val="auto"/>
                <w:sz w:val="24"/>
                <w:szCs w:val="22"/>
                <w:highlight w:val="none"/>
              </w:rPr>
              <w:t>/d，</w:t>
            </w:r>
            <w:r>
              <w:rPr>
                <w:rFonts w:hint="eastAsia"/>
                <w:color w:val="auto"/>
                <w:sz w:val="24"/>
                <w:szCs w:val="22"/>
                <w:highlight w:val="none"/>
                <w:lang w:val="en-US" w:eastAsia="zh-CN"/>
              </w:rPr>
              <w:t>3</w:t>
            </w:r>
            <w:r>
              <w:rPr>
                <w:rFonts w:hint="eastAsia"/>
                <w:color w:val="auto"/>
                <w:sz w:val="24"/>
                <w:szCs w:val="22"/>
                <w:highlight w:val="none"/>
              </w:rPr>
              <w:t>00m</w:t>
            </w:r>
            <w:r>
              <w:rPr>
                <w:rFonts w:hint="eastAsia"/>
                <w:color w:val="auto"/>
                <w:sz w:val="24"/>
                <w:szCs w:val="22"/>
                <w:highlight w:val="none"/>
                <w:vertAlign w:val="superscript"/>
              </w:rPr>
              <w:t>3</w:t>
            </w:r>
            <w:r>
              <w:rPr>
                <w:rFonts w:hint="eastAsia"/>
                <w:color w:val="auto"/>
                <w:sz w:val="24"/>
                <w:szCs w:val="22"/>
                <w:highlight w:val="none"/>
              </w:rPr>
              <w:t>/a</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w:t>
            </w:r>
            <w:r>
              <w:rPr>
                <w:rFonts w:hint="eastAsia" w:eastAsia="宋体"/>
                <w:color w:val="auto"/>
                <w:sz w:val="24"/>
                <w:highlight w:val="none"/>
                <w:lang w:eastAsia="zh-CN"/>
              </w:rPr>
              <w:t>生活污水</w:t>
            </w:r>
            <w:r>
              <w:rPr>
                <w:rFonts w:hint="default"/>
                <w:color w:val="auto"/>
                <w:sz w:val="24"/>
                <w:highlight w:val="none"/>
              </w:rPr>
              <w:t>产生量按用水量的80%计，则</w:t>
            </w:r>
            <w:r>
              <w:rPr>
                <w:rFonts w:hint="eastAsia"/>
                <w:color w:val="auto"/>
                <w:sz w:val="24"/>
                <w:highlight w:val="none"/>
                <w:lang w:eastAsia="zh-CN"/>
              </w:rPr>
              <w:t>住宿职工生活污水产生</w:t>
            </w:r>
            <w:r>
              <w:rPr>
                <w:rFonts w:hint="default"/>
                <w:color w:val="auto"/>
                <w:sz w:val="24"/>
                <w:highlight w:val="none"/>
              </w:rPr>
              <w:t>量为</w:t>
            </w:r>
            <w:r>
              <w:rPr>
                <w:rFonts w:hint="eastAsia"/>
                <w:color w:val="auto"/>
                <w:sz w:val="24"/>
                <w:highlight w:val="none"/>
                <w:lang w:val="en-US" w:eastAsia="zh-CN"/>
              </w:rPr>
              <w:t>0.8</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lang w:val="en-US" w:eastAsia="zh-CN"/>
              </w:rPr>
              <w:t>240</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/a。</w:t>
            </w:r>
          </w:p>
          <w:p w14:paraId="4C1CC8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②不住宿职工生活用水</w:t>
            </w:r>
          </w:p>
          <w:p w14:paraId="44EEC2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highlight w:val="none"/>
              </w:rPr>
            </w:pPr>
            <w:r>
              <w:rPr>
                <w:rFonts w:hint="eastAsia"/>
                <w:color w:val="auto"/>
                <w:sz w:val="24"/>
                <w:szCs w:val="24"/>
                <w:highlight w:val="none"/>
                <w:lang w:val="en-US" w:eastAsia="zh-CN"/>
              </w:rPr>
              <w:t>本扩建项目</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有10人仅</w:t>
            </w:r>
            <w:r>
              <w:rPr>
                <w:rFonts w:hint="eastAsia"/>
                <w:color w:val="auto"/>
                <w:sz w:val="24"/>
                <w:szCs w:val="24"/>
                <w:highlight w:val="none"/>
                <w:lang w:val="en-US" w:eastAsia="zh-CN"/>
              </w:rPr>
              <w:t>在项目区就餐，</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不在项目区住宿</w:t>
            </w:r>
            <w:r>
              <w:rPr>
                <w:rFonts w:hint="eastAsia"/>
                <w:color w:val="auto"/>
                <w:sz w:val="24"/>
                <w:szCs w:val="24"/>
                <w:highlight w:val="none"/>
                <w:lang w:val="en-US" w:eastAsia="zh-CN"/>
              </w:rPr>
              <w:t>。根据《云南省地方标准用水定额》 (DB53/T168-2019) “国家行政机构 办公楼 有食堂”用水量按 50L/ (人·d) 计，则本扩建项目不住宿职工生活用水量为0.5</w:t>
            </w:r>
            <w:r>
              <w:rPr>
                <w:rFonts w:hint="eastAsia"/>
                <w:color w:val="auto"/>
                <w:sz w:val="24"/>
                <w:szCs w:val="22"/>
                <w:highlight w:val="none"/>
              </w:rPr>
              <w:t>m</w:t>
            </w:r>
            <w:r>
              <w:rPr>
                <w:rFonts w:hint="eastAsia"/>
                <w:color w:val="auto"/>
                <w:sz w:val="24"/>
                <w:szCs w:val="22"/>
                <w:highlight w:val="none"/>
                <w:vertAlign w:val="superscript"/>
              </w:rPr>
              <w:t>3</w:t>
            </w:r>
            <w:r>
              <w:rPr>
                <w:rFonts w:hint="eastAsia"/>
                <w:color w:val="auto"/>
                <w:sz w:val="24"/>
                <w:szCs w:val="22"/>
                <w:highlight w:val="none"/>
              </w:rPr>
              <w:t>/d，</w:t>
            </w:r>
            <w:r>
              <w:rPr>
                <w:rFonts w:hint="eastAsia"/>
                <w:color w:val="auto"/>
                <w:sz w:val="24"/>
                <w:szCs w:val="22"/>
                <w:highlight w:val="none"/>
                <w:lang w:val="en-US" w:eastAsia="zh-CN"/>
              </w:rPr>
              <w:t>150</w:t>
            </w:r>
            <w:r>
              <w:rPr>
                <w:rFonts w:hint="eastAsia"/>
                <w:color w:val="auto"/>
                <w:sz w:val="24"/>
                <w:szCs w:val="22"/>
                <w:highlight w:val="none"/>
              </w:rPr>
              <w:t>m</w:t>
            </w:r>
            <w:r>
              <w:rPr>
                <w:rFonts w:hint="eastAsia"/>
                <w:color w:val="auto"/>
                <w:sz w:val="24"/>
                <w:szCs w:val="22"/>
                <w:highlight w:val="none"/>
                <w:vertAlign w:val="superscript"/>
              </w:rPr>
              <w:t>3</w:t>
            </w:r>
            <w:r>
              <w:rPr>
                <w:rFonts w:hint="eastAsia"/>
                <w:color w:val="auto"/>
                <w:sz w:val="24"/>
                <w:szCs w:val="22"/>
                <w:highlight w:val="none"/>
              </w:rPr>
              <w:t>/a</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w:t>
            </w:r>
            <w:r>
              <w:rPr>
                <w:rFonts w:hint="eastAsia" w:eastAsia="宋体"/>
                <w:color w:val="auto"/>
                <w:sz w:val="24"/>
                <w:highlight w:val="none"/>
                <w:lang w:eastAsia="zh-CN"/>
              </w:rPr>
              <w:t>生活污水</w:t>
            </w:r>
            <w:r>
              <w:rPr>
                <w:rFonts w:hint="default"/>
                <w:color w:val="auto"/>
                <w:sz w:val="24"/>
                <w:highlight w:val="none"/>
              </w:rPr>
              <w:t>产生量按用水量的80%计，则</w:t>
            </w:r>
            <w:r>
              <w:rPr>
                <w:rFonts w:hint="eastAsia"/>
                <w:color w:val="auto"/>
                <w:sz w:val="24"/>
                <w:highlight w:val="none"/>
                <w:lang w:eastAsia="zh-CN"/>
              </w:rPr>
              <w:t>不住宿职工生活污水产生</w:t>
            </w:r>
            <w:r>
              <w:rPr>
                <w:rFonts w:hint="default"/>
                <w:color w:val="auto"/>
                <w:sz w:val="24"/>
                <w:highlight w:val="none"/>
              </w:rPr>
              <w:t>量为</w:t>
            </w:r>
            <w:r>
              <w:rPr>
                <w:rFonts w:hint="eastAsia"/>
                <w:color w:val="auto"/>
                <w:sz w:val="24"/>
                <w:highlight w:val="none"/>
                <w:lang w:val="en-US" w:eastAsia="zh-CN"/>
              </w:rPr>
              <w:t>0.4</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lang w:val="en-US" w:eastAsia="zh-CN"/>
              </w:rPr>
              <w:t>120</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/a。</w:t>
            </w:r>
          </w:p>
          <w:p w14:paraId="58A039C2">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③食堂用水</w:t>
            </w:r>
          </w:p>
          <w:p w14:paraId="234395CD">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ascii="Times New Roman" w:hAnsi="Times New Roman" w:eastAsia="宋体" w:cs="Times New Roman"/>
                <w:caps w:val="0"/>
                <w:smallCaps w:val="0"/>
                <w:color w:val="auto"/>
                <w:kern w:val="2"/>
                <w:sz w:val="24"/>
                <w:szCs w:val="24"/>
                <w:highlight w:val="none"/>
                <w:lang w:val="en-US" w:eastAsia="zh-CN" w:bidi="ar-SA"/>
              </w:rPr>
            </w:pPr>
            <w:r>
              <w:rPr>
                <w:rFonts w:hint="eastAsia" w:ascii="Times New Roman" w:hAnsi="Times New Roman"/>
                <w:caps w:val="0"/>
                <w:smallCaps w:val="0"/>
                <w:color w:val="auto"/>
                <w:sz w:val="24"/>
                <w:highlight w:val="none"/>
                <w:lang w:eastAsia="zh-CN"/>
              </w:rPr>
              <w:t>本扩建项目职工</w:t>
            </w:r>
            <w:r>
              <w:rPr>
                <w:rFonts w:hint="eastAsia" w:ascii="Times New Roman" w:hAnsi="Times New Roman"/>
                <w:caps w:val="0"/>
                <w:smallCaps w:val="0"/>
                <w:color w:val="auto"/>
                <w:sz w:val="24"/>
                <w:highlight w:val="none"/>
                <w:lang w:val="en-US" w:eastAsia="zh-CN"/>
              </w:rPr>
              <w:t>生活用水量为1.5</w:t>
            </w:r>
            <w:r>
              <w:rPr>
                <w:rFonts w:hint="eastAsia" w:ascii="Times New Roman" w:hAnsi="Times New Roman"/>
                <w:caps w:val="0"/>
                <w:smallCaps w:val="0"/>
                <w:color w:val="auto"/>
                <w:sz w:val="24"/>
                <w:highlight w:val="none"/>
                <w:lang w:eastAsia="zh-CN"/>
              </w:rPr>
              <w:t>m</w:t>
            </w:r>
            <w:r>
              <w:rPr>
                <w:rFonts w:hint="eastAsia" w:ascii="Times New Roman" w:hAnsi="Times New Roman"/>
                <w:caps w:val="0"/>
                <w:smallCaps w:val="0"/>
                <w:color w:val="auto"/>
                <w:sz w:val="24"/>
                <w:highlight w:val="none"/>
                <w:vertAlign w:val="superscript"/>
                <w:lang w:eastAsia="zh-CN"/>
              </w:rPr>
              <w:t>3</w:t>
            </w:r>
            <w:r>
              <w:rPr>
                <w:rFonts w:hint="eastAsia" w:ascii="Times New Roman" w:hAnsi="Times New Roman"/>
                <w:caps w:val="0"/>
                <w:smallCaps w:val="0"/>
                <w:color w:val="auto"/>
                <w:sz w:val="24"/>
                <w:highlight w:val="none"/>
                <w:lang w:eastAsia="zh-CN"/>
              </w:rPr>
              <w:t>/d、</w:t>
            </w:r>
            <w:r>
              <w:rPr>
                <w:rFonts w:hint="eastAsia" w:ascii="Times New Roman" w:hAnsi="Times New Roman"/>
                <w:caps w:val="0"/>
                <w:smallCaps w:val="0"/>
                <w:color w:val="auto"/>
                <w:sz w:val="24"/>
                <w:highlight w:val="none"/>
                <w:lang w:val="en-US" w:eastAsia="zh-CN"/>
              </w:rPr>
              <w:t>450</w:t>
            </w:r>
            <w:r>
              <w:rPr>
                <w:rFonts w:hint="eastAsia" w:ascii="Times New Roman" w:hAnsi="Times New Roman"/>
                <w:caps w:val="0"/>
                <w:smallCaps w:val="0"/>
                <w:color w:val="auto"/>
                <w:sz w:val="24"/>
                <w:highlight w:val="none"/>
                <w:lang w:eastAsia="zh-CN"/>
              </w:rPr>
              <w:t>m</w:t>
            </w:r>
            <w:r>
              <w:rPr>
                <w:rFonts w:hint="eastAsia" w:ascii="Times New Roman" w:hAnsi="Times New Roman"/>
                <w:caps w:val="0"/>
                <w:smallCaps w:val="0"/>
                <w:color w:val="auto"/>
                <w:sz w:val="24"/>
                <w:highlight w:val="none"/>
                <w:vertAlign w:val="superscript"/>
                <w:lang w:eastAsia="zh-CN"/>
              </w:rPr>
              <w:t>3</w:t>
            </w:r>
            <w:r>
              <w:rPr>
                <w:rFonts w:hint="eastAsia" w:ascii="Times New Roman" w:hAnsi="Times New Roman"/>
                <w:caps w:val="0"/>
                <w:smallCaps w:val="0"/>
                <w:color w:val="auto"/>
                <w:sz w:val="24"/>
                <w:highlight w:val="none"/>
                <w:lang w:eastAsia="zh-CN"/>
              </w:rPr>
              <w:t>/a</w:t>
            </w:r>
            <w:r>
              <w:rPr>
                <w:rFonts w:hint="eastAsia" w:ascii="Times New Roman" w:hAnsi="Times New Roman"/>
                <w:caps w:val="0"/>
                <w:smallCaps w:val="0"/>
                <w:color w:val="auto"/>
                <w:sz w:val="24"/>
                <w:highlight w:val="none"/>
                <w:lang w:val="en-US" w:eastAsia="zh-CN"/>
              </w:rPr>
              <w:t>，其中</w:t>
            </w:r>
            <w:r>
              <w:rPr>
                <w:rFonts w:hint="eastAsia" w:ascii="Times New Roman" w:hAnsi="Times New Roman"/>
                <w:caps w:val="0"/>
                <w:smallCaps w:val="0"/>
                <w:color w:val="auto"/>
                <w:sz w:val="24"/>
                <w:highlight w:val="none"/>
                <w:lang w:eastAsia="zh-CN"/>
              </w:rPr>
              <w:t>食堂用水量占生活用水量的20%，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其他办公生活用水占80%，</w:t>
            </w:r>
            <w:r>
              <w:rPr>
                <w:rFonts w:hint="eastAsia" w:ascii="Times New Roman" w:hAnsi="Times New Roman"/>
                <w:caps w:val="0"/>
                <w:smallCaps w:val="0"/>
                <w:color w:val="auto"/>
                <w:sz w:val="24"/>
                <w:highlight w:val="none"/>
                <w:lang w:eastAsia="zh-CN"/>
              </w:rPr>
              <w:t>则食堂用水量为</w:t>
            </w:r>
            <w:r>
              <w:rPr>
                <w:rFonts w:hint="eastAsia" w:ascii="Times New Roman" w:hAnsi="Times New Roman"/>
                <w:caps w:val="0"/>
                <w:smallCaps w:val="0"/>
                <w:color w:val="auto"/>
                <w:sz w:val="24"/>
                <w:highlight w:val="none"/>
                <w:lang w:val="en-US" w:eastAsia="zh-CN"/>
              </w:rPr>
              <w:t>0.3</w:t>
            </w:r>
            <w:r>
              <w:rPr>
                <w:rFonts w:hint="eastAsia" w:ascii="Times New Roman" w:hAnsi="Times New Roman"/>
                <w:caps w:val="0"/>
                <w:smallCaps w:val="0"/>
                <w:color w:val="auto"/>
                <w:sz w:val="24"/>
                <w:highlight w:val="none"/>
                <w:lang w:eastAsia="zh-CN"/>
              </w:rPr>
              <w:t>m</w:t>
            </w:r>
            <w:r>
              <w:rPr>
                <w:rFonts w:hint="eastAsia" w:ascii="Times New Roman" w:hAnsi="Times New Roman"/>
                <w:caps w:val="0"/>
                <w:smallCaps w:val="0"/>
                <w:color w:val="auto"/>
                <w:sz w:val="24"/>
                <w:highlight w:val="none"/>
                <w:vertAlign w:val="superscript"/>
                <w:lang w:eastAsia="zh-CN"/>
              </w:rPr>
              <w:t>3</w:t>
            </w:r>
            <w:r>
              <w:rPr>
                <w:rFonts w:hint="eastAsia" w:ascii="Times New Roman" w:hAnsi="Times New Roman"/>
                <w:caps w:val="0"/>
                <w:smallCaps w:val="0"/>
                <w:color w:val="auto"/>
                <w:sz w:val="24"/>
                <w:highlight w:val="none"/>
                <w:lang w:eastAsia="zh-CN"/>
              </w:rPr>
              <w:t>/d、</w:t>
            </w:r>
            <w:r>
              <w:rPr>
                <w:rFonts w:hint="eastAsia" w:ascii="Times New Roman" w:hAnsi="Times New Roman"/>
                <w:caps w:val="0"/>
                <w:smallCaps w:val="0"/>
                <w:color w:val="auto"/>
                <w:sz w:val="24"/>
                <w:highlight w:val="none"/>
                <w:lang w:val="en-US" w:eastAsia="zh-CN"/>
              </w:rPr>
              <w:t>90</w:t>
            </w:r>
            <w:r>
              <w:rPr>
                <w:rFonts w:hint="eastAsia" w:ascii="Times New Roman" w:hAnsi="Times New Roman"/>
                <w:caps w:val="0"/>
                <w:smallCaps w:val="0"/>
                <w:color w:val="auto"/>
                <w:sz w:val="24"/>
                <w:highlight w:val="none"/>
                <w:lang w:eastAsia="zh-CN"/>
              </w:rPr>
              <w:t>m</w:t>
            </w:r>
            <w:r>
              <w:rPr>
                <w:rFonts w:hint="eastAsia" w:ascii="Times New Roman" w:hAnsi="Times New Roman"/>
                <w:caps w:val="0"/>
                <w:smallCaps w:val="0"/>
                <w:color w:val="auto"/>
                <w:sz w:val="24"/>
                <w:highlight w:val="none"/>
                <w:vertAlign w:val="superscript"/>
                <w:lang w:eastAsia="zh-CN"/>
              </w:rPr>
              <w:t>3</w:t>
            </w:r>
            <w:r>
              <w:rPr>
                <w:rFonts w:hint="eastAsia" w:ascii="Times New Roman" w:hAnsi="Times New Roman"/>
                <w:caps w:val="0"/>
                <w:smallCaps w:val="0"/>
                <w:color w:val="auto"/>
                <w:sz w:val="24"/>
                <w:highlight w:val="none"/>
                <w:lang w:eastAsia="zh-CN"/>
              </w:rPr>
              <w:t>/a</w:t>
            </w:r>
            <w:r>
              <w:rPr>
                <w:rFonts w:hint="eastAsia" w:ascii="Times New Roman" w:hAnsi="Times New Roman" w:eastAsia="宋体" w:cs="Times New Roman"/>
                <w:caps w:val="0"/>
                <w:smallCaps w:val="0"/>
                <w:color w:val="auto"/>
                <w:kern w:val="2"/>
                <w:sz w:val="24"/>
                <w:szCs w:val="24"/>
                <w:highlight w:val="none"/>
                <w:lang w:val="en-US" w:eastAsia="zh-CN" w:bidi="ar-SA"/>
              </w:rPr>
              <w:t>，食堂废水量为0.24m</w:t>
            </w:r>
            <w:r>
              <w:rPr>
                <w:rFonts w:hint="eastAsia" w:ascii="Times New Roman" w:hAnsi="Times New Roman" w:eastAsia="宋体" w:cs="Times New Roman"/>
                <w:caps w:val="0"/>
                <w:smallCaps w:val="0"/>
                <w:color w:val="auto"/>
                <w:kern w:val="2"/>
                <w:sz w:val="24"/>
                <w:szCs w:val="24"/>
                <w:highlight w:val="none"/>
                <w:vertAlign w:val="superscript"/>
                <w:lang w:val="en-US" w:eastAsia="zh-CN" w:bidi="ar-SA"/>
              </w:rPr>
              <w:t>3</w:t>
            </w:r>
            <w:r>
              <w:rPr>
                <w:rFonts w:hint="eastAsia" w:ascii="Times New Roman" w:hAnsi="Times New Roman" w:eastAsia="宋体" w:cs="Times New Roman"/>
                <w:caps w:val="0"/>
                <w:smallCaps w:val="0"/>
                <w:color w:val="auto"/>
                <w:kern w:val="2"/>
                <w:sz w:val="24"/>
                <w:szCs w:val="24"/>
                <w:highlight w:val="none"/>
                <w:lang w:val="en-US" w:eastAsia="zh-CN" w:bidi="ar-SA"/>
              </w:rPr>
              <w:t>/d，72m</w:t>
            </w:r>
            <w:r>
              <w:rPr>
                <w:rFonts w:hint="eastAsia" w:ascii="Times New Roman" w:hAnsi="Times New Roman" w:eastAsia="宋体" w:cs="Times New Roman"/>
                <w:caps w:val="0"/>
                <w:smallCaps w:val="0"/>
                <w:color w:val="auto"/>
                <w:kern w:val="2"/>
                <w:sz w:val="24"/>
                <w:szCs w:val="24"/>
                <w:highlight w:val="none"/>
                <w:vertAlign w:val="superscript"/>
                <w:lang w:val="en-US" w:eastAsia="zh-CN" w:bidi="ar-SA"/>
              </w:rPr>
              <w:t>3</w:t>
            </w:r>
            <w:r>
              <w:rPr>
                <w:rFonts w:hint="eastAsia" w:ascii="Times New Roman" w:hAnsi="Times New Roman" w:eastAsia="宋体" w:cs="Times New Roman"/>
                <w:caps w:val="0"/>
                <w:smallCaps w:val="0"/>
                <w:color w:val="auto"/>
                <w:kern w:val="2"/>
                <w:sz w:val="24"/>
                <w:szCs w:val="24"/>
                <w:highlight w:val="none"/>
                <w:lang w:val="en-US" w:eastAsia="zh-CN" w:bidi="ar-SA"/>
              </w:rPr>
              <w:t>/a；</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其他办公生活用水量为</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1.2</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360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0.96</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288</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14:paraId="13C962C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olor w:val="auto"/>
                <w:sz w:val="24"/>
                <w:szCs w:val="24"/>
                <w:highlight w:val="none"/>
                <w:lang w:val="en-US" w:eastAsia="zh-CN"/>
              </w:rPr>
              <w:t>项目食堂内设1个容积为0.5m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的隔油池，</w:t>
            </w:r>
            <w:r>
              <w:rPr>
                <w:rFonts w:hint="default" w:ascii="Times New Roman" w:hAnsi="Times New Roman" w:eastAsia="宋体" w:cs="Times New Roman"/>
                <w:color w:val="auto"/>
                <w:sz w:val="24"/>
                <w:szCs w:val="24"/>
                <w:highlight w:val="none"/>
                <w:lang w:val="en-US" w:eastAsia="zh-CN"/>
              </w:rPr>
              <w:t>食堂废水经隔油池处理后与其</w:t>
            </w:r>
            <w:r>
              <w:rPr>
                <w:rFonts w:hint="eastAsia" w:cs="Times New Roman"/>
                <w:color w:val="auto"/>
                <w:sz w:val="24"/>
                <w:szCs w:val="24"/>
                <w:highlight w:val="none"/>
                <w:lang w:val="en-US" w:eastAsia="zh-CN"/>
              </w:rPr>
              <w:t>他</w:t>
            </w:r>
            <w:r>
              <w:rPr>
                <w:rFonts w:hint="default" w:ascii="Times New Roman" w:hAnsi="Times New Roman" w:eastAsia="宋体" w:cs="Times New Roman"/>
                <w:color w:val="auto"/>
                <w:sz w:val="24"/>
                <w:szCs w:val="24"/>
                <w:highlight w:val="none"/>
                <w:lang w:val="en-US" w:eastAsia="zh-CN"/>
              </w:rPr>
              <w:t>生活污水一起经化粪池预处理后，再进入自建</w:t>
            </w:r>
            <w:r>
              <w:rPr>
                <w:rFonts w:hint="eastAsia"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lang w:val="en-US" w:eastAsia="zh-CN"/>
              </w:rPr>
              <w:t>污水处理</w:t>
            </w:r>
            <w:r>
              <w:rPr>
                <w:rFonts w:hint="eastAsia" w:cs="Times New Roman"/>
                <w:color w:val="auto"/>
                <w:sz w:val="24"/>
                <w:szCs w:val="24"/>
                <w:highlight w:val="none"/>
                <w:lang w:val="en-US" w:eastAsia="zh-CN"/>
              </w:rPr>
              <w:t>站</w:t>
            </w:r>
            <w:r>
              <w:rPr>
                <w:rFonts w:hint="default" w:ascii="Times New Roman" w:hAnsi="Times New Roman" w:eastAsia="宋体" w:cs="Times New Roman"/>
                <w:color w:val="auto"/>
                <w:sz w:val="24"/>
                <w:szCs w:val="24"/>
                <w:highlight w:val="none"/>
                <w:lang w:val="en-US" w:eastAsia="zh-CN"/>
              </w:rPr>
              <w:t>处理</w:t>
            </w:r>
            <w:r>
              <w:rPr>
                <w:rFonts w:hint="eastAsia" w:ascii="Times New Roman" w:hAnsi="Times New Roman" w:eastAsia="宋体" w:cs="Times New Roman"/>
                <w:color w:val="auto"/>
                <w:sz w:val="24"/>
                <w:szCs w:val="24"/>
                <w:highlight w:val="none"/>
                <w:lang w:val="en-US" w:eastAsia="zh-CN"/>
              </w:rPr>
              <w:t>达《城市污水再生利用 城市杂用水水质》</w:t>
            </w:r>
            <w:r>
              <w:rPr>
                <w:rFonts w:hint="default" w:ascii="Times New Roman" w:hAnsi="Times New Roman" w:eastAsia="宋体" w:cs="Times New Roman"/>
                <w:color w:val="auto"/>
                <w:sz w:val="24"/>
                <w:szCs w:val="24"/>
                <w:highlight w:val="none"/>
                <w:lang w:val="en-US" w:eastAsia="zh-CN"/>
              </w:rPr>
              <w:t>（GB/T18920-2020）</w:t>
            </w:r>
            <w:r>
              <w:rPr>
                <w:rFonts w:hint="eastAsia" w:ascii="Times New Roman" w:hAnsi="Times New Roman" w:eastAsia="宋体" w:cs="Times New Roman"/>
                <w:color w:val="auto"/>
                <w:sz w:val="24"/>
                <w:szCs w:val="24"/>
                <w:highlight w:val="none"/>
                <w:lang w:val="en-US" w:eastAsia="zh-CN"/>
              </w:rPr>
              <w:t>中城市绿化、</w:t>
            </w:r>
            <w:r>
              <w:rPr>
                <w:rFonts w:hint="eastAsia" w:cs="Times New Roman"/>
                <w:color w:val="auto"/>
                <w:sz w:val="24"/>
                <w:szCs w:val="24"/>
                <w:highlight w:val="none"/>
                <w:lang w:val="en-US" w:eastAsia="zh-CN"/>
              </w:rPr>
              <w:t>道路广场浇洒</w:t>
            </w:r>
            <w:r>
              <w:rPr>
                <w:rFonts w:hint="eastAsia" w:ascii="Times New Roman" w:hAnsi="Times New Roman" w:eastAsia="宋体" w:cs="Times New Roman"/>
                <w:color w:val="auto"/>
                <w:sz w:val="24"/>
                <w:szCs w:val="24"/>
                <w:highlight w:val="none"/>
                <w:lang w:val="en-US" w:eastAsia="zh-CN"/>
              </w:rPr>
              <w:t>、消防、建筑施工标准后</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回</w:t>
            </w:r>
            <w:r>
              <w:rPr>
                <w:rFonts w:hint="eastAsia" w:ascii="Times New Roman" w:hAnsi="Times New Roman" w:eastAsia="宋体" w:cs="Times New Roman"/>
                <w:color w:val="auto"/>
                <w:sz w:val="24"/>
                <w:szCs w:val="24"/>
                <w:highlight w:val="none"/>
                <w:lang w:val="en-US" w:eastAsia="zh-CN"/>
              </w:rPr>
              <w:t>用于项目区绿化</w:t>
            </w:r>
            <w:r>
              <w:rPr>
                <w:rFonts w:hint="eastAsia" w:cs="Times New Roman"/>
                <w:color w:val="auto"/>
                <w:sz w:val="24"/>
                <w:szCs w:val="24"/>
                <w:highlight w:val="none"/>
                <w:lang w:val="en-US" w:eastAsia="zh-CN"/>
              </w:rPr>
              <w:t>和</w:t>
            </w:r>
            <w:r>
              <w:rPr>
                <w:rFonts w:hint="eastAsia" w:ascii="Times New Roman" w:hAnsi="Times New Roman" w:eastAsia="宋体" w:cs="Times New Roman"/>
                <w:color w:val="auto"/>
                <w:sz w:val="24"/>
                <w:szCs w:val="24"/>
                <w:highlight w:val="none"/>
                <w:lang w:val="en-US" w:eastAsia="zh-CN"/>
              </w:rPr>
              <w:t>道路广场浇洒，不外排</w:t>
            </w:r>
            <w:r>
              <w:rPr>
                <w:rFonts w:hint="default" w:ascii="Times New Roman" w:hAnsi="Times New Roman" w:eastAsia="宋体" w:cs="Times New Roman"/>
                <w:color w:val="auto"/>
                <w:sz w:val="24"/>
                <w:szCs w:val="24"/>
                <w:highlight w:val="none"/>
                <w:lang w:val="en-US" w:eastAsia="zh-CN"/>
              </w:rPr>
              <w:t xml:space="preserve"> 。</w:t>
            </w:r>
          </w:p>
          <w:p w14:paraId="7D4123EF">
            <w:pPr>
              <w:spacing w:line="360" w:lineRule="auto"/>
              <w:ind w:firstLine="480" w:firstLineChars="200"/>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zh-CN" w:eastAsia="zh-CN"/>
              </w:rPr>
              <w:t>生产用水</w:t>
            </w:r>
          </w:p>
          <w:p w14:paraId="453E87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①磨边清洗用水</w:t>
            </w:r>
          </w:p>
          <w:p w14:paraId="17C05612">
            <w:pPr>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磨边机和清洗机依托原项目，</w:t>
            </w:r>
            <w:r>
              <w:rPr>
                <w:rFonts w:ascii="Times New Roman" w:hAnsi="Times New Roman"/>
                <w:color w:val="auto"/>
                <w:sz w:val="24"/>
                <w:szCs w:val="24"/>
                <w:highlight w:val="none"/>
              </w:rPr>
              <w:t>玻璃</w:t>
            </w:r>
            <w:r>
              <w:rPr>
                <w:rFonts w:hint="eastAsia" w:ascii="Times New Roman" w:hAnsi="Times New Roman"/>
                <w:color w:val="auto"/>
                <w:sz w:val="24"/>
                <w:szCs w:val="24"/>
                <w:highlight w:val="none"/>
                <w:lang w:eastAsia="zh-CN"/>
              </w:rPr>
              <w:t>磨边机和</w:t>
            </w:r>
            <w:r>
              <w:rPr>
                <w:rFonts w:hint="eastAsia" w:ascii="Times New Roman" w:hAnsi="Times New Roman"/>
                <w:color w:val="auto"/>
                <w:sz w:val="24"/>
                <w:szCs w:val="24"/>
                <w:highlight w:val="none"/>
              </w:rPr>
              <w:t>清洗</w:t>
            </w:r>
            <w:r>
              <w:rPr>
                <w:rFonts w:ascii="Times New Roman" w:hAnsi="Times New Roman"/>
                <w:color w:val="auto"/>
                <w:sz w:val="24"/>
                <w:szCs w:val="24"/>
                <w:highlight w:val="none"/>
              </w:rPr>
              <w:t>机处设置有废水沉淀循环系统，</w:t>
            </w:r>
            <w:r>
              <w:rPr>
                <w:rFonts w:hint="eastAsia" w:cs="Times New Roman"/>
                <w:color w:val="auto"/>
                <w:sz w:val="24"/>
                <w:szCs w:val="24"/>
                <w:highlight w:val="none"/>
                <w:lang w:val="en-US" w:eastAsia="zh-CN"/>
              </w:rPr>
              <w:t>生产过程中产生的磨边清洗废水</w:t>
            </w:r>
            <w:r>
              <w:rPr>
                <w:rFonts w:ascii="Times New Roman" w:hAnsi="Times New Roman"/>
                <w:color w:val="auto"/>
                <w:sz w:val="24"/>
                <w:szCs w:val="24"/>
                <w:highlight w:val="none"/>
              </w:rPr>
              <w:t>经过</w:t>
            </w:r>
            <w:r>
              <w:rPr>
                <w:rFonts w:hint="eastAsia" w:ascii="Times New Roman" w:hAnsi="Times New Roman"/>
                <w:color w:val="auto"/>
                <w:sz w:val="24"/>
                <w:szCs w:val="24"/>
                <w:highlight w:val="none"/>
                <w:lang w:eastAsia="zh-CN"/>
              </w:rPr>
              <w:t>原项目</w:t>
            </w:r>
            <w:r>
              <w:rPr>
                <w:rFonts w:ascii="Times New Roman" w:hAnsi="Times New Roman"/>
                <w:color w:val="auto"/>
                <w:sz w:val="24"/>
                <w:szCs w:val="24"/>
                <w:highlight w:val="none"/>
              </w:rPr>
              <w:t>设置的收集池通过地势流入沉淀循环系统，</w:t>
            </w:r>
            <w:r>
              <w:rPr>
                <w:rFonts w:hint="eastAsia" w:ascii="Times New Roman" w:hAnsi="Times New Roman"/>
                <w:color w:val="auto"/>
                <w:sz w:val="24"/>
                <w:szCs w:val="24"/>
                <w:highlight w:val="none"/>
                <w:lang w:eastAsia="zh-CN"/>
              </w:rPr>
              <w:t>磨边</w:t>
            </w:r>
            <w:r>
              <w:rPr>
                <w:rFonts w:ascii="Times New Roman" w:hAnsi="Times New Roman"/>
                <w:color w:val="auto"/>
                <w:sz w:val="24"/>
                <w:szCs w:val="24"/>
                <w:highlight w:val="none"/>
              </w:rPr>
              <w:t>清洗废水循环使用不外排</w:t>
            </w:r>
            <w:r>
              <w:rPr>
                <w:rFonts w:hint="eastAsia"/>
                <w:color w:val="auto"/>
                <w:sz w:val="24"/>
                <w:szCs w:val="24"/>
                <w:highlight w:val="none"/>
                <w:lang w:eastAsia="zh-CN"/>
              </w:rPr>
              <w:t>。</w:t>
            </w:r>
            <w:r>
              <w:rPr>
                <w:rFonts w:hint="eastAsia" w:ascii="Times New Roman" w:hAnsi="Times New Roman"/>
                <w:color w:val="auto"/>
                <w:sz w:val="24"/>
                <w:szCs w:val="24"/>
                <w:highlight w:val="none"/>
                <w:lang w:eastAsia="zh-CN"/>
              </w:rPr>
              <w:t>磨边</w:t>
            </w:r>
            <w:r>
              <w:rPr>
                <w:rFonts w:ascii="Times New Roman" w:hAnsi="Times New Roman"/>
                <w:color w:val="auto"/>
                <w:sz w:val="24"/>
                <w:szCs w:val="24"/>
                <w:highlight w:val="none"/>
              </w:rPr>
              <w:t>清洗废水中主要污染物为玻璃碎屑和悬浮物</w:t>
            </w:r>
            <w:r>
              <w:rPr>
                <w:rFonts w:hint="eastAsia"/>
                <w:color w:val="auto"/>
                <w:sz w:val="24"/>
                <w:szCs w:val="24"/>
                <w:highlight w:val="none"/>
                <w:lang w:eastAsia="zh-CN"/>
              </w:rPr>
              <w:t>，</w:t>
            </w:r>
            <w:r>
              <w:rPr>
                <w:rFonts w:ascii="Times New Roman" w:hAnsi="Times New Roman"/>
                <w:color w:val="auto"/>
                <w:sz w:val="24"/>
                <w:szCs w:val="24"/>
                <w:highlight w:val="none"/>
              </w:rPr>
              <w:t>在运营过程中有部分水分被玻璃带走</w:t>
            </w:r>
            <w:r>
              <w:rPr>
                <w:rFonts w:hint="eastAsia" w:ascii="Times New Roman" w:hAnsi="Times New Roman"/>
                <w:color w:val="auto"/>
                <w:sz w:val="24"/>
                <w:szCs w:val="24"/>
                <w:highlight w:val="none"/>
                <w:lang w:eastAsia="zh-CN"/>
              </w:rPr>
              <w:t>及</w:t>
            </w:r>
            <w:r>
              <w:rPr>
                <w:rFonts w:ascii="Times New Roman" w:hAnsi="Times New Roman"/>
                <w:color w:val="auto"/>
                <w:sz w:val="24"/>
                <w:szCs w:val="24"/>
                <w:highlight w:val="none"/>
              </w:rPr>
              <w:t>蒸发损耗</w:t>
            </w:r>
            <w:r>
              <w:rPr>
                <w:rFonts w:hint="eastAsia" w:ascii="Times New Roman" w:hAnsi="Times New Roman"/>
                <w:color w:val="auto"/>
                <w:sz w:val="24"/>
                <w:szCs w:val="24"/>
                <w:highlight w:val="none"/>
                <w:lang w:eastAsia="zh-CN"/>
              </w:rPr>
              <w:t>。根据建设单位提供的原项目</w:t>
            </w:r>
            <w:r>
              <w:rPr>
                <w:rFonts w:hint="eastAsia"/>
                <w:color w:val="auto"/>
                <w:sz w:val="24"/>
                <w:szCs w:val="24"/>
                <w:highlight w:val="none"/>
                <w:lang w:eastAsia="zh-CN"/>
              </w:rPr>
              <w:t>现有生产实际用水情况，原项目生产玻璃共</w:t>
            </w:r>
            <w:r>
              <w:rPr>
                <w:rFonts w:hint="eastAsia"/>
                <w:color w:val="auto"/>
                <w:sz w:val="24"/>
                <w:szCs w:val="24"/>
                <w:highlight w:val="none"/>
                <w:lang w:val="en-US" w:eastAsia="zh-CN"/>
              </w:rPr>
              <w:t>80万m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，磨边清洗</w:t>
            </w:r>
            <w:r>
              <w:rPr>
                <w:rFonts w:hint="eastAsia" w:ascii="Times New Roman" w:hAnsi="Times New Roman"/>
                <w:color w:val="auto"/>
                <w:sz w:val="24"/>
                <w:highlight w:val="none"/>
              </w:rPr>
              <w:t>需补充的新鲜水量为</w:t>
            </w:r>
            <w:r>
              <w:rPr>
                <w:rFonts w:hint="eastAsia" w:ascii="Times New Roman" w:hAnsi="Times New Roman"/>
                <w:color w:val="auto"/>
                <w:sz w:val="24"/>
                <w:highlight w:val="none"/>
                <w:lang w:val="en-US" w:eastAsia="zh-CN"/>
              </w:rPr>
              <w:t>1.2</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/d</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360</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/a，</w:t>
            </w:r>
            <w:r>
              <w:rPr>
                <w:rFonts w:ascii="Times New Roman" w:hAnsi="Times New Roman"/>
                <w:color w:val="auto"/>
                <w:sz w:val="24"/>
                <w:szCs w:val="24"/>
                <w:highlight w:val="none"/>
              </w:rPr>
              <w:t>运营过程中</w:t>
            </w:r>
            <w:r>
              <w:rPr>
                <w:rFonts w:hint="eastAsia" w:cs="Times New Roman"/>
                <w:color w:val="auto"/>
                <w:sz w:val="24"/>
                <w:szCs w:val="24"/>
                <w:highlight w:val="none"/>
                <w:lang w:val="en-US" w:eastAsia="zh-CN"/>
              </w:rPr>
              <w:t>产生的</w:t>
            </w:r>
            <w:r>
              <w:rPr>
                <w:rFonts w:hint="eastAsia" w:ascii="Times New Roman" w:hAnsi="Times New Roman"/>
                <w:color w:val="auto"/>
                <w:sz w:val="24"/>
                <w:szCs w:val="24"/>
                <w:highlight w:val="none"/>
                <w:lang w:eastAsia="zh-CN"/>
              </w:rPr>
              <w:t>磨边</w:t>
            </w:r>
            <w:r>
              <w:rPr>
                <w:rFonts w:ascii="Times New Roman" w:hAnsi="Times New Roman"/>
                <w:color w:val="auto"/>
                <w:sz w:val="24"/>
                <w:szCs w:val="24"/>
                <w:highlight w:val="none"/>
              </w:rPr>
              <w:t>清洗废水循环使用不外排</w:t>
            </w:r>
            <w:r>
              <w:rPr>
                <w:rFonts w:hint="eastAsia"/>
                <w:color w:val="auto"/>
                <w:sz w:val="24"/>
                <w:szCs w:val="24"/>
                <w:highlight w:val="none"/>
                <w:lang w:eastAsia="zh-CN"/>
              </w:rPr>
              <w:t>，</w:t>
            </w:r>
            <w:r>
              <w:rPr>
                <w:rFonts w:ascii="Times New Roman" w:hAnsi="Times New Roman"/>
                <w:color w:val="auto"/>
                <w:sz w:val="24"/>
                <w:szCs w:val="24"/>
                <w:highlight w:val="none"/>
              </w:rPr>
              <w:t>被玻璃带走</w:t>
            </w:r>
            <w:r>
              <w:rPr>
                <w:rFonts w:hint="eastAsia" w:ascii="Times New Roman" w:hAnsi="Times New Roman"/>
                <w:color w:val="auto"/>
                <w:sz w:val="24"/>
                <w:szCs w:val="24"/>
                <w:highlight w:val="none"/>
                <w:lang w:eastAsia="zh-CN"/>
              </w:rPr>
              <w:t>及</w:t>
            </w:r>
            <w:r>
              <w:rPr>
                <w:rFonts w:ascii="Times New Roman" w:hAnsi="Times New Roman"/>
                <w:color w:val="auto"/>
                <w:sz w:val="24"/>
                <w:szCs w:val="24"/>
                <w:highlight w:val="none"/>
              </w:rPr>
              <w:t>蒸发损耗</w:t>
            </w:r>
            <w:r>
              <w:rPr>
                <w:rFonts w:hint="eastAsia" w:ascii="Times New Roman" w:hAnsi="Times New Roman"/>
                <w:color w:val="auto"/>
                <w:sz w:val="24"/>
                <w:szCs w:val="24"/>
                <w:highlight w:val="none"/>
                <w:lang w:eastAsia="zh-CN"/>
              </w:rPr>
              <w:t>量</w:t>
            </w:r>
            <w:r>
              <w:rPr>
                <w:rFonts w:hint="eastAsia"/>
                <w:color w:val="auto"/>
                <w:sz w:val="24"/>
                <w:szCs w:val="24"/>
                <w:highlight w:val="none"/>
                <w:lang w:eastAsia="zh-CN"/>
              </w:rPr>
              <w:t>即为新鲜水补水量。原项目</w:t>
            </w:r>
            <w:r>
              <w:rPr>
                <w:rFonts w:ascii="Times New Roman" w:hAnsi="Times New Roman"/>
                <w:color w:val="auto"/>
                <w:sz w:val="24"/>
                <w:szCs w:val="24"/>
                <w:highlight w:val="none"/>
              </w:rPr>
              <w:t>被玻璃带走</w:t>
            </w:r>
            <w:r>
              <w:rPr>
                <w:rFonts w:hint="eastAsia" w:ascii="Times New Roman" w:hAnsi="Times New Roman"/>
                <w:color w:val="auto"/>
                <w:sz w:val="24"/>
                <w:szCs w:val="24"/>
                <w:highlight w:val="none"/>
                <w:lang w:eastAsia="zh-CN"/>
              </w:rPr>
              <w:t>及</w:t>
            </w:r>
            <w:r>
              <w:rPr>
                <w:rFonts w:ascii="Times New Roman" w:hAnsi="Times New Roman"/>
                <w:color w:val="auto"/>
                <w:sz w:val="24"/>
                <w:szCs w:val="24"/>
                <w:highlight w:val="none"/>
              </w:rPr>
              <w:t>蒸发损耗</w:t>
            </w:r>
            <w:r>
              <w:rPr>
                <w:rFonts w:hint="eastAsia" w:ascii="Times New Roman" w:hAnsi="Times New Roman"/>
                <w:color w:val="auto"/>
                <w:sz w:val="24"/>
                <w:szCs w:val="24"/>
                <w:highlight w:val="none"/>
                <w:lang w:eastAsia="zh-CN"/>
              </w:rPr>
              <w:t>量约占用水量的</w:t>
            </w:r>
            <w:r>
              <w:rPr>
                <w:rFonts w:hint="eastAsia"/>
                <w:color w:val="auto"/>
                <w:sz w:val="24"/>
                <w:szCs w:val="24"/>
                <w:highlight w:val="none"/>
                <w:lang w:val="en-US" w:eastAsia="zh-CN"/>
              </w:rPr>
              <w:t>10</w:t>
            </w:r>
            <w:r>
              <w:rPr>
                <w:rFonts w:hint="eastAsia" w:ascii="Times New Roman" w:hAnsi="Times New Roman"/>
                <w:color w:val="auto"/>
                <w:sz w:val="24"/>
                <w:szCs w:val="24"/>
                <w:highlight w:val="none"/>
                <w:lang w:val="en-US" w:eastAsia="zh-CN"/>
              </w:rPr>
              <w:t>%，</w:t>
            </w:r>
            <w:r>
              <w:rPr>
                <w:rFonts w:hint="eastAsia" w:ascii="宋体" w:hAnsi="宋体"/>
                <w:color w:val="auto"/>
                <w:sz w:val="24"/>
                <w:highlight w:val="none"/>
                <w:lang w:eastAsia="zh-CN"/>
              </w:rPr>
              <w:t>则</w:t>
            </w:r>
            <w:r>
              <w:rPr>
                <w:rFonts w:hint="eastAsia" w:ascii="宋体" w:hAnsi="宋体"/>
                <w:color w:val="auto"/>
                <w:sz w:val="24"/>
                <w:highlight w:val="none"/>
              </w:rPr>
              <w:t>磨边清洗</w:t>
            </w:r>
            <w:r>
              <w:rPr>
                <w:rFonts w:ascii="宋体" w:hAnsi="宋体"/>
                <w:color w:val="auto"/>
                <w:sz w:val="24"/>
                <w:highlight w:val="none"/>
              </w:rPr>
              <w:t>用水量为</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3600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eastAsia" w:ascii="Times New Roman" w:hAnsi="Times New Roman" w:cs="Times New Roman"/>
                <w:color w:val="auto"/>
                <w:sz w:val="24"/>
                <w:highlight w:val="none"/>
                <w:lang w:eastAsia="zh-CN"/>
              </w:rPr>
              <w:t>，循环水量为</w:t>
            </w:r>
            <w:r>
              <w:rPr>
                <w:rFonts w:hint="eastAsia" w:cs="Times New Roman"/>
                <w:color w:val="auto"/>
                <w:sz w:val="24"/>
                <w:highlight w:val="none"/>
                <w:lang w:val="en-US" w:eastAsia="zh-CN"/>
              </w:rPr>
              <w:t>10.8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3240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eastAsia" w:ascii="宋体" w:hAnsi="宋体"/>
                <w:color w:val="auto"/>
                <w:sz w:val="24"/>
                <w:highlight w:val="none"/>
                <w:lang w:eastAsia="zh-CN"/>
              </w:rPr>
              <w:t>。本扩建项目</w:t>
            </w:r>
            <w:r>
              <w:rPr>
                <w:rFonts w:hint="eastAsia"/>
                <w:color w:val="auto"/>
                <w:sz w:val="24"/>
                <w:szCs w:val="24"/>
                <w:highlight w:val="none"/>
                <w:lang w:eastAsia="zh-CN"/>
              </w:rPr>
              <w:t>生产玻璃共</w:t>
            </w:r>
            <w:r>
              <w:rPr>
                <w:rFonts w:hint="eastAsia"/>
                <w:color w:val="auto"/>
                <w:sz w:val="24"/>
                <w:szCs w:val="24"/>
                <w:highlight w:val="none"/>
                <w:lang w:val="en-US" w:eastAsia="zh-CN"/>
              </w:rPr>
              <w:t>21万m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，磨边清洗用水量</w:t>
            </w:r>
            <w:r>
              <w:rPr>
                <w:rFonts w:hint="eastAsia" w:ascii="宋体" w:hAnsi="宋体"/>
                <w:color w:val="auto"/>
                <w:sz w:val="24"/>
                <w:highlight w:val="none"/>
                <w:lang w:eastAsia="zh-CN"/>
              </w:rPr>
              <w:t>类比原项目，则</w:t>
            </w:r>
            <w:r>
              <w:rPr>
                <w:rFonts w:hint="eastAsia" w:ascii="宋体" w:hAnsi="宋体"/>
                <w:color w:val="auto"/>
                <w:sz w:val="24"/>
                <w:highlight w:val="none"/>
              </w:rPr>
              <w:t>磨边清洗</w:t>
            </w:r>
            <w:r>
              <w:rPr>
                <w:rFonts w:ascii="宋体" w:hAnsi="宋体"/>
                <w:color w:val="auto"/>
                <w:sz w:val="24"/>
                <w:highlight w:val="none"/>
              </w:rPr>
              <w:t>用水量为</w:t>
            </w:r>
            <w:r>
              <w:rPr>
                <w:rFonts w:hint="default" w:ascii="Times New Roman" w:hAnsi="Times New Roman" w:cs="Times New Roman"/>
                <w:color w:val="auto"/>
                <w:sz w:val="24"/>
                <w:highlight w:val="none"/>
                <w:lang w:val="en-US" w:eastAsia="zh-CN"/>
              </w:rPr>
              <w:t>3.15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945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eastAsia" w:ascii="Times New Roman" w:hAnsi="Times New Roman" w:cs="Times New Roman"/>
                <w:color w:val="auto"/>
                <w:sz w:val="24"/>
                <w:highlight w:val="none"/>
                <w:lang w:eastAsia="zh-CN"/>
              </w:rPr>
              <w:t>，</w:t>
            </w:r>
            <w:r>
              <w:rPr>
                <w:rFonts w:hint="eastAsia" w:ascii="Times New Roman" w:hAnsi="Times New Roman"/>
                <w:color w:val="auto"/>
                <w:sz w:val="24"/>
                <w:highlight w:val="none"/>
              </w:rPr>
              <w:t>需补充的新鲜水量为</w:t>
            </w:r>
            <w:r>
              <w:rPr>
                <w:rFonts w:hint="eastAsia" w:ascii="Times New Roman" w:hAnsi="Times New Roman"/>
                <w:color w:val="auto"/>
                <w:sz w:val="24"/>
                <w:highlight w:val="none"/>
                <w:lang w:val="en-US" w:eastAsia="zh-CN"/>
              </w:rPr>
              <w:t>0.315</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/d</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94.5</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/a，</w:t>
            </w:r>
            <w:r>
              <w:rPr>
                <w:rFonts w:hint="eastAsia" w:ascii="Times New Roman" w:hAnsi="Times New Roman"/>
                <w:color w:val="auto"/>
                <w:sz w:val="24"/>
                <w:highlight w:val="none"/>
                <w:lang w:eastAsia="zh-CN"/>
              </w:rPr>
              <w:t>循环水量为</w:t>
            </w:r>
            <w:r>
              <w:rPr>
                <w:rFonts w:hint="eastAsia"/>
                <w:color w:val="auto"/>
                <w:sz w:val="24"/>
                <w:highlight w:val="none"/>
                <w:lang w:val="en-US" w:eastAsia="zh-CN"/>
              </w:rPr>
              <w:t>2.835</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/d</w:t>
            </w:r>
            <w:r>
              <w:rPr>
                <w:rFonts w:hint="eastAsia" w:ascii="Times New Roman" w:hAnsi="Times New Roman"/>
                <w:color w:val="auto"/>
                <w:sz w:val="24"/>
                <w:highlight w:val="none"/>
                <w:lang w:eastAsia="zh-CN"/>
              </w:rPr>
              <w:t>、</w:t>
            </w:r>
            <w:r>
              <w:rPr>
                <w:rFonts w:hint="eastAsia"/>
                <w:color w:val="auto"/>
                <w:sz w:val="24"/>
                <w:highlight w:val="none"/>
                <w:lang w:val="en-US" w:eastAsia="zh-CN"/>
              </w:rPr>
              <w:t>850.5</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/a</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项目废水中主要污染因子为SS，经设备配套沉淀集水槽收集沉淀后通过循环水池循环后回用，不外排。</w:t>
            </w:r>
          </w:p>
          <w:p w14:paraId="26F4D2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弱酸</w:t>
            </w:r>
            <w:r>
              <w:rPr>
                <w:rFonts w:hint="eastAsia" w:cs="Times New Roman"/>
                <w:color w:val="auto"/>
                <w:sz w:val="24"/>
                <w:szCs w:val="24"/>
                <w:highlight w:val="none"/>
                <w:lang w:val="en-US" w:eastAsia="zh-CN"/>
              </w:rPr>
              <w:t>清洗</w:t>
            </w:r>
            <w:r>
              <w:rPr>
                <w:rFonts w:hint="default" w:ascii="Times New Roman" w:hAnsi="Times New Roman" w:eastAsia="宋体" w:cs="Times New Roman"/>
                <w:color w:val="auto"/>
                <w:sz w:val="24"/>
                <w:szCs w:val="24"/>
                <w:highlight w:val="none"/>
                <w:lang w:val="en-US" w:eastAsia="zh-CN"/>
              </w:rPr>
              <w:t>用水</w:t>
            </w:r>
          </w:p>
          <w:p w14:paraId="13D3FE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弱酸</w:t>
            </w:r>
            <w:r>
              <w:rPr>
                <w:rFonts w:hint="eastAsia" w:cs="Times New Roman"/>
                <w:color w:val="auto"/>
                <w:sz w:val="24"/>
                <w:szCs w:val="24"/>
                <w:highlight w:val="none"/>
                <w:lang w:val="en-US" w:eastAsia="zh-CN"/>
              </w:rPr>
              <w:t>清洗与预水洗共用1台清洗机，清洗机自带2个2.1m×1.2m×0.6m的循环水箱，分别用于弱酸清洗过程的弱酸液循环和预水洗过程的水循环</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循环</w:t>
            </w:r>
            <w:r>
              <w:rPr>
                <w:rFonts w:hint="eastAsia" w:ascii="Times New Roman" w:hAnsi="Times New Roman" w:cs="Times New Roman"/>
                <w:color w:val="auto"/>
                <w:sz w:val="24"/>
                <w:szCs w:val="24"/>
                <w:highlight w:val="none"/>
                <w:lang w:eastAsia="zh-CN"/>
              </w:rPr>
              <w:t>水箱</w:t>
            </w:r>
            <w:r>
              <w:rPr>
                <w:rFonts w:hint="default" w:ascii="Times New Roman" w:hAnsi="Times New Roman" w:cs="Times New Roman"/>
                <w:color w:val="auto"/>
                <w:sz w:val="24"/>
                <w:szCs w:val="24"/>
                <w:highlight w:val="none"/>
              </w:rPr>
              <w:t>内盛装约80%的</w:t>
            </w:r>
            <w:r>
              <w:rPr>
                <w:rFonts w:hint="eastAsia" w:ascii="Times New Roman" w:hAnsi="Times New Roman" w:cs="Times New Roman"/>
                <w:color w:val="auto"/>
                <w:sz w:val="24"/>
                <w:szCs w:val="24"/>
                <w:highlight w:val="none"/>
                <w:lang w:eastAsia="zh-CN"/>
              </w:rPr>
              <w:t>液体</w:t>
            </w:r>
            <w:r>
              <w:rPr>
                <w:rFonts w:hint="default" w:ascii="Times New Roman" w:hAnsi="Times New Roman"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弱酸</w:t>
            </w:r>
            <w:r>
              <w:rPr>
                <w:rFonts w:hint="eastAsia" w:cs="Times New Roman"/>
                <w:color w:val="auto"/>
                <w:sz w:val="24"/>
                <w:szCs w:val="24"/>
                <w:highlight w:val="none"/>
                <w:lang w:val="en-US" w:eastAsia="zh-CN"/>
              </w:rPr>
              <w:t>清洗过程中产生的废酸液经清洗机自带的循环水箱收集后循环使用</w:t>
            </w:r>
            <w:r>
              <w:rPr>
                <w:rFonts w:hint="eastAsia" w:ascii="Times New Roman" w:hAnsi="Times New Roman" w:cs="Times New Roman"/>
                <w:color w:val="auto"/>
                <w:sz w:val="24"/>
                <w:szCs w:val="24"/>
                <w:highlight w:val="none"/>
                <w:lang w:val="en-US" w:eastAsia="zh-CN"/>
              </w:rPr>
              <w:t>，</w:t>
            </w:r>
            <w:r>
              <w:rPr>
                <w:rFonts w:hint="eastAsia"/>
                <w:color w:val="auto"/>
                <w:sz w:val="24"/>
                <w:szCs w:val="24"/>
                <w:highlight w:val="none"/>
                <w:lang w:eastAsia="zh-CN"/>
              </w:rPr>
              <w:t>期间</w:t>
            </w:r>
            <w:r>
              <w:rPr>
                <w:rFonts w:ascii="Times New Roman" w:hAnsi="Times New Roman"/>
                <w:color w:val="auto"/>
                <w:sz w:val="24"/>
                <w:szCs w:val="24"/>
                <w:highlight w:val="none"/>
              </w:rPr>
              <w:t>有部分</w:t>
            </w:r>
            <w:r>
              <w:rPr>
                <w:rFonts w:hint="eastAsia"/>
                <w:color w:val="auto"/>
                <w:sz w:val="24"/>
                <w:szCs w:val="24"/>
                <w:highlight w:val="none"/>
                <w:lang w:eastAsia="zh-CN"/>
              </w:rPr>
              <w:t>弱酸液</w:t>
            </w:r>
            <w:r>
              <w:rPr>
                <w:rFonts w:ascii="Times New Roman" w:hAnsi="Times New Roman"/>
                <w:color w:val="auto"/>
                <w:sz w:val="24"/>
                <w:szCs w:val="24"/>
                <w:highlight w:val="none"/>
              </w:rPr>
              <w:t>被玻璃带走</w:t>
            </w:r>
            <w:r>
              <w:rPr>
                <w:rFonts w:hint="eastAsia"/>
                <w:color w:val="auto"/>
                <w:sz w:val="24"/>
                <w:szCs w:val="24"/>
                <w:highlight w:val="none"/>
                <w:lang w:eastAsia="zh-CN"/>
              </w:rPr>
              <w:t>和</w:t>
            </w:r>
            <w:r>
              <w:rPr>
                <w:rFonts w:ascii="Times New Roman" w:hAnsi="Times New Roman"/>
                <w:color w:val="auto"/>
                <w:sz w:val="24"/>
                <w:szCs w:val="24"/>
                <w:highlight w:val="none"/>
              </w:rPr>
              <w:t>蒸发损耗，</w:t>
            </w:r>
            <w:r>
              <w:rPr>
                <w:rFonts w:hint="eastAsia" w:cs="Times New Roman"/>
                <w:color w:val="auto"/>
                <w:sz w:val="24"/>
                <w:szCs w:val="24"/>
                <w:highlight w:val="none"/>
                <w:lang w:val="en-US" w:eastAsia="zh-CN"/>
              </w:rPr>
              <w:t>损耗的弱酸液定期添加补充，约1个月更换一次。项目共设置5只弱酸液配制桶</w:t>
            </w:r>
            <w:r>
              <w:rPr>
                <w:rFonts w:hint="default" w:ascii="Times New Roman" w:hAnsi="Times New Roman" w:eastAsia="宋体" w:cs="Times New Roman"/>
                <w:color w:val="auto"/>
                <w:sz w:val="24"/>
                <w:szCs w:val="24"/>
                <w:highlight w:val="none"/>
                <w:lang w:val="en-US" w:eastAsia="zh-CN"/>
              </w:rPr>
              <w:t>用于</w:t>
            </w:r>
            <w:r>
              <w:rPr>
                <w:rFonts w:hint="eastAsia" w:cs="Times New Roman"/>
                <w:color w:val="auto"/>
                <w:sz w:val="24"/>
                <w:szCs w:val="24"/>
                <w:highlight w:val="none"/>
                <w:lang w:val="en-US" w:eastAsia="zh-CN"/>
              </w:rPr>
              <w:t>配制</w:t>
            </w:r>
            <w:r>
              <w:rPr>
                <w:rFonts w:hint="eastAsia" w:ascii="Times New Roman" w:hAnsi="Times New Roman" w:cs="Times New Roman"/>
                <w:color w:val="auto"/>
                <w:sz w:val="24"/>
                <w:szCs w:val="24"/>
                <w:highlight w:val="none"/>
                <w:lang w:val="en-US" w:eastAsia="zh-CN"/>
              </w:rPr>
              <w:t>弱酸清洗过程使用的弱酸</w:t>
            </w:r>
            <w:r>
              <w:rPr>
                <w:rFonts w:hint="eastAsia" w:cs="Times New Roman"/>
                <w:color w:val="auto"/>
                <w:sz w:val="24"/>
                <w:szCs w:val="24"/>
                <w:highlight w:val="none"/>
                <w:lang w:val="en-US" w:eastAsia="zh-CN"/>
              </w:rPr>
              <w:t>，本工序采用浓度为1%的弱酸液进行清洗，是由98%硫酸稀释而成</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根据业主提供资料</w:t>
            </w: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弱酸</w:t>
            </w:r>
            <w:r>
              <w:rPr>
                <w:rFonts w:hint="eastAsia" w:cs="Times New Roman"/>
                <w:color w:val="auto"/>
                <w:sz w:val="24"/>
                <w:szCs w:val="24"/>
                <w:highlight w:val="none"/>
                <w:lang w:val="en-US" w:eastAsia="zh-CN"/>
              </w:rPr>
              <w:t>清洗过程弱酸液</w:t>
            </w:r>
            <w:r>
              <w:rPr>
                <w:rFonts w:hint="default" w:ascii="Times New Roman" w:hAnsi="Times New Roman" w:cs="Times New Roman"/>
                <w:color w:val="auto"/>
                <w:sz w:val="24"/>
                <w:szCs w:val="24"/>
                <w:highlight w:val="none"/>
              </w:rPr>
              <w:t>循环量为</w:t>
            </w:r>
            <w:r>
              <w:rPr>
                <w:rFonts w:hint="eastAsia" w:cs="Times New Roman"/>
                <w:color w:val="auto"/>
                <w:sz w:val="24"/>
                <w:szCs w:val="24"/>
                <w:highlight w:val="none"/>
                <w:lang w:val="en-US" w:eastAsia="zh-CN"/>
              </w:rPr>
              <w:t>0.25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h，4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d</w:t>
            </w:r>
            <w:r>
              <w:rPr>
                <w:rFonts w:hint="eastAsia" w:cs="Times New Roman"/>
                <w:color w:val="auto"/>
                <w:sz w:val="24"/>
                <w:szCs w:val="24"/>
                <w:highlight w:val="none"/>
                <w:lang w:eastAsia="zh-CN"/>
              </w:rPr>
              <w:t>，损耗量为</w:t>
            </w:r>
            <w:r>
              <w:rPr>
                <w:rFonts w:hint="eastAsia" w:cs="Times New Roman"/>
                <w:color w:val="auto"/>
                <w:sz w:val="24"/>
                <w:szCs w:val="24"/>
                <w:highlight w:val="none"/>
                <w:lang w:val="en-US" w:eastAsia="zh-CN"/>
              </w:rPr>
              <w:t>被玻璃带走及蒸发</w:t>
            </w:r>
            <w:r>
              <w:rPr>
                <w:rFonts w:hint="eastAsia" w:ascii="Times New Roman" w:hAnsi="Times New Roman" w:cs="Times New Roman"/>
                <w:color w:val="auto"/>
                <w:sz w:val="24"/>
                <w:szCs w:val="24"/>
                <w:highlight w:val="none"/>
                <w:lang w:val="en-US" w:eastAsia="zh-CN"/>
              </w:rPr>
              <w:t>损耗</w:t>
            </w:r>
            <w:r>
              <w:rPr>
                <w:rFonts w:hint="default" w:ascii="Times New Roman" w:hAnsi="Times New Roman" w:cs="Times New Roman"/>
                <w:color w:val="auto"/>
                <w:sz w:val="24"/>
                <w:szCs w:val="24"/>
                <w:highlight w:val="none"/>
              </w:rPr>
              <w:t>，按照循环量的10%计算，则</w:t>
            </w:r>
            <w:r>
              <w:rPr>
                <w:rFonts w:hint="eastAsia" w:ascii="Times New Roman" w:hAnsi="Times New Roman" w:cs="Times New Roman"/>
                <w:color w:val="auto"/>
                <w:sz w:val="24"/>
                <w:szCs w:val="24"/>
                <w:highlight w:val="none"/>
                <w:lang w:val="en-US" w:eastAsia="zh-CN"/>
              </w:rPr>
              <w:t>弱酸</w:t>
            </w:r>
            <w:r>
              <w:rPr>
                <w:rFonts w:hint="eastAsia" w:cs="Times New Roman"/>
                <w:color w:val="auto"/>
                <w:sz w:val="24"/>
                <w:szCs w:val="24"/>
                <w:highlight w:val="none"/>
                <w:lang w:val="en-US" w:eastAsia="zh-CN"/>
              </w:rPr>
              <w:t>清洗过程</w:t>
            </w:r>
            <w:r>
              <w:rPr>
                <w:rFonts w:hint="default" w:ascii="Times New Roman" w:hAnsi="Times New Roman" w:cs="Times New Roman"/>
                <w:color w:val="auto"/>
                <w:sz w:val="24"/>
                <w:szCs w:val="24"/>
                <w:highlight w:val="none"/>
              </w:rPr>
              <w:t>补充</w:t>
            </w:r>
            <w:r>
              <w:rPr>
                <w:rFonts w:hint="eastAsia" w:cs="Times New Roman"/>
                <w:color w:val="auto"/>
                <w:sz w:val="24"/>
                <w:szCs w:val="24"/>
                <w:highlight w:val="none"/>
                <w:lang w:eastAsia="zh-CN"/>
              </w:rPr>
              <w:t>弱酸液</w:t>
            </w:r>
            <w:r>
              <w:rPr>
                <w:rFonts w:hint="default" w:ascii="Times New Roman" w:hAnsi="Times New Roman" w:cs="Times New Roman"/>
                <w:color w:val="auto"/>
                <w:sz w:val="24"/>
                <w:szCs w:val="24"/>
                <w:highlight w:val="none"/>
              </w:rPr>
              <w:t>量</w:t>
            </w:r>
            <w:r>
              <w:rPr>
                <w:rFonts w:hint="eastAsia" w:cs="Times New Roman"/>
                <w:color w:val="auto"/>
                <w:sz w:val="24"/>
                <w:szCs w:val="24"/>
                <w:highlight w:val="none"/>
                <w:lang w:eastAsia="zh-CN"/>
              </w:rPr>
              <w:t>为</w:t>
            </w:r>
            <w:r>
              <w:rPr>
                <w:rFonts w:hint="eastAsia" w:cs="Times New Roman"/>
                <w:color w:val="auto"/>
                <w:sz w:val="24"/>
                <w:szCs w:val="24"/>
                <w:highlight w:val="none"/>
                <w:lang w:val="en-US" w:eastAsia="zh-CN"/>
              </w:rPr>
              <w:t>0.4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cs="Times New Roman"/>
                <w:color w:val="auto"/>
                <w:sz w:val="24"/>
                <w:szCs w:val="24"/>
                <w:highlight w:val="none"/>
                <w:lang w:val="en-US" w:eastAsia="zh-CN"/>
              </w:rPr>
              <w:t>120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弱酸</w:t>
            </w:r>
            <w:r>
              <w:rPr>
                <w:rFonts w:hint="default" w:ascii="Times New Roman" w:hAnsi="Times New Roman" w:cs="Times New Roman"/>
                <w:color w:val="auto"/>
                <w:sz w:val="24"/>
                <w:szCs w:val="24"/>
                <w:highlight w:val="none"/>
              </w:rPr>
              <w:t>循环</w:t>
            </w:r>
            <w:r>
              <w:rPr>
                <w:rFonts w:hint="eastAsia" w:ascii="Times New Roman" w:hAnsi="Times New Roman" w:cs="Times New Roman"/>
                <w:color w:val="auto"/>
                <w:sz w:val="24"/>
                <w:szCs w:val="24"/>
                <w:highlight w:val="none"/>
                <w:lang w:eastAsia="zh-CN"/>
              </w:rPr>
              <w:t>水箱</w:t>
            </w:r>
            <w:r>
              <w:rPr>
                <w:rFonts w:hint="default" w:ascii="Times New Roman" w:hAnsi="Times New Roman" w:cs="Times New Roman"/>
                <w:color w:val="auto"/>
                <w:sz w:val="24"/>
                <w:szCs w:val="24"/>
                <w:highlight w:val="none"/>
              </w:rPr>
              <w:t>中</w:t>
            </w:r>
            <w:r>
              <w:rPr>
                <w:rFonts w:hint="eastAsia" w:ascii="Times New Roman" w:hAnsi="Times New Roman" w:cs="Times New Roman"/>
                <w:color w:val="auto"/>
                <w:sz w:val="24"/>
                <w:szCs w:val="24"/>
                <w:highlight w:val="none"/>
                <w:lang w:eastAsia="zh-CN"/>
              </w:rPr>
              <w:t>的弱酸液</w:t>
            </w:r>
            <w:r>
              <w:rPr>
                <w:rFonts w:hint="default" w:ascii="Times New Roman" w:hAnsi="Times New Roman" w:cs="Times New Roman"/>
                <w:color w:val="auto"/>
                <w:sz w:val="24"/>
                <w:szCs w:val="24"/>
                <w:highlight w:val="none"/>
              </w:rPr>
              <w:t>定期更换，更换周期为</w:t>
            </w:r>
            <w:r>
              <w:rPr>
                <w:rFonts w:hint="eastAsia" w:ascii="Times New Roman" w:hAnsi="Times New Roman" w:cs="Times New Roman"/>
                <w:color w:val="auto"/>
                <w:sz w:val="24"/>
                <w:szCs w:val="24"/>
                <w:highlight w:val="none"/>
                <w:lang w:eastAsia="zh-CN"/>
              </w:rPr>
              <w:t>一</w:t>
            </w:r>
            <w:r>
              <w:rPr>
                <w:rFonts w:hint="default" w:ascii="Times New Roman" w:hAnsi="Times New Roman" w:cs="Times New Roman"/>
                <w:color w:val="auto"/>
                <w:sz w:val="24"/>
                <w:szCs w:val="24"/>
                <w:highlight w:val="none"/>
              </w:rPr>
              <w:t>个月1次，</w:t>
            </w:r>
            <w:r>
              <w:rPr>
                <w:rFonts w:hint="eastAsia" w:cs="Times New Roman"/>
                <w:color w:val="auto"/>
                <w:sz w:val="24"/>
                <w:szCs w:val="24"/>
                <w:highlight w:val="none"/>
                <w:lang w:eastAsia="zh-CN"/>
              </w:rPr>
              <w:t>每次</w:t>
            </w:r>
            <w:r>
              <w:rPr>
                <w:rFonts w:hint="default" w:ascii="Times New Roman" w:hAnsi="Times New Roman" w:cs="Times New Roman"/>
                <w:color w:val="auto"/>
                <w:sz w:val="24"/>
                <w:szCs w:val="24"/>
                <w:highlight w:val="none"/>
              </w:rPr>
              <w:t>更换</w:t>
            </w:r>
            <w:r>
              <w:rPr>
                <w:rFonts w:hint="eastAsia" w:cs="Times New Roman"/>
                <w:color w:val="auto"/>
                <w:sz w:val="24"/>
                <w:szCs w:val="24"/>
                <w:highlight w:val="none"/>
                <w:lang w:eastAsia="zh-CN"/>
              </w:rPr>
              <w:t>弱酸液</w:t>
            </w:r>
            <w:r>
              <w:rPr>
                <w:rFonts w:hint="default" w:ascii="Times New Roman" w:hAnsi="Times New Roman" w:cs="Times New Roman"/>
                <w:color w:val="auto"/>
                <w:sz w:val="24"/>
                <w:szCs w:val="24"/>
                <w:highlight w:val="none"/>
              </w:rPr>
              <w:t>量为</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次</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则年更换</w:t>
            </w:r>
            <w:r>
              <w:rPr>
                <w:rFonts w:hint="eastAsia" w:cs="Times New Roman"/>
                <w:color w:val="auto"/>
                <w:sz w:val="24"/>
                <w:szCs w:val="24"/>
                <w:highlight w:val="none"/>
                <w:lang w:eastAsia="zh-CN"/>
              </w:rPr>
              <w:t>弱酸液</w:t>
            </w:r>
            <w:r>
              <w:rPr>
                <w:rFonts w:hint="default" w:ascii="Times New Roman" w:hAnsi="Times New Roman" w:cs="Times New Roman"/>
                <w:color w:val="auto"/>
                <w:sz w:val="24"/>
                <w:szCs w:val="24"/>
                <w:highlight w:val="none"/>
              </w:rPr>
              <w:t>量为</w:t>
            </w:r>
            <w:r>
              <w:rPr>
                <w:rFonts w:hint="eastAsia" w:cs="Times New Roman"/>
                <w:color w:val="auto"/>
                <w:sz w:val="24"/>
                <w:szCs w:val="24"/>
                <w:highlight w:val="none"/>
                <w:lang w:val="en-US" w:eastAsia="zh-CN"/>
              </w:rPr>
              <w:t>14.4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p w14:paraId="333056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eastAsia" w:cs="Times New Roman"/>
                <w:color w:val="auto"/>
                <w:sz w:val="24"/>
                <w:szCs w:val="24"/>
                <w:highlight w:val="none"/>
                <w:lang w:val="en-US" w:eastAsia="zh-CN"/>
              </w:rPr>
              <w:t>预</w:t>
            </w:r>
            <w:r>
              <w:rPr>
                <w:rFonts w:hint="default" w:ascii="Times New Roman" w:hAnsi="Times New Roman" w:eastAsia="宋体" w:cs="Times New Roman"/>
                <w:color w:val="auto"/>
                <w:sz w:val="24"/>
                <w:szCs w:val="24"/>
                <w:highlight w:val="none"/>
                <w:lang w:val="en-US" w:eastAsia="zh-CN"/>
              </w:rPr>
              <w:t>水洗用水</w:t>
            </w:r>
          </w:p>
          <w:p w14:paraId="2DABFD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本工序与弱酸清洗过程共用1台清洗机，清洗机自带2个2.1m×1.2m×0.6m的循</w:t>
            </w:r>
            <w:r>
              <w:rPr>
                <w:rFonts w:hint="eastAsia" w:eastAsia="宋体" w:cs="Times New Roman"/>
                <w:color w:val="auto"/>
                <w:sz w:val="24"/>
                <w:szCs w:val="24"/>
                <w:highlight w:val="none"/>
                <w:lang w:val="en-US" w:eastAsia="zh-CN"/>
              </w:rPr>
              <w:t>环水箱，</w:t>
            </w:r>
            <w:r>
              <w:rPr>
                <w:rFonts w:hint="eastAsia" w:cs="Times New Roman"/>
                <w:color w:val="auto"/>
                <w:sz w:val="24"/>
                <w:szCs w:val="24"/>
                <w:highlight w:val="none"/>
                <w:lang w:val="en-US" w:eastAsia="zh-CN"/>
              </w:rPr>
              <w:t>分别用于弱酸清洗过程的弱酸液循环和预水洗过程的水循环</w:t>
            </w:r>
            <w:r>
              <w:rPr>
                <w:rFonts w:hint="default" w:ascii="Times New Roman" w:hAnsi="Times New Roman" w:eastAsia="宋体" w:cs="Times New Roman"/>
                <w:color w:val="auto"/>
                <w:sz w:val="24"/>
                <w:szCs w:val="24"/>
                <w:highlight w:val="none"/>
                <w:lang w:val="en-US" w:eastAsia="zh-CN"/>
              </w:rPr>
              <w:t>。</w:t>
            </w:r>
            <w:r>
              <w:rPr>
                <w:rFonts w:ascii="Times New Roman" w:hAnsi="Times New Roman"/>
                <w:color w:val="auto"/>
                <w:sz w:val="24"/>
                <w:szCs w:val="24"/>
                <w:highlight w:val="none"/>
              </w:rPr>
              <w:t>在运营过程中有部分水分被玻璃带走</w:t>
            </w:r>
            <w:r>
              <w:rPr>
                <w:rFonts w:hint="eastAsia"/>
                <w:color w:val="auto"/>
                <w:sz w:val="24"/>
                <w:szCs w:val="24"/>
                <w:highlight w:val="none"/>
                <w:lang w:eastAsia="zh-CN"/>
              </w:rPr>
              <w:t>和</w:t>
            </w:r>
            <w:r>
              <w:rPr>
                <w:rFonts w:ascii="Times New Roman" w:hAnsi="Times New Roman"/>
                <w:color w:val="auto"/>
                <w:sz w:val="24"/>
                <w:szCs w:val="24"/>
                <w:highlight w:val="none"/>
              </w:rPr>
              <w:t>蒸发损耗，</w:t>
            </w:r>
            <w:r>
              <w:rPr>
                <w:rFonts w:hint="default" w:ascii="Times New Roman" w:hAnsi="Times New Roman" w:eastAsia="宋体" w:cs="Times New Roman"/>
                <w:color w:val="auto"/>
                <w:sz w:val="24"/>
                <w:szCs w:val="24"/>
                <w:highlight w:val="none"/>
                <w:lang w:val="en-US" w:eastAsia="zh-CN"/>
              </w:rPr>
              <w:t>需</w:t>
            </w:r>
            <w:r>
              <w:rPr>
                <w:rFonts w:hint="eastAsia" w:cs="Times New Roman"/>
                <w:color w:val="auto"/>
                <w:sz w:val="24"/>
                <w:szCs w:val="24"/>
                <w:highlight w:val="none"/>
                <w:lang w:val="en-US" w:eastAsia="zh-CN"/>
              </w:rPr>
              <w:t>定期添加补充，约1个月更换一次。</w:t>
            </w:r>
            <w:r>
              <w:rPr>
                <w:rFonts w:hint="default" w:ascii="Times New Roman" w:hAnsi="Times New Roman" w:eastAsia="宋体" w:cs="Times New Roman"/>
                <w:color w:val="auto"/>
                <w:sz w:val="24"/>
                <w:szCs w:val="24"/>
                <w:highlight w:val="none"/>
                <w:lang w:val="en-US" w:eastAsia="zh-CN"/>
              </w:rPr>
              <w:t>根据业主提供资料</w:t>
            </w: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预水洗</w:t>
            </w:r>
            <w:r>
              <w:rPr>
                <w:rFonts w:hint="eastAsia" w:cs="Times New Roman"/>
                <w:color w:val="auto"/>
                <w:sz w:val="24"/>
                <w:szCs w:val="24"/>
                <w:highlight w:val="none"/>
                <w:lang w:val="en-US" w:eastAsia="zh-CN"/>
              </w:rPr>
              <w:t>过程</w:t>
            </w:r>
            <w:r>
              <w:rPr>
                <w:rFonts w:hint="default" w:ascii="Times New Roman" w:hAnsi="Times New Roman" w:cs="Times New Roman"/>
                <w:color w:val="auto"/>
                <w:sz w:val="24"/>
                <w:szCs w:val="24"/>
                <w:highlight w:val="none"/>
              </w:rPr>
              <w:t>循环水量为</w:t>
            </w:r>
            <w:r>
              <w:rPr>
                <w:rFonts w:hint="eastAsia" w:cs="Times New Roman"/>
                <w:color w:val="auto"/>
                <w:sz w:val="24"/>
                <w:szCs w:val="24"/>
                <w:highlight w:val="none"/>
                <w:lang w:val="en-US" w:eastAsia="zh-CN"/>
              </w:rPr>
              <w:t>0.25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h</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d</w:t>
            </w:r>
            <w:r>
              <w:rPr>
                <w:rFonts w:hint="default" w:ascii="Times New Roman" w:hAnsi="Times New Roman" w:cs="Times New Roman"/>
                <w:color w:val="auto"/>
                <w:sz w:val="24"/>
                <w:szCs w:val="24"/>
                <w:highlight w:val="none"/>
              </w:rPr>
              <w:t>，损耗水量为</w:t>
            </w:r>
            <w:r>
              <w:rPr>
                <w:rFonts w:hint="eastAsia" w:cs="Times New Roman"/>
                <w:color w:val="auto"/>
                <w:sz w:val="24"/>
                <w:szCs w:val="24"/>
                <w:highlight w:val="none"/>
                <w:lang w:val="en-US" w:eastAsia="zh-CN"/>
              </w:rPr>
              <w:t>被玻璃带走及蒸发</w:t>
            </w:r>
            <w:r>
              <w:rPr>
                <w:rFonts w:hint="eastAsia" w:ascii="Times New Roman" w:hAnsi="Times New Roman" w:cs="Times New Roman"/>
                <w:color w:val="auto"/>
                <w:sz w:val="24"/>
                <w:szCs w:val="24"/>
                <w:highlight w:val="none"/>
                <w:lang w:val="en-US" w:eastAsia="zh-CN"/>
              </w:rPr>
              <w:t>损耗</w:t>
            </w:r>
            <w:r>
              <w:rPr>
                <w:rFonts w:hint="default" w:ascii="Times New Roman" w:hAnsi="Times New Roman" w:cs="Times New Roman"/>
                <w:color w:val="auto"/>
                <w:sz w:val="24"/>
                <w:szCs w:val="24"/>
                <w:highlight w:val="none"/>
              </w:rPr>
              <w:t>，按照循环水量的10%计算，则</w:t>
            </w:r>
            <w:r>
              <w:rPr>
                <w:rFonts w:hint="eastAsia" w:ascii="Times New Roman" w:hAnsi="Times New Roman" w:cs="Times New Roman"/>
                <w:color w:val="auto"/>
                <w:sz w:val="24"/>
                <w:szCs w:val="24"/>
                <w:highlight w:val="none"/>
                <w:lang w:val="en-US" w:eastAsia="zh-CN"/>
              </w:rPr>
              <w:t>预水洗</w:t>
            </w:r>
            <w:r>
              <w:rPr>
                <w:rFonts w:hint="eastAsia" w:cs="Times New Roman"/>
                <w:color w:val="auto"/>
                <w:sz w:val="24"/>
                <w:szCs w:val="24"/>
                <w:highlight w:val="none"/>
                <w:lang w:val="en-US" w:eastAsia="zh-CN"/>
              </w:rPr>
              <w:t>过程</w:t>
            </w:r>
            <w:r>
              <w:rPr>
                <w:rFonts w:hint="default" w:ascii="Times New Roman" w:hAnsi="Times New Roman" w:cs="Times New Roman"/>
                <w:color w:val="auto"/>
                <w:sz w:val="24"/>
                <w:szCs w:val="24"/>
                <w:highlight w:val="none"/>
              </w:rPr>
              <w:t>补充水量为</w:t>
            </w:r>
            <w:r>
              <w:rPr>
                <w:rFonts w:hint="eastAsia" w:cs="Times New Roman"/>
                <w:color w:val="auto"/>
                <w:sz w:val="24"/>
                <w:szCs w:val="24"/>
                <w:highlight w:val="none"/>
                <w:lang w:val="en-US" w:eastAsia="zh-CN"/>
              </w:rPr>
              <w:t>0.4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cs="Times New Roman"/>
                <w:color w:val="auto"/>
                <w:sz w:val="24"/>
                <w:szCs w:val="24"/>
                <w:highlight w:val="none"/>
                <w:lang w:val="en-US" w:eastAsia="zh-CN"/>
              </w:rPr>
              <w:t>120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/a。循环</w:t>
            </w:r>
            <w:r>
              <w:rPr>
                <w:rFonts w:hint="eastAsia" w:ascii="Times New Roman" w:hAnsi="Times New Roman" w:cs="Times New Roman"/>
                <w:color w:val="auto"/>
                <w:sz w:val="24"/>
                <w:szCs w:val="24"/>
                <w:highlight w:val="none"/>
                <w:lang w:eastAsia="zh-CN"/>
              </w:rPr>
              <w:t>水箱</w:t>
            </w:r>
            <w:r>
              <w:rPr>
                <w:rFonts w:hint="default" w:ascii="Times New Roman" w:hAnsi="Times New Roman" w:cs="Times New Roman"/>
                <w:color w:val="auto"/>
                <w:sz w:val="24"/>
                <w:szCs w:val="24"/>
                <w:highlight w:val="none"/>
              </w:rPr>
              <w:t>中</w:t>
            </w:r>
            <w:r>
              <w:rPr>
                <w:rFonts w:hint="eastAsia" w:ascii="Times New Roman" w:hAnsi="Times New Roman" w:cs="Times New Roman"/>
                <w:color w:val="auto"/>
                <w:sz w:val="24"/>
                <w:szCs w:val="24"/>
                <w:highlight w:val="none"/>
                <w:lang w:eastAsia="zh-CN"/>
              </w:rPr>
              <w:t>的循环水</w:t>
            </w:r>
            <w:r>
              <w:rPr>
                <w:rFonts w:hint="default" w:ascii="Times New Roman" w:hAnsi="Times New Roman" w:cs="Times New Roman"/>
                <w:color w:val="auto"/>
                <w:sz w:val="24"/>
                <w:szCs w:val="24"/>
                <w:highlight w:val="none"/>
              </w:rPr>
              <w:t>定期更换，更换周期为</w:t>
            </w:r>
            <w:r>
              <w:rPr>
                <w:rFonts w:hint="eastAsia" w:ascii="Times New Roman" w:hAnsi="Times New Roman" w:cs="Times New Roman"/>
                <w:color w:val="auto"/>
                <w:sz w:val="24"/>
                <w:szCs w:val="24"/>
                <w:highlight w:val="none"/>
                <w:lang w:eastAsia="zh-CN"/>
              </w:rPr>
              <w:t>一</w:t>
            </w:r>
            <w:r>
              <w:rPr>
                <w:rFonts w:hint="default" w:ascii="Times New Roman" w:hAnsi="Times New Roman" w:cs="Times New Roman"/>
                <w:color w:val="auto"/>
                <w:sz w:val="24"/>
                <w:szCs w:val="24"/>
                <w:highlight w:val="none"/>
              </w:rPr>
              <w:t>个月1次，</w:t>
            </w:r>
            <w:r>
              <w:rPr>
                <w:rFonts w:hint="eastAsia" w:cs="Times New Roman"/>
                <w:color w:val="auto"/>
                <w:sz w:val="24"/>
                <w:szCs w:val="24"/>
                <w:highlight w:val="none"/>
                <w:lang w:eastAsia="zh-CN"/>
              </w:rPr>
              <w:t>每次</w:t>
            </w:r>
            <w:r>
              <w:rPr>
                <w:rFonts w:hint="default" w:ascii="Times New Roman" w:hAnsi="Times New Roman" w:cs="Times New Roman"/>
                <w:color w:val="auto"/>
                <w:sz w:val="24"/>
                <w:szCs w:val="24"/>
                <w:highlight w:val="none"/>
              </w:rPr>
              <w:t>更换水量为</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次</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则年更换水量为</w:t>
            </w:r>
            <w:r>
              <w:rPr>
                <w:rFonts w:hint="eastAsia" w:cs="Times New Roman"/>
                <w:color w:val="auto"/>
                <w:sz w:val="24"/>
                <w:szCs w:val="24"/>
                <w:highlight w:val="none"/>
                <w:lang w:val="en-US" w:eastAsia="zh-CN"/>
              </w:rPr>
              <w:t>14.4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p w14:paraId="136440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④二次清</w:t>
            </w:r>
            <w:r>
              <w:rPr>
                <w:rFonts w:hint="default" w:ascii="Times New Roman" w:hAnsi="Times New Roman" w:cs="Times New Roman"/>
                <w:color w:val="auto"/>
                <w:sz w:val="24"/>
                <w:szCs w:val="24"/>
                <w:highlight w:val="none"/>
                <w:lang w:val="en-US" w:eastAsia="zh-CN"/>
              </w:rPr>
              <w:t>洗用水</w:t>
            </w:r>
          </w:p>
          <w:p w14:paraId="6BACE9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第一次清洗与第二次清洗共用1台清洗机，清洗机自带2个2.1m×1.2m×0.6m的循环水箱，分别用于二次清洗过程的水循环</w:t>
            </w:r>
            <w:r>
              <w:rPr>
                <w:rFonts w:hint="default" w:ascii="Times New Roman" w:hAnsi="Times New Roman" w:eastAsia="宋体" w:cs="Times New Roman"/>
                <w:color w:val="auto"/>
                <w:sz w:val="24"/>
                <w:szCs w:val="24"/>
                <w:highlight w:val="none"/>
                <w:lang w:val="en-US" w:eastAsia="zh-CN"/>
              </w:rPr>
              <w:t>。</w:t>
            </w:r>
            <w:r>
              <w:rPr>
                <w:rFonts w:ascii="Times New Roman" w:hAnsi="Times New Roman"/>
                <w:color w:val="auto"/>
                <w:sz w:val="24"/>
                <w:szCs w:val="24"/>
                <w:highlight w:val="none"/>
              </w:rPr>
              <w:t>在</w:t>
            </w:r>
            <w:r>
              <w:rPr>
                <w:rFonts w:hint="eastAsia"/>
                <w:color w:val="auto"/>
                <w:sz w:val="24"/>
                <w:szCs w:val="24"/>
                <w:highlight w:val="none"/>
                <w:lang w:eastAsia="zh-CN"/>
              </w:rPr>
              <w:t>运营过程中</w:t>
            </w:r>
            <w:r>
              <w:rPr>
                <w:rFonts w:ascii="Times New Roman" w:hAnsi="Times New Roman"/>
                <w:color w:val="auto"/>
                <w:sz w:val="24"/>
                <w:szCs w:val="24"/>
                <w:highlight w:val="none"/>
              </w:rPr>
              <w:t>有部分水分被玻璃带走</w:t>
            </w:r>
            <w:r>
              <w:rPr>
                <w:rFonts w:hint="eastAsia"/>
                <w:color w:val="auto"/>
                <w:sz w:val="24"/>
                <w:szCs w:val="24"/>
                <w:highlight w:val="none"/>
                <w:lang w:eastAsia="zh-CN"/>
              </w:rPr>
              <w:t>和</w:t>
            </w:r>
            <w:r>
              <w:rPr>
                <w:rFonts w:ascii="Times New Roman" w:hAnsi="Times New Roman"/>
                <w:color w:val="auto"/>
                <w:sz w:val="24"/>
                <w:szCs w:val="24"/>
                <w:highlight w:val="none"/>
              </w:rPr>
              <w:t>蒸发损耗，</w:t>
            </w:r>
            <w:r>
              <w:rPr>
                <w:rFonts w:hint="default" w:ascii="Times New Roman" w:hAnsi="Times New Roman" w:eastAsia="宋体" w:cs="Times New Roman"/>
                <w:color w:val="auto"/>
                <w:sz w:val="24"/>
                <w:szCs w:val="24"/>
                <w:highlight w:val="none"/>
                <w:lang w:val="en-US" w:eastAsia="zh-CN"/>
              </w:rPr>
              <w:t>需</w:t>
            </w:r>
            <w:r>
              <w:rPr>
                <w:rFonts w:hint="eastAsia" w:ascii="Times New Roman" w:hAnsi="Times New Roman" w:eastAsia="宋体" w:cs="Times New Roman"/>
                <w:color w:val="auto"/>
                <w:sz w:val="24"/>
                <w:szCs w:val="24"/>
                <w:highlight w:val="none"/>
                <w:lang w:val="en-US" w:eastAsia="zh-CN"/>
              </w:rPr>
              <w:t>定期</w:t>
            </w:r>
            <w:r>
              <w:rPr>
                <w:rFonts w:hint="eastAsia" w:cs="Times New Roman"/>
                <w:color w:val="auto"/>
                <w:sz w:val="24"/>
                <w:szCs w:val="24"/>
                <w:highlight w:val="none"/>
                <w:lang w:val="en-US" w:eastAsia="zh-CN"/>
              </w:rPr>
              <w:t>添加</w:t>
            </w:r>
            <w:r>
              <w:rPr>
                <w:rFonts w:hint="default" w:ascii="Times New Roman" w:hAnsi="Times New Roman" w:eastAsia="宋体" w:cs="Times New Roman"/>
                <w:color w:val="auto"/>
                <w:sz w:val="24"/>
                <w:szCs w:val="24"/>
                <w:highlight w:val="none"/>
                <w:lang w:val="en-US" w:eastAsia="zh-CN"/>
              </w:rPr>
              <w:t>补充</w:t>
            </w:r>
            <w:r>
              <w:rPr>
                <w:rFonts w:hint="eastAsia" w:cs="Times New Roman"/>
                <w:color w:val="auto"/>
                <w:sz w:val="24"/>
                <w:szCs w:val="24"/>
                <w:highlight w:val="none"/>
                <w:lang w:val="en-US" w:eastAsia="zh-CN"/>
              </w:rPr>
              <w:t>，约1个月更换一次</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根据业主提供资料</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第</w:t>
            </w:r>
            <w:r>
              <w:rPr>
                <w:rFonts w:hint="eastAsia" w:eastAsia="宋体" w:cs="Times New Roman"/>
                <w:color w:val="auto"/>
                <w:sz w:val="24"/>
                <w:szCs w:val="24"/>
                <w:highlight w:val="none"/>
                <w:lang w:val="en-US" w:eastAsia="zh-CN"/>
              </w:rPr>
              <w:t>一次</w:t>
            </w:r>
            <w:r>
              <w:rPr>
                <w:rFonts w:hint="eastAsia" w:cs="Times New Roman"/>
                <w:color w:val="auto"/>
                <w:sz w:val="24"/>
                <w:szCs w:val="24"/>
                <w:highlight w:val="none"/>
                <w:lang w:val="en-US" w:eastAsia="zh-CN"/>
              </w:rPr>
              <w:t>清洗</w:t>
            </w:r>
            <w:r>
              <w:rPr>
                <w:rFonts w:hint="eastAsia" w:eastAsia="宋体" w:cs="Times New Roman"/>
                <w:color w:val="auto"/>
                <w:sz w:val="24"/>
                <w:szCs w:val="24"/>
                <w:highlight w:val="none"/>
                <w:lang w:val="en-US" w:eastAsia="zh-CN"/>
              </w:rPr>
              <w:t>工序、</w:t>
            </w:r>
            <w:r>
              <w:rPr>
                <w:rFonts w:hint="eastAsia" w:cs="Times New Roman"/>
                <w:color w:val="auto"/>
                <w:sz w:val="24"/>
                <w:szCs w:val="24"/>
                <w:highlight w:val="none"/>
                <w:lang w:val="en-US" w:eastAsia="zh-CN"/>
              </w:rPr>
              <w:t>第</w:t>
            </w:r>
            <w:r>
              <w:rPr>
                <w:rFonts w:hint="eastAsia" w:eastAsia="宋体" w:cs="Times New Roman"/>
                <w:color w:val="auto"/>
                <w:sz w:val="24"/>
                <w:szCs w:val="24"/>
                <w:highlight w:val="none"/>
                <w:lang w:val="en-US" w:eastAsia="zh-CN"/>
              </w:rPr>
              <w:t>二次</w:t>
            </w:r>
            <w:r>
              <w:rPr>
                <w:rFonts w:hint="eastAsia" w:cs="Times New Roman"/>
                <w:color w:val="auto"/>
                <w:sz w:val="24"/>
                <w:szCs w:val="24"/>
                <w:highlight w:val="none"/>
                <w:lang w:val="en-US" w:eastAsia="zh-CN"/>
              </w:rPr>
              <w:t>清洗</w:t>
            </w:r>
            <w:r>
              <w:rPr>
                <w:rFonts w:hint="eastAsia" w:eastAsia="宋体" w:cs="Times New Roman"/>
                <w:color w:val="auto"/>
                <w:sz w:val="24"/>
                <w:szCs w:val="24"/>
                <w:highlight w:val="none"/>
                <w:lang w:val="en-US" w:eastAsia="zh-CN"/>
              </w:rPr>
              <w:t>工序与预水洗工序的用排水情况一致，因此</w:t>
            </w:r>
            <w:r>
              <w:rPr>
                <w:rFonts w:hint="eastAsia" w:cs="Times New Roman"/>
                <w:color w:val="auto"/>
                <w:sz w:val="24"/>
                <w:szCs w:val="24"/>
                <w:highlight w:val="none"/>
                <w:lang w:val="en-US" w:eastAsia="zh-CN"/>
              </w:rPr>
              <w:t>第一次清洗</w:t>
            </w:r>
            <w:r>
              <w:rPr>
                <w:rFonts w:hint="eastAsia" w:eastAsia="宋体" w:cs="Times New Roman"/>
                <w:color w:val="auto"/>
                <w:sz w:val="24"/>
                <w:szCs w:val="24"/>
                <w:highlight w:val="none"/>
                <w:lang w:val="en-US" w:eastAsia="zh-CN"/>
              </w:rPr>
              <w:t>及</w:t>
            </w:r>
            <w:r>
              <w:rPr>
                <w:rFonts w:hint="eastAsia" w:cs="Times New Roman"/>
                <w:color w:val="auto"/>
                <w:sz w:val="24"/>
                <w:szCs w:val="24"/>
                <w:highlight w:val="none"/>
                <w:lang w:val="en-US" w:eastAsia="zh-CN"/>
              </w:rPr>
              <w:t>第二次清洗过程</w:t>
            </w:r>
            <w:r>
              <w:rPr>
                <w:rFonts w:hint="default" w:ascii="Times New Roman" w:hAnsi="Times New Roman" w:cs="Times New Roman"/>
                <w:color w:val="auto"/>
                <w:sz w:val="24"/>
                <w:szCs w:val="24"/>
                <w:highlight w:val="none"/>
              </w:rPr>
              <w:t>循环水量</w:t>
            </w:r>
            <w:r>
              <w:rPr>
                <w:rFonts w:hint="eastAsia" w:ascii="Times New Roman" w:hAnsi="Times New Roman" w:cs="Times New Roman"/>
                <w:color w:val="auto"/>
                <w:sz w:val="24"/>
                <w:szCs w:val="24"/>
                <w:highlight w:val="none"/>
                <w:lang w:eastAsia="zh-CN"/>
              </w:rPr>
              <w:t>均</w:t>
            </w:r>
            <w:r>
              <w:rPr>
                <w:rFonts w:hint="default" w:ascii="Times New Roman" w:hAnsi="Times New Roman" w:cs="Times New Roman"/>
                <w:color w:val="auto"/>
                <w:sz w:val="24"/>
                <w:szCs w:val="24"/>
                <w:highlight w:val="none"/>
              </w:rPr>
              <w:t>为</w:t>
            </w:r>
            <w:r>
              <w:rPr>
                <w:rFonts w:hint="eastAsia" w:cs="Times New Roman"/>
                <w:color w:val="auto"/>
                <w:sz w:val="24"/>
                <w:szCs w:val="24"/>
                <w:highlight w:val="none"/>
                <w:lang w:val="en-US" w:eastAsia="zh-CN"/>
              </w:rPr>
              <w:t>0.25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h</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d</w:t>
            </w:r>
            <w:r>
              <w:rPr>
                <w:rFonts w:hint="default" w:ascii="Times New Roman" w:hAnsi="Times New Roman" w:cs="Times New Roman"/>
                <w:color w:val="auto"/>
                <w:sz w:val="24"/>
                <w:szCs w:val="24"/>
                <w:highlight w:val="none"/>
              </w:rPr>
              <w:t>，损耗水量为</w:t>
            </w:r>
            <w:r>
              <w:rPr>
                <w:rFonts w:hint="eastAsia" w:cs="Times New Roman"/>
                <w:color w:val="auto"/>
                <w:sz w:val="24"/>
                <w:szCs w:val="24"/>
                <w:highlight w:val="none"/>
                <w:lang w:val="en-US" w:eastAsia="zh-CN"/>
              </w:rPr>
              <w:t>被玻璃带走及蒸发</w:t>
            </w:r>
            <w:r>
              <w:rPr>
                <w:rFonts w:hint="eastAsia" w:ascii="Times New Roman" w:hAnsi="Times New Roman" w:cs="Times New Roman"/>
                <w:color w:val="auto"/>
                <w:sz w:val="24"/>
                <w:szCs w:val="24"/>
                <w:highlight w:val="none"/>
                <w:lang w:val="en-US" w:eastAsia="zh-CN"/>
              </w:rPr>
              <w:t>损耗</w:t>
            </w:r>
            <w:r>
              <w:rPr>
                <w:rFonts w:hint="default" w:ascii="Times New Roman" w:hAnsi="Times New Roman" w:cs="Times New Roman"/>
                <w:color w:val="auto"/>
                <w:sz w:val="24"/>
                <w:szCs w:val="24"/>
                <w:highlight w:val="none"/>
              </w:rPr>
              <w:t>，按照循环水量的10%计算，则</w:t>
            </w:r>
            <w:r>
              <w:rPr>
                <w:rFonts w:hint="eastAsia" w:cs="Times New Roman"/>
                <w:color w:val="auto"/>
                <w:sz w:val="24"/>
                <w:szCs w:val="24"/>
                <w:highlight w:val="none"/>
                <w:lang w:val="en-US" w:eastAsia="zh-CN"/>
              </w:rPr>
              <w:t>第一次清洗</w:t>
            </w:r>
            <w:r>
              <w:rPr>
                <w:rFonts w:hint="eastAsia" w:eastAsia="宋体" w:cs="Times New Roman"/>
                <w:color w:val="auto"/>
                <w:sz w:val="24"/>
                <w:szCs w:val="24"/>
                <w:highlight w:val="none"/>
                <w:lang w:val="en-US" w:eastAsia="zh-CN"/>
              </w:rPr>
              <w:t>及</w:t>
            </w:r>
            <w:r>
              <w:rPr>
                <w:rFonts w:hint="eastAsia" w:cs="Times New Roman"/>
                <w:color w:val="auto"/>
                <w:sz w:val="24"/>
                <w:szCs w:val="24"/>
                <w:highlight w:val="none"/>
                <w:lang w:val="en-US" w:eastAsia="zh-CN"/>
              </w:rPr>
              <w:t>第二次清洗</w:t>
            </w:r>
            <w:r>
              <w:rPr>
                <w:rFonts w:hint="default" w:ascii="Times New Roman" w:hAnsi="Times New Roman" w:cs="Times New Roman"/>
                <w:color w:val="auto"/>
                <w:sz w:val="24"/>
                <w:szCs w:val="24"/>
                <w:highlight w:val="none"/>
              </w:rPr>
              <w:t>补充水量</w:t>
            </w:r>
            <w:r>
              <w:rPr>
                <w:rFonts w:hint="eastAsia" w:ascii="Times New Roman" w:hAnsi="Times New Roman" w:cs="Times New Roman"/>
                <w:color w:val="auto"/>
                <w:sz w:val="24"/>
                <w:szCs w:val="24"/>
                <w:highlight w:val="none"/>
                <w:lang w:eastAsia="zh-CN"/>
              </w:rPr>
              <w:t>均</w:t>
            </w:r>
            <w:r>
              <w:rPr>
                <w:rFonts w:hint="default" w:ascii="Times New Roman" w:hAnsi="Times New Roman" w:cs="Times New Roman"/>
                <w:color w:val="auto"/>
                <w:sz w:val="24"/>
                <w:szCs w:val="24"/>
                <w:highlight w:val="none"/>
              </w:rPr>
              <w:t>为</w:t>
            </w:r>
            <w:r>
              <w:rPr>
                <w:rFonts w:hint="eastAsia" w:cs="Times New Roman"/>
                <w:color w:val="auto"/>
                <w:sz w:val="24"/>
                <w:szCs w:val="24"/>
                <w:highlight w:val="none"/>
                <w:lang w:val="en-US" w:eastAsia="zh-CN"/>
              </w:rPr>
              <w:t>0.4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120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val="en-US" w:eastAsia="zh-CN"/>
              </w:rPr>
              <w:t>2个</w:t>
            </w:r>
            <w:r>
              <w:rPr>
                <w:rFonts w:hint="default" w:ascii="Times New Roman" w:hAnsi="Times New Roman" w:cs="Times New Roman"/>
                <w:color w:val="auto"/>
                <w:sz w:val="24"/>
                <w:szCs w:val="24"/>
                <w:highlight w:val="none"/>
              </w:rPr>
              <w:t>循环</w:t>
            </w:r>
            <w:r>
              <w:rPr>
                <w:rFonts w:hint="eastAsia" w:ascii="Times New Roman" w:hAnsi="Times New Roman" w:cs="Times New Roman"/>
                <w:color w:val="auto"/>
                <w:sz w:val="24"/>
                <w:szCs w:val="24"/>
                <w:highlight w:val="none"/>
                <w:lang w:eastAsia="zh-CN"/>
              </w:rPr>
              <w:t>水箱</w:t>
            </w:r>
            <w:r>
              <w:rPr>
                <w:rFonts w:hint="default" w:ascii="Times New Roman" w:hAnsi="Times New Roman" w:cs="Times New Roman"/>
                <w:color w:val="auto"/>
                <w:sz w:val="24"/>
                <w:szCs w:val="24"/>
                <w:highlight w:val="none"/>
              </w:rPr>
              <w:t>中</w:t>
            </w:r>
            <w:r>
              <w:rPr>
                <w:rFonts w:hint="eastAsia" w:ascii="Times New Roman" w:hAnsi="Times New Roman" w:cs="Times New Roman"/>
                <w:color w:val="auto"/>
                <w:sz w:val="24"/>
                <w:szCs w:val="24"/>
                <w:highlight w:val="none"/>
                <w:lang w:eastAsia="zh-CN"/>
              </w:rPr>
              <w:t>的循环水</w:t>
            </w:r>
            <w:r>
              <w:rPr>
                <w:rFonts w:hint="default" w:ascii="Times New Roman" w:hAnsi="Times New Roman" w:cs="Times New Roman"/>
                <w:color w:val="auto"/>
                <w:sz w:val="24"/>
                <w:szCs w:val="24"/>
                <w:highlight w:val="none"/>
              </w:rPr>
              <w:t>定期更换，更换周期为</w:t>
            </w:r>
            <w:r>
              <w:rPr>
                <w:rFonts w:hint="eastAsia" w:ascii="Times New Roman" w:hAnsi="Times New Roman" w:cs="Times New Roman"/>
                <w:color w:val="auto"/>
                <w:sz w:val="24"/>
                <w:szCs w:val="24"/>
                <w:highlight w:val="none"/>
                <w:lang w:eastAsia="zh-CN"/>
              </w:rPr>
              <w:t>一</w:t>
            </w:r>
            <w:r>
              <w:rPr>
                <w:rFonts w:hint="default" w:ascii="Times New Roman" w:hAnsi="Times New Roman" w:cs="Times New Roman"/>
                <w:color w:val="auto"/>
                <w:sz w:val="24"/>
                <w:szCs w:val="24"/>
                <w:highlight w:val="none"/>
              </w:rPr>
              <w:t>个月1次，</w:t>
            </w:r>
            <w:r>
              <w:rPr>
                <w:rFonts w:hint="eastAsia" w:cs="Times New Roman"/>
                <w:color w:val="auto"/>
                <w:sz w:val="24"/>
                <w:szCs w:val="24"/>
                <w:highlight w:val="none"/>
                <w:lang w:eastAsia="zh-CN"/>
              </w:rPr>
              <w:t>每次</w:t>
            </w:r>
            <w:r>
              <w:rPr>
                <w:rFonts w:hint="default" w:ascii="Times New Roman" w:hAnsi="Times New Roman" w:cs="Times New Roman"/>
                <w:color w:val="auto"/>
                <w:sz w:val="24"/>
                <w:szCs w:val="24"/>
                <w:highlight w:val="none"/>
              </w:rPr>
              <w:t>更换水量</w:t>
            </w:r>
            <w:r>
              <w:rPr>
                <w:rFonts w:hint="eastAsia" w:ascii="Times New Roman" w:hAnsi="Times New Roman" w:cs="Times New Roman"/>
                <w:color w:val="auto"/>
                <w:sz w:val="24"/>
                <w:szCs w:val="24"/>
                <w:highlight w:val="none"/>
                <w:lang w:eastAsia="zh-CN"/>
              </w:rPr>
              <w:t>均</w:t>
            </w:r>
            <w:r>
              <w:rPr>
                <w:rFonts w:hint="default" w:ascii="Times New Roman" w:hAnsi="Times New Roman" w:cs="Times New Roman"/>
                <w:color w:val="auto"/>
                <w:sz w:val="24"/>
                <w:szCs w:val="24"/>
                <w:highlight w:val="none"/>
              </w:rPr>
              <w:t>为</w:t>
            </w: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次</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则年更换水量</w:t>
            </w:r>
            <w:r>
              <w:rPr>
                <w:rFonts w:hint="eastAsia" w:ascii="Times New Roman" w:hAnsi="Times New Roman" w:cs="Times New Roman"/>
                <w:color w:val="auto"/>
                <w:sz w:val="24"/>
                <w:szCs w:val="24"/>
                <w:highlight w:val="none"/>
                <w:lang w:eastAsia="zh-CN"/>
              </w:rPr>
              <w:t>均</w:t>
            </w:r>
            <w:r>
              <w:rPr>
                <w:rFonts w:hint="default" w:ascii="Times New Roman" w:hAnsi="Times New Roman" w:cs="Times New Roman"/>
                <w:color w:val="auto"/>
                <w:sz w:val="24"/>
                <w:szCs w:val="24"/>
                <w:highlight w:val="none"/>
              </w:rPr>
              <w:t>为</w:t>
            </w:r>
            <w:r>
              <w:rPr>
                <w:rFonts w:hint="eastAsia" w:ascii="Times New Roman" w:hAnsi="Times New Roman" w:cs="Times New Roman"/>
                <w:color w:val="auto"/>
                <w:sz w:val="24"/>
                <w:szCs w:val="24"/>
                <w:highlight w:val="none"/>
                <w:lang w:val="en-US" w:eastAsia="zh-CN"/>
              </w:rPr>
              <w:t>14.4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p w14:paraId="10A3FB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val="en-US" w:eastAsia="zh-CN"/>
              </w:rPr>
              <w:t>碱洗塔用水</w:t>
            </w:r>
          </w:p>
          <w:p w14:paraId="60DC79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项目使用</w:t>
            </w:r>
            <w:r>
              <w:rPr>
                <w:rFonts w:hint="eastAsia" w:cs="Times New Roman"/>
                <w:color w:val="auto"/>
                <w:sz w:val="24"/>
                <w:szCs w:val="24"/>
                <w:highlight w:val="none"/>
                <w:lang w:val="en-US" w:eastAsia="zh-CN"/>
              </w:rPr>
              <w:t>1套碱液喷淋洗涤塔</w:t>
            </w:r>
            <w:r>
              <w:rPr>
                <w:rFonts w:hint="default" w:ascii="Times New Roman" w:hAnsi="Times New Roman" w:eastAsia="宋体" w:cs="Times New Roman"/>
                <w:color w:val="auto"/>
                <w:sz w:val="24"/>
                <w:szCs w:val="24"/>
                <w:highlight w:val="none"/>
                <w:lang w:val="en-US" w:eastAsia="zh-CN"/>
              </w:rPr>
              <w:t>废气治理设施</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碱液洗涤废水</w:t>
            </w:r>
            <w:r>
              <w:rPr>
                <w:rFonts w:hint="eastAsia" w:cs="Times New Roman"/>
                <w:color w:val="auto"/>
                <w:sz w:val="24"/>
                <w:szCs w:val="24"/>
                <w:highlight w:val="none"/>
                <w:lang w:val="en-US" w:eastAsia="zh-CN"/>
              </w:rPr>
              <w:t>经碱洗塔自带循环水箱收集后</w:t>
            </w:r>
            <w:r>
              <w:rPr>
                <w:rFonts w:hint="eastAsia" w:ascii="Times New Roman" w:hAnsi="Times New Roman" w:cs="Times New Roman"/>
                <w:color w:val="auto"/>
                <w:sz w:val="24"/>
                <w:szCs w:val="24"/>
                <w:highlight w:val="none"/>
                <w:lang w:val="en-US" w:eastAsia="zh-CN"/>
              </w:rPr>
              <w:t>循环使用，</w:t>
            </w:r>
            <w:r>
              <w:rPr>
                <w:rFonts w:hint="eastAsia"/>
                <w:color w:val="auto"/>
                <w:sz w:val="24"/>
                <w:szCs w:val="24"/>
                <w:highlight w:val="none"/>
                <w:lang w:eastAsia="zh-CN"/>
              </w:rPr>
              <w:t>期间</w:t>
            </w:r>
            <w:r>
              <w:rPr>
                <w:rFonts w:ascii="Times New Roman" w:hAnsi="Times New Roman"/>
                <w:color w:val="auto"/>
                <w:sz w:val="24"/>
                <w:szCs w:val="24"/>
                <w:highlight w:val="none"/>
              </w:rPr>
              <w:t>有部分蒸发损耗，</w:t>
            </w:r>
            <w:r>
              <w:rPr>
                <w:rFonts w:hint="eastAsia" w:cs="Times New Roman"/>
                <w:color w:val="auto"/>
                <w:sz w:val="24"/>
                <w:szCs w:val="24"/>
                <w:highlight w:val="none"/>
                <w:lang w:val="en-US" w:eastAsia="zh-CN"/>
              </w:rPr>
              <w:t>需定期添加补充，约1个月更换一次。</w:t>
            </w:r>
            <w:r>
              <w:rPr>
                <w:rFonts w:hint="default" w:ascii="Times New Roman" w:hAnsi="Times New Roman" w:eastAsia="宋体" w:cs="Times New Roman"/>
                <w:color w:val="auto"/>
                <w:sz w:val="24"/>
                <w:szCs w:val="24"/>
                <w:highlight w:val="none"/>
                <w:lang w:val="en-US" w:eastAsia="zh-CN"/>
              </w:rPr>
              <w:t>根据业主提供资料</w:t>
            </w: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eastAsia="zh-CN"/>
              </w:rPr>
              <w:t>碱洗塔的</w:t>
            </w:r>
            <w:r>
              <w:rPr>
                <w:rFonts w:hint="default" w:ascii="Times New Roman" w:hAnsi="Times New Roman" w:cs="Times New Roman"/>
                <w:color w:val="auto"/>
                <w:sz w:val="24"/>
                <w:szCs w:val="24"/>
                <w:highlight w:val="none"/>
              </w:rPr>
              <w:t>循环水量为</w:t>
            </w:r>
            <w:r>
              <w:rPr>
                <w:rFonts w:hint="eastAsia" w:cs="Times New Roman"/>
                <w:color w:val="auto"/>
                <w:sz w:val="24"/>
                <w:szCs w:val="24"/>
                <w:highlight w:val="none"/>
                <w:lang w:val="en-US" w:eastAsia="zh-CN"/>
              </w:rPr>
              <w:t>0.4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eastAsia" w:cs="Times New Roman"/>
                <w:color w:val="auto"/>
                <w:sz w:val="24"/>
                <w:szCs w:val="24"/>
                <w:highlight w:val="none"/>
                <w:lang w:val="en-US" w:eastAsia="zh-CN"/>
              </w:rPr>
              <w:t>6.4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/d，损耗水量为蒸发损耗、风吹损耗，按照循环水量的</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%计算，则</w:t>
            </w:r>
            <w:r>
              <w:rPr>
                <w:rFonts w:hint="eastAsia" w:ascii="Times New Roman" w:hAnsi="Times New Roman" w:cs="Times New Roman"/>
                <w:color w:val="auto"/>
                <w:sz w:val="24"/>
                <w:szCs w:val="24"/>
                <w:highlight w:val="none"/>
                <w:lang w:eastAsia="zh-CN"/>
              </w:rPr>
              <w:t>碱洗塔</w:t>
            </w:r>
            <w:r>
              <w:rPr>
                <w:rFonts w:hint="default" w:ascii="Times New Roman" w:hAnsi="Times New Roman" w:cs="Times New Roman"/>
                <w:color w:val="auto"/>
                <w:sz w:val="24"/>
                <w:szCs w:val="24"/>
                <w:highlight w:val="none"/>
              </w:rPr>
              <w:t>补充水量为</w:t>
            </w:r>
            <w:r>
              <w:rPr>
                <w:rFonts w:hint="eastAsia" w:cs="Times New Roman"/>
                <w:color w:val="auto"/>
                <w:sz w:val="24"/>
                <w:szCs w:val="24"/>
                <w:highlight w:val="none"/>
                <w:lang w:val="en-US" w:eastAsia="zh-CN"/>
              </w:rPr>
              <w:t>0.32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cs="Times New Roman"/>
                <w:color w:val="auto"/>
                <w:sz w:val="24"/>
                <w:szCs w:val="24"/>
                <w:highlight w:val="none"/>
                <w:lang w:val="en-US" w:eastAsia="zh-CN"/>
              </w:rPr>
              <w:t>96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/a。循环</w:t>
            </w:r>
            <w:r>
              <w:rPr>
                <w:rFonts w:hint="eastAsia" w:ascii="Times New Roman" w:hAnsi="Times New Roman" w:cs="Times New Roman"/>
                <w:color w:val="auto"/>
                <w:sz w:val="24"/>
                <w:szCs w:val="24"/>
                <w:highlight w:val="none"/>
                <w:lang w:eastAsia="zh-CN"/>
              </w:rPr>
              <w:t>水箱</w:t>
            </w:r>
            <w:r>
              <w:rPr>
                <w:rFonts w:hint="default" w:ascii="Times New Roman" w:hAnsi="Times New Roman" w:cs="Times New Roman"/>
                <w:color w:val="auto"/>
                <w:sz w:val="24"/>
                <w:szCs w:val="24"/>
                <w:highlight w:val="none"/>
              </w:rPr>
              <w:t>中</w:t>
            </w:r>
            <w:r>
              <w:rPr>
                <w:rFonts w:hint="eastAsia" w:cs="Times New Roman"/>
                <w:color w:val="auto"/>
                <w:sz w:val="24"/>
                <w:szCs w:val="24"/>
                <w:highlight w:val="none"/>
                <w:lang w:eastAsia="zh-CN"/>
              </w:rPr>
              <w:t>的</w:t>
            </w:r>
            <w:r>
              <w:rPr>
                <w:rFonts w:hint="default" w:ascii="Times New Roman" w:hAnsi="Times New Roman" w:cs="Times New Roman"/>
                <w:color w:val="auto"/>
                <w:sz w:val="24"/>
                <w:szCs w:val="24"/>
                <w:highlight w:val="none"/>
              </w:rPr>
              <w:t>循环水定期更换，更换周期为</w:t>
            </w:r>
            <w:r>
              <w:rPr>
                <w:rFonts w:hint="eastAsia" w:ascii="Times New Roman" w:hAnsi="Times New Roman" w:cs="Times New Roman"/>
                <w:color w:val="auto"/>
                <w:sz w:val="24"/>
                <w:szCs w:val="24"/>
                <w:highlight w:val="none"/>
                <w:lang w:eastAsia="zh-CN"/>
              </w:rPr>
              <w:t>一</w:t>
            </w:r>
            <w:r>
              <w:rPr>
                <w:rFonts w:hint="default" w:ascii="Times New Roman" w:hAnsi="Times New Roman" w:cs="Times New Roman"/>
                <w:color w:val="auto"/>
                <w:sz w:val="24"/>
                <w:szCs w:val="24"/>
                <w:highlight w:val="none"/>
              </w:rPr>
              <w:t>个月1次，每次更换水量为</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，则年更换水量为</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p w14:paraId="384A4FF7">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
                <w:sz w:val="24"/>
                <w:szCs w:val="24"/>
                <w:highlight w:val="none"/>
                <w:lang w:val="en-US" w:eastAsia="zh-CN" w:bidi="ar-SA"/>
              </w:rPr>
            </w:pPr>
            <w:r>
              <w:rPr>
                <w:rFonts w:hint="eastAsia"/>
                <w:color w:val="auto"/>
                <w:sz w:val="24"/>
                <w:szCs w:val="24"/>
                <w:highlight w:val="none"/>
                <w:lang w:val="en-US" w:eastAsia="zh-CN"/>
              </w:rPr>
              <w:t>项目内设1座容积为15m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的调节池和1座容积为15m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的清水池，</w:t>
            </w:r>
            <w:r>
              <w:rPr>
                <w:rFonts w:hint="eastAsia" w:ascii="Times New Roman" w:hAnsi="Times New Roman" w:eastAsia="宋体" w:cs="Times New Roman"/>
                <w:color w:val="auto"/>
                <w:kern w:val="2"/>
                <w:sz w:val="24"/>
                <w:szCs w:val="24"/>
                <w:highlight w:val="none"/>
                <w:lang w:val="en-US" w:eastAsia="zh-CN" w:bidi="ar-SA"/>
              </w:rPr>
              <w:t>弱酸清洗废液、预水洗</w:t>
            </w:r>
            <w:r>
              <w:rPr>
                <w:rFonts w:hint="eastAsia" w:cs="Times New Roman"/>
                <w:color w:val="auto"/>
                <w:kern w:val="2"/>
                <w:sz w:val="24"/>
                <w:szCs w:val="24"/>
                <w:highlight w:val="none"/>
                <w:lang w:val="en-US" w:eastAsia="zh-CN" w:bidi="ar-SA"/>
              </w:rPr>
              <w:t>废水、二次清洗废水以及碱液喷淋洗涤废水经收集后统一进入调节池、生产废水处理设施处理达《城市污水再生利用 工业用水水质》</w:t>
            </w:r>
            <w:r>
              <w:rPr>
                <w:rFonts w:hint="default" w:ascii="Times New Roman" w:hAnsi="Times New Roman" w:cs="Times New Roman"/>
                <w:color w:val="auto"/>
                <w:kern w:val="2"/>
                <w:sz w:val="24"/>
                <w:szCs w:val="24"/>
                <w:highlight w:val="none"/>
                <w:lang w:val="en-US" w:eastAsia="zh-CN" w:bidi="ar-SA"/>
              </w:rPr>
              <w:t>（GB/T 19923-2005）</w:t>
            </w:r>
            <w:r>
              <w:rPr>
                <w:rFonts w:hint="eastAsia" w:cs="Times New Roman"/>
                <w:color w:val="auto"/>
                <w:kern w:val="2"/>
                <w:sz w:val="24"/>
                <w:szCs w:val="24"/>
                <w:highlight w:val="none"/>
                <w:lang w:val="en-US" w:eastAsia="zh-CN" w:bidi="ar-SA"/>
              </w:rPr>
              <w:t>中的洗涤用水标准后回用于水洗补水，不外排。</w:t>
            </w:r>
          </w:p>
          <w:p w14:paraId="2EA6983D">
            <w:pPr>
              <w:pStyle w:val="5"/>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（2）原有工程用排水</w:t>
            </w:r>
          </w:p>
          <w:p w14:paraId="74A25DF0">
            <w:pPr>
              <w:pStyle w:val="5"/>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）原项目生活用水</w:t>
            </w:r>
          </w:p>
          <w:p w14:paraId="24458C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根据业主提供的资料，原项目</w:t>
            </w:r>
            <w:r>
              <w:rPr>
                <w:rFonts w:hint="eastAsia" w:ascii="Times New Roman" w:hAnsi="Times New Roman" w:cs="Times New Roman"/>
                <w:color w:val="auto"/>
                <w:kern w:val="2"/>
                <w:sz w:val="24"/>
                <w:szCs w:val="24"/>
                <w:highlight w:val="none"/>
                <w:lang w:val="en-US" w:eastAsia="zh-CN" w:bidi="ar-SA"/>
              </w:rPr>
              <w:t>生活用水量为</w:t>
            </w:r>
            <w:r>
              <w:rPr>
                <w:rFonts w:hint="eastAsia" w:cs="Times New Roman"/>
                <w:color w:val="auto"/>
                <w:kern w:val="2"/>
                <w:sz w:val="24"/>
                <w:szCs w:val="24"/>
                <w:highlight w:val="none"/>
                <w:lang w:val="en-US" w:eastAsia="zh-CN" w:bidi="ar-SA"/>
              </w:rPr>
              <w:t>2.725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817.5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a</w:t>
            </w:r>
            <w:r>
              <w:rPr>
                <w:rFonts w:hint="eastAsia" w:cs="Times New Roman"/>
                <w:color w:val="auto"/>
                <w:sz w:val="24"/>
                <w:szCs w:val="24"/>
                <w:highlight w:val="none"/>
                <w:lang w:val="en-US" w:eastAsia="zh-CN"/>
              </w:rPr>
              <w:t>（其中新鲜水</w:t>
            </w:r>
            <w:r>
              <w:rPr>
                <w:rFonts w:hint="eastAsia" w:ascii="Times New Roman" w:hAnsi="Times New Roman" w:cs="Times New Roman"/>
                <w:color w:val="auto"/>
                <w:kern w:val="2"/>
                <w:sz w:val="24"/>
                <w:szCs w:val="24"/>
                <w:highlight w:val="none"/>
                <w:lang w:val="en-US" w:eastAsia="zh-CN" w:bidi="ar-SA"/>
              </w:rPr>
              <w:t>用水量为1.5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450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生活污水</w:t>
            </w:r>
            <w:r>
              <w:rPr>
                <w:rFonts w:hint="eastAsia" w:ascii="Times New Roman" w:hAnsi="Times New Roman" w:eastAsia="宋体" w:cs="Times New Roman"/>
                <w:color w:val="auto"/>
                <w:kern w:val="2"/>
                <w:sz w:val="24"/>
                <w:szCs w:val="24"/>
                <w:highlight w:val="none"/>
                <w:lang w:val="en-US" w:eastAsia="zh-CN" w:bidi="ar-SA"/>
              </w:rPr>
              <w:t>产生量为</w:t>
            </w:r>
            <w:r>
              <w:rPr>
                <w:rFonts w:hint="eastAsia" w:cs="Times New Roman"/>
                <w:color w:val="auto"/>
                <w:kern w:val="2"/>
                <w:sz w:val="24"/>
                <w:szCs w:val="24"/>
                <w:highlight w:val="none"/>
                <w:lang w:val="en-US" w:eastAsia="zh-CN" w:bidi="ar-SA"/>
              </w:rPr>
              <w:t>2.18</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654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a，生活污水</w:t>
            </w:r>
            <w:r>
              <w:rPr>
                <w:rFonts w:hint="eastAsia" w:ascii="Times New Roman" w:hAnsi="Times New Roman" w:eastAsia="宋体" w:cs="Times New Roman"/>
                <w:color w:val="auto"/>
                <w:kern w:val="2"/>
                <w:sz w:val="24"/>
                <w:szCs w:val="24"/>
                <w:highlight w:val="none"/>
                <w:lang w:val="en-US" w:eastAsia="zh-CN" w:bidi="ar-SA"/>
              </w:rPr>
              <w:t>全部经</w:t>
            </w:r>
            <w:r>
              <w:rPr>
                <w:rFonts w:hint="eastAsia" w:cs="Times New Roman"/>
                <w:color w:val="auto"/>
                <w:kern w:val="2"/>
                <w:sz w:val="24"/>
                <w:szCs w:val="24"/>
                <w:highlight w:val="none"/>
                <w:lang w:val="en-US" w:eastAsia="zh-CN" w:bidi="ar-SA"/>
              </w:rPr>
              <w:t>化粪池、生活</w:t>
            </w:r>
            <w:r>
              <w:rPr>
                <w:rFonts w:hint="eastAsia" w:ascii="Times New Roman" w:hAnsi="Times New Roman" w:eastAsia="宋体" w:cs="Times New Roman"/>
                <w:color w:val="auto"/>
                <w:kern w:val="2"/>
                <w:sz w:val="24"/>
                <w:szCs w:val="24"/>
                <w:highlight w:val="none"/>
                <w:lang w:val="en-US" w:eastAsia="zh-CN" w:bidi="ar-SA"/>
              </w:rPr>
              <w:t>污水处理</w:t>
            </w:r>
            <w:r>
              <w:rPr>
                <w:rFonts w:hint="eastAsia" w:cs="Times New Roman"/>
                <w:color w:val="auto"/>
                <w:kern w:val="2"/>
                <w:sz w:val="24"/>
                <w:szCs w:val="24"/>
                <w:highlight w:val="none"/>
                <w:lang w:val="en-US" w:eastAsia="zh-CN" w:bidi="ar-SA"/>
              </w:rPr>
              <w:t>设施</w:t>
            </w:r>
            <w:r>
              <w:rPr>
                <w:rFonts w:hint="eastAsia" w:ascii="Times New Roman" w:hAnsi="Times New Roman" w:eastAsia="宋体" w:cs="Times New Roman"/>
                <w:color w:val="auto"/>
                <w:kern w:val="2"/>
                <w:sz w:val="24"/>
                <w:szCs w:val="24"/>
                <w:highlight w:val="none"/>
                <w:lang w:val="en-US" w:eastAsia="zh-CN" w:bidi="ar-SA"/>
              </w:rPr>
              <w:t>处理后回</w:t>
            </w:r>
            <w:r>
              <w:rPr>
                <w:rFonts w:hint="default"/>
                <w:color w:val="auto"/>
                <w:sz w:val="24"/>
                <w:szCs w:val="24"/>
                <w:highlight w:val="none"/>
                <w:lang w:val="en-US" w:eastAsia="zh-CN"/>
              </w:rPr>
              <w:t>用于厂区冲厕、绿化和</w:t>
            </w:r>
            <w:r>
              <w:rPr>
                <w:rFonts w:hint="eastAsia"/>
                <w:color w:val="auto"/>
                <w:sz w:val="24"/>
                <w:szCs w:val="24"/>
                <w:highlight w:val="none"/>
                <w:lang w:val="en-US" w:eastAsia="zh-CN"/>
              </w:rPr>
              <w:t>道路广场浇洒，</w:t>
            </w:r>
            <w:r>
              <w:rPr>
                <w:rFonts w:hint="default"/>
                <w:color w:val="auto"/>
                <w:sz w:val="24"/>
                <w:szCs w:val="24"/>
                <w:highlight w:val="none"/>
                <w:lang w:val="en-US" w:eastAsia="zh-CN"/>
              </w:rPr>
              <w:t>不外排。</w:t>
            </w:r>
          </w:p>
          <w:p w14:paraId="5C12971D">
            <w:pPr>
              <w:pStyle w:val="5"/>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）原项目生产用水</w:t>
            </w:r>
          </w:p>
          <w:p w14:paraId="40D5BEF8">
            <w:pPr>
              <w:pStyle w:val="5"/>
              <w:adjustRightInd w:val="0"/>
              <w:snapToGrid w:val="0"/>
              <w:spacing w:line="360" w:lineRule="auto"/>
              <w:ind w:firstLine="480"/>
              <w:rPr>
                <w:rFonts w:hint="default" w:ascii="Times New Roman" w:hAnsi="Times New Roman" w:eastAsia="宋体" w:cs="Times New Roman"/>
                <w:color w:val="auto"/>
                <w:kern w:val="2"/>
                <w:sz w:val="24"/>
                <w:szCs w:val="24"/>
                <w:highlight w:val="none"/>
                <w:lang w:val="en-US" w:eastAsia="zh-CN" w:bidi="ar"/>
              </w:rPr>
            </w:pPr>
            <w:r>
              <w:rPr>
                <w:rFonts w:hint="eastAsia" w:cs="Times New Roman"/>
                <w:color w:val="auto"/>
                <w:sz w:val="24"/>
                <w:highlight w:val="none"/>
                <w:lang w:val="en-US" w:eastAsia="zh-CN"/>
              </w:rPr>
              <w:t>根据业主提供的资料，原项目生产用水新鲜水补水量为1.2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、360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eastAsia" w:cs="Times New Roman"/>
                <w:color w:val="auto"/>
                <w:sz w:val="24"/>
                <w:highlight w:val="none"/>
                <w:lang w:val="en-US" w:eastAsia="zh-CN"/>
              </w:rPr>
              <w:t>生产废水产生量为3.2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eastAsia="Times New Roman"/>
                <w:color w:val="auto"/>
                <w:sz w:val="24"/>
                <w:szCs w:val="24"/>
                <w:highlight w:val="none"/>
                <w:lang w:val="zh-CN"/>
              </w:rPr>
              <w:t>，</w:t>
            </w:r>
            <w:r>
              <w:rPr>
                <w:rFonts w:hint="eastAsia" w:eastAsia="宋体"/>
                <w:color w:val="auto"/>
                <w:sz w:val="24"/>
                <w:szCs w:val="24"/>
                <w:highlight w:val="none"/>
                <w:lang w:val="en-US" w:eastAsia="zh-CN"/>
              </w:rPr>
              <w:t>96</w:t>
            </w:r>
            <w:r>
              <w:rPr>
                <w:rFonts w:hint="eastAsia"/>
                <w:color w:val="auto"/>
                <w:sz w:val="24"/>
                <w:szCs w:val="24"/>
                <w:highlight w:val="none"/>
                <w:lang w:val="en-US" w:eastAsia="zh-CN"/>
              </w:rPr>
              <w:t>0</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w:t>
            </w:r>
            <w:r>
              <w:rPr>
                <w:rFonts w:hint="eastAsia" w:eastAsia="宋体"/>
                <w:color w:val="auto"/>
                <w:sz w:val="24"/>
                <w:szCs w:val="24"/>
                <w:highlight w:val="none"/>
                <w:lang w:val="en-US" w:eastAsia="zh-CN"/>
              </w:rPr>
              <w:t>全部经</w:t>
            </w:r>
            <w:r>
              <w:rPr>
                <w:rFonts w:hint="eastAsia"/>
                <w:color w:val="auto"/>
                <w:sz w:val="24"/>
                <w:szCs w:val="24"/>
                <w:highlight w:val="none"/>
                <w:lang w:val="en-US" w:eastAsia="zh-CN"/>
              </w:rPr>
              <w:t>沉淀池沉淀后循环使用</w:t>
            </w:r>
            <w:r>
              <w:rPr>
                <w:rFonts w:hint="eastAsia" w:ascii="Times New Roman" w:hAnsi="Times New Roman" w:eastAsia="宋体" w:cs="Times New Roman"/>
                <w:color w:val="auto"/>
                <w:kern w:val="2"/>
                <w:sz w:val="24"/>
                <w:szCs w:val="24"/>
                <w:highlight w:val="none"/>
                <w:lang w:val="en-US" w:eastAsia="zh-CN" w:bidi="ar"/>
              </w:rPr>
              <w:t>，不外排。</w:t>
            </w:r>
          </w:p>
          <w:p w14:paraId="47635945">
            <w:pPr>
              <w:pStyle w:val="5"/>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）道路广场浇洒</w:t>
            </w:r>
          </w:p>
          <w:p w14:paraId="41D7733F">
            <w:pPr>
              <w:pStyle w:val="5"/>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根据设计资料，</w:t>
            </w:r>
            <w:r>
              <w:rPr>
                <w:rFonts w:hint="eastAsia" w:cs="Times New Roman"/>
                <w:color w:val="auto"/>
                <w:sz w:val="24"/>
                <w:szCs w:val="24"/>
                <w:highlight w:val="none"/>
                <w:lang w:val="en-US" w:eastAsia="zh-CN"/>
              </w:rPr>
              <w:t>整个</w:t>
            </w:r>
            <w:r>
              <w:rPr>
                <w:rFonts w:hint="eastAsia" w:ascii="Times New Roman" w:hAnsi="Times New Roman" w:eastAsia="宋体" w:cs="Times New Roman"/>
                <w:color w:val="auto"/>
                <w:sz w:val="24"/>
                <w:szCs w:val="24"/>
                <w:highlight w:val="none"/>
                <w:lang w:val="en-US" w:eastAsia="zh-CN"/>
              </w:rPr>
              <w:t>厂区道路广场占地面积为2442m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，根据《云南省地方标 准用水定额》（DB53/T168-2019），道路广场浇洒用水量</w:t>
            </w:r>
            <w:r>
              <w:rPr>
                <w:rFonts w:hint="eastAsia"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2L/m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·d，则</w:t>
            </w:r>
            <w:r>
              <w:rPr>
                <w:rFonts w:hint="eastAsia" w:cs="Times New Roman"/>
                <w:color w:val="auto"/>
                <w:sz w:val="24"/>
                <w:szCs w:val="24"/>
                <w:highlight w:val="none"/>
                <w:lang w:val="en-US" w:eastAsia="zh-CN"/>
              </w:rPr>
              <w:t>整个厂区</w:t>
            </w:r>
            <w:r>
              <w:rPr>
                <w:rFonts w:hint="eastAsia" w:ascii="Times New Roman" w:hAnsi="Times New Roman" w:eastAsia="宋体" w:cs="Times New Roman"/>
                <w:color w:val="auto"/>
                <w:sz w:val="24"/>
                <w:szCs w:val="24"/>
                <w:highlight w:val="none"/>
                <w:lang w:val="en-US" w:eastAsia="zh-CN"/>
              </w:rPr>
              <w:t>非雨天用水量约为</w:t>
            </w:r>
            <w:r>
              <w:rPr>
                <w:rFonts w:hint="eastAsia" w:cs="Times New Roman"/>
                <w:color w:val="auto"/>
                <w:sz w:val="24"/>
                <w:szCs w:val="24"/>
                <w:highlight w:val="none"/>
                <w:lang w:val="en-US" w:eastAsia="zh-CN"/>
              </w:rPr>
              <w:t>4.884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kern w:val="2"/>
                <w:sz w:val="24"/>
                <w:szCs w:val="24"/>
                <w:highlight w:val="none"/>
                <w:lang w:val="en-US" w:eastAsia="zh-CN" w:bidi="ar-SA"/>
              </w:rPr>
              <w:t>根据寻甸县的气候情况，年平均降水日数100天，非降水日265天。</w:t>
            </w:r>
            <w:r>
              <w:rPr>
                <w:rFonts w:hint="eastAsia" w:cs="Times New Roman"/>
                <w:color w:val="auto"/>
                <w:kern w:val="2"/>
                <w:sz w:val="24"/>
                <w:szCs w:val="24"/>
                <w:highlight w:val="none"/>
                <w:lang w:val="en-US" w:eastAsia="zh-CN" w:bidi="ar-SA"/>
              </w:rPr>
              <w:t>厂区</w:t>
            </w:r>
            <w:r>
              <w:rPr>
                <w:rFonts w:hint="eastAsia" w:ascii="Times New Roman" w:hAnsi="Times New Roman" w:eastAsia="宋体" w:cs="Times New Roman"/>
                <w:color w:val="auto"/>
                <w:kern w:val="2"/>
                <w:sz w:val="24"/>
                <w:szCs w:val="24"/>
                <w:highlight w:val="none"/>
                <w:lang w:val="en-US" w:eastAsia="zh-CN" w:bidi="ar-SA"/>
              </w:rPr>
              <w:t>全年绿化用水量约为1294.26m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回用处理后的生活用水浇洒。</w:t>
            </w:r>
            <w:r>
              <w:rPr>
                <w:rFonts w:hint="eastAsia" w:ascii="Times New Roman" w:hAnsi="Times New Roman" w:eastAsia="宋体" w:cs="Times New Roman"/>
                <w:color w:val="auto"/>
                <w:sz w:val="24"/>
                <w:szCs w:val="24"/>
                <w:highlight w:val="none"/>
                <w:lang w:val="en-US" w:eastAsia="zh-CN"/>
              </w:rPr>
              <w:t>此部分浇洒水全部蒸发和渗透，雨天道路广场不浇洒。</w:t>
            </w:r>
          </w:p>
          <w:p w14:paraId="4D29AE83">
            <w:pPr>
              <w:pStyle w:val="5"/>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）绿化用水</w:t>
            </w:r>
          </w:p>
          <w:p w14:paraId="55CE7E98">
            <w:pPr>
              <w:pStyle w:val="5"/>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整个厂区</w:t>
            </w:r>
            <w:r>
              <w:rPr>
                <w:rFonts w:hint="eastAsia" w:ascii="Times New Roman" w:hAnsi="Times New Roman" w:eastAsia="宋体" w:cs="Times New Roman"/>
                <w:color w:val="auto"/>
                <w:kern w:val="2"/>
                <w:sz w:val="24"/>
                <w:szCs w:val="24"/>
                <w:highlight w:val="none"/>
                <w:lang w:val="en-US" w:eastAsia="zh-CN" w:bidi="ar-SA"/>
              </w:rPr>
              <w:t>绿化面积为176m</w:t>
            </w:r>
            <w:r>
              <w:rPr>
                <w:rFonts w:hint="eastAsia" w:ascii="Times New Roman" w:hAnsi="Times New Roman" w:eastAsia="宋体" w:cs="Times New Roman"/>
                <w:color w:val="auto"/>
                <w:kern w:val="2"/>
                <w:sz w:val="24"/>
                <w:szCs w:val="24"/>
                <w:highlight w:val="none"/>
                <w:vertAlign w:val="superscript"/>
                <w:lang w:val="en-US" w:eastAsia="zh-CN" w:bidi="ar-SA"/>
              </w:rPr>
              <w:t xml:space="preserve">2 </w:t>
            </w:r>
            <w:r>
              <w:rPr>
                <w:rFonts w:hint="eastAsia" w:ascii="Times New Roman" w:hAnsi="Times New Roman" w:eastAsia="宋体" w:cs="Times New Roman"/>
                <w:color w:val="auto"/>
                <w:kern w:val="2"/>
                <w:sz w:val="24"/>
                <w:szCs w:val="24"/>
                <w:highlight w:val="none"/>
                <w:lang w:val="en-US" w:eastAsia="zh-CN" w:bidi="ar-SA"/>
              </w:rPr>
              <w:t>，晴天绿化用水按每天一次，根据《云南省地方标准用水定额》（DB53/T168-2019），绿化用水量按 3L/m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·d 计，项目非雨天绿化用水量约为0.528m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/d。根据寻甸县的气候情况，年平均降水日数100天，非降水日265天。</w:t>
            </w:r>
            <w:r>
              <w:rPr>
                <w:rFonts w:hint="eastAsia" w:cs="Times New Roman"/>
                <w:color w:val="auto"/>
                <w:kern w:val="2"/>
                <w:sz w:val="24"/>
                <w:szCs w:val="24"/>
                <w:highlight w:val="none"/>
                <w:lang w:val="en-US" w:eastAsia="zh-CN" w:bidi="ar-SA"/>
              </w:rPr>
              <w:t>则整个厂区</w:t>
            </w:r>
            <w:r>
              <w:rPr>
                <w:rFonts w:hint="eastAsia" w:ascii="Times New Roman" w:hAnsi="Times New Roman" w:eastAsia="宋体" w:cs="Times New Roman"/>
                <w:color w:val="auto"/>
                <w:kern w:val="2"/>
                <w:sz w:val="24"/>
                <w:szCs w:val="24"/>
                <w:highlight w:val="none"/>
                <w:lang w:val="en-US" w:eastAsia="zh-CN" w:bidi="ar-SA"/>
              </w:rPr>
              <w:t>全年绿化用水量约为139.92m /a</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 xml:space="preserve"> </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回用处理后的生活用水浇灌。</w:t>
            </w:r>
          </w:p>
          <w:p w14:paraId="2E6EFA60">
            <w:pPr>
              <w:pStyle w:val="5"/>
              <w:adjustRightInd w:val="0"/>
              <w:snapToGrid w:val="0"/>
              <w:spacing w:line="360" w:lineRule="auto"/>
              <w:ind w:firstLine="480"/>
              <w:rPr>
                <w:rFonts w:hint="default" w:eastAsia="宋体" w:cs="Times New Roman"/>
                <w:color w:val="auto"/>
                <w:sz w:val="24"/>
                <w:highlight w:val="none"/>
                <w:lang w:val="en-US" w:eastAsia="zh-CN"/>
              </w:rPr>
            </w:pPr>
            <w:r>
              <w:rPr>
                <w:rFonts w:hint="eastAsia" w:cs="Times New Roman"/>
                <w:color w:val="auto"/>
                <w:sz w:val="24"/>
                <w:highlight w:val="none"/>
                <w:lang w:val="en-US" w:eastAsia="zh-CN"/>
              </w:rPr>
              <w:t>综上，本项目新鲜水用量为3.735</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eastAsia="宋体"/>
                <w:color w:val="auto"/>
                <w:sz w:val="24"/>
                <w:szCs w:val="24"/>
                <w:highlight w:val="none"/>
                <w:lang w:val="en-US" w:eastAsia="zh-CN"/>
              </w:rPr>
              <w:t>1120.5</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cs="Times New Roman"/>
                <w:color w:val="auto"/>
                <w:sz w:val="24"/>
                <w:highlight w:val="none"/>
                <w:lang w:val="en-US" w:eastAsia="zh-CN"/>
              </w:rPr>
              <w:t>，废水产生量为1.432</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color w:val="auto"/>
                <w:sz w:val="24"/>
                <w:szCs w:val="24"/>
                <w:highlight w:val="none"/>
                <w:lang w:val="en-US" w:eastAsia="zh-CN"/>
              </w:rPr>
              <w:t>429.6</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，其中</w:t>
            </w:r>
            <w:r>
              <w:rPr>
                <w:rFonts w:hint="eastAsia" w:eastAsia="宋体"/>
                <w:color w:val="auto"/>
                <w:sz w:val="24"/>
                <w:szCs w:val="24"/>
                <w:highlight w:val="none"/>
                <w:lang w:val="en-US" w:eastAsia="zh-CN"/>
              </w:rPr>
              <w:t>生活污水产生量为</w:t>
            </w:r>
            <w:r>
              <w:rPr>
                <w:rFonts w:hint="eastAsia"/>
                <w:color w:val="auto"/>
                <w:sz w:val="24"/>
                <w:szCs w:val="24"/>
                <w:highlight w:val="none"/>
                <w:lang w:val="en-US" w:eastAsia="zh-CN"/>
              </w:rPr>
              <w:t>1.2</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color w:val="auto"/>
                <w:sz w:val="24"/>
                <w:szCs w:val="24"/>
                <w:highlight w:val="none"/>
                <w:lang w:val="en-US" w:eastAsia="zh-CN"/>
              </w:rPr>
              <w:t>360</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宋体"/>
                <w:color w:val="auto"/>
                <w:sz w:val="24"/>
                <w:szCs w:val="24"/>
                <w:highlight w:val="none"/>
                <w:lang w:val="zh-CN" w:eastAsia="zh-CN"/>
              </w:rPr>
              <w:t>，</w:t>
            </w:r>
            <w:r>
              <w:rPr>
                <w:rFonts w:hint="eastAsia" w:cs="Times New Roman"/>
                <w:color w:val="auto"/>
                <w:sz w:val="24"/>
                <w:highlight w:val="none"/>
                <w:lang w:val="en-US" w:eastAsia="zh-CN"/>
              </w:rPr>
              <w:t>生产废水产生量为0.232</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cs="Times New Roman"/>
                <w:color w:val="auto"/>
                <w:sz w:val="24"/>
                <w:highlight w:val="none"/>
                <w:lang w:val="en-US" w:eastAsia="zh-CN"/>
              </w:rPr>
              <w:t>69.6</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w:t>
            </w:r>
          </w:p>
          <w:p w14:paraId="37E4E009">
            <w:pPr>
              <w:pStyle w:val="5"/>
              <w:adjustRightInd w:val="0"/>
              <w:snapToGrid w:val="0"/>
              <w:spacing w:line="360" w:lineRule="auto"/>
              <w:ind w:firstLine="480"/>
              <w:rPr>
                <w:rFonts w:hint="default" w:eastAsia="宋体" w:cs="Times New Roman"/>
                <w:color w:val="auto"/>
                <w:sz w:val="24"/>
                <w:highlight w:val="none"/>
                <w:lang w:val="en-US" w:eastAsia="zh-CN"/>
              </w:rPr>
            </w:pPr>
            <w:r>
              <w:rPr>
                <w:rFonts w:hint="eastAsia"/>
                <w:color w:val="auto"/>
                <w:sz w:val="24"/>
                <w:szCs w:val="24"/>
                <w:highlight w:val="none"/>
                <w:lang w:val="en-US" w:eastAsia="zh-CN"/>
              </w:rPr>
              <w:t>扩建完成后，</w:t>
            </w:r>
            <w:r>
              <w:rPr>
                <w:rFonts w:hint="eastAsia" w:cs="Times New Roman"/>
                <w:color w:val="auto"/>
                <w:sz w:val="24"/>
                <w:highlight w:val="none"/>
                <w:lang w:val="en-US" w:eastAsia="zh-CN"/>
              </w:rPr>
              <w:t>全厂的新鲜水用量为6.435</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eastAsia="宋体"/>
                <w:color w:val="auto"/>
                <w:sz w:val="24"/>
                <w:szCs w:val="24"/>
                <w:highlight w:val="none"/>
                <w:lang w:val="en-US" w:eastAsia="zh-CN"/>
              </w:rPr>
              <w:t>1930.5</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cs="Times New Roman"/>
                <w:color w:val="auto"/>
                <w:sz w:val="24"/>
                <w:highlight w:val="none"/>
                <w:lang w:val="en-US" w:eastAsia="zh-CN"/>
              </w:rPr>
              <w:t>，废水产生量为3.612</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color w:val="auto"/>
                <w:sz w:val="24"/>
                <w:szCs w:val="24"/>
                <w:highlight w:val="none"/>
                <w:lang w:val="en-US" w:eastAsia="zh-CN"/>
              </w:rPr>
              <w:t>1083.6</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，其中</w:t>
            </w:r>
            <w:r>
              <w:rPr>
                <w:rFonts w:hint="eastAsia" w:eastAsia="宋体"/>
                <w:color w:val="auto"/>
                <w:sz w:val="24"/>
                <w:szCs w:val="24"/>
                <w:highlight w:val="none"/>
                <w:lang w:val="en-US" w:eastAsia="zh-CN"/>
              </w:rPr>
              <w:t>生活污水产生量为</w:t>
            </w:r>
            <w:r>
              <w:rPr>
                <w:rFonts w:hint="eastAsia"/>
                <w:color w:val="auto"/>
                <w:sz w:val="24"/>
                <w:szCs w:val="24"/>
                <w:highlight w:val="none"/>
                <w:lang w:val="en-US" w:eastAsia="zh-CN"/>
              </w:rPr>
              <w:t>3.38</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color w:val="auto"/>
                <w:sz w:val="24"/>
                <w:szCs w:val="24"/>
                <w:highlight w:val="none"/>
                <w:lang w:val="en-US" w:eastAsia="zh-CN"/>
              </w:rPr>
              <w:t>1014</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宋体"/>
                <w:color w:val="auto"/>
                <w:sz w:val="24"/>
                <w:szCs w:val="24"/>
                <w:highlight w:val="none"/>
                <w:lang w:val="zh-CN" w:eastAsia="zh-CN"/>
              </w:rPr>
              <w:t>，</w:t>
            </w:r>
            <w:r>
              <w:rPr>
                <w:rFonts w:hint="eastAsia" w:cs="Times New Roman"/>
                <w:color w:val="auto"/>
                <w:sz w:val="24"/>
                <w:highlight w:val="none"/>
                <w:lang w:val="en-US" w:eastAsia="zh-CN"/>
              </w:rPr>
              <w:t>生产废水产生量为0.232</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cs="Times New Roman"/>
                <w:color w:val="auto"/>
                <w:sz w:val="24"/>
                <w:highlight w:val="none"/>
                <w:lang w:val="en-US" w:eastAsia="zh-CN"/>
              </w:rPr>
              <w:t>69.6</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w:t>
            </w:r>
          </w:p>
          <w:p w14:paraId="2160B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bCs/>
                <w:color w:val="auto"/>
                <w:highlight w:val="none"/>
                <w:lang w:val="en-US" w:eastAsia="zh-CN"/>
              </w:rPr>
            </w:pPr>
            <w:r>
              <w:rPr>
                <w:rFonts w:hint="eastAsia"/>
                <w:color w:val="auto"/>
                <w:sz w:val="24"/>
                <w:szCs w:val="24"/>
                <w:highlight w:val="none"/>
                <w:lang w:val="en-US" w:eastAsia="zh-CN"/>
              </w:rPr>
              <w:t>本</w:t>
            </w:r>
            <w:r>
              <w:rPr>
                <w:rFonts w:hint="default"/>
                <w:color w:val="auto"/>
                <w:sz w:val="24"/>
                <w:szCs w:val="24"/>
                <w:highlight w:val="none"/>
                <w:lang w:val="en-US" w:eastAsia="zh-CN"/>
              </w:rPr>
              <w:t>项目</w:t>
            </w:r>
            <w:r>
              <w:rPr>
                <w:rFonts w:hint="eastAsia"/>
                <w:color w:val="auto"/>
                <w:sz w:val="24"/>
                <w:szCs w:val="24"/>
                <w:highlight w:val="none"/>
                <w:lang w:val="en-US" w:eastAsia="zh-CN"/>
              </w:rPr>
              <w:t>用排水</w:t>
            </w:r>
            <w:r>
              <w:rPr>
                <w:rFonts w:hint="default"/>
                <w:color w:val="auto"/>
                <w:sz w:val="24"/>
                <w:szCs w:val="24"/>
                <w:highlight w:val="none"/>
                <w:lang w:val="en-US" w:eastAsia="zh-CN"/>
              </w:rPr>
              <w:t>情况详见表</w:t>
            </w:r>
            <w:r>
              <w:rPr>
                <w:rFonts w:hint="eastAsia"/>
                <w:color w:val="auto"/>
                <w:sz w:val="24"/>
                <w:szCs w:val="24"/>
                <w:highlight w:val="none"/>
                <w:lang w:val="en-US" w:eastAsia="zh-CN"/>
              </w:rPr>
              <w:t>2</w:t>
            </w:r>
            <w:r>
              <w:rPr>
                <w:rFonts w:hint="default"/>
                <w:color w:val="auto"/>
                <w:sz w:val="24"/>
                <w:szCs w:val="24"/>
                <w:highlight w:val="none"/>
                <w:lang w:val="en-US" w:eastAsia="zh-CN"/>
              </w:rPr>
              <w:t>-</w:t>
            </w:r>
            <w:r>
              <w:rPr>
                <w:rFonts w:hint="eastAsia"/>
                <w:color w:val="auto"/>
                <w:sz w:val="24"/>
                <w:szCs w:val="24"/>
                <w:highlight w:val="none"/>
                <w:lang w:val="en-US" w:eastAsia="zh-CN"/>
              </w:rPr>
              <w:t>7</w:t>
            </w:r>
            <w:r>
              <w:rPr>
                <w:rFonts w:hint="default"/>
                <w:color w:val="auto"/>
                <w:sz w:val="24"/>
                <w:szCs w:val="24"/>
                <w:highlight w:val="none"/>
                <w:lang w:val="en-US" w:eastAsia="zh-CN"/>
              </w:rPr>
              <w:t>，水量平衡图详见图</w:t>
            </w:r>
            <w:r>
              <w:rPr>
                <w:rFonts w:hint="eastAsia"/>
                <w:color w:val="auto"/>
                <w:sz w:val="24"/>
                <w:szCs w:val="24"/>
                <w:highlight w:val="none"/>
                <w:lang w:val="en-US" w:eastAsia="zh-CN"/>
              </w:rPr>
              <w:t>2</w:t>
            </w:r>
            <w:r>
              <w:rPr>
                <w:rFonts w:hint="default"/>
                <w:color w:val="auto"/>
                <w:sz w:val="24"/>
                <w:szCs w:val="24"/>
                <w:highlight w:val="none"/>
                <w:lang w:val="en-US" w:eastAsia="zh-CN"/>
              </w:rPr>
              <w:t>-</w:t>
            </w:r>
            <w:r>
              <w:rPr>
                <w:rFonts w:hint="eastAsia"/>
                <w:color w:val="auto"/>
                <w:sz w:val="24"/>
                <w:szCs w:val="24"/>
                <w:highlight w:val="none"/>
                <w:lang w:val="en-US" w:eastAsia="zh-CN"/>
              </w:rPr>
              <w:t>1、2-2</w:t>
            </w:r>
            <w:r>
              <w:rPr>
                <w:rFonts w:hint="default"/>
                <w:color w:val="auto"/>
                <w:sz w:val="24"/>
                <w:szCs w:val="24"/>
                <w:highlight w:val="none"/>
                <w:lang w:val="en-US" w:eastAsia="zh-CN"/>
              </w:rPr>
              <w:t>。</w:t>
            </w:r>
          </w:p>
          <w:p w14:paraId="3B418955">
            <w:pPr>
              <w:keepNext w:val="0"/>
              <w:keepLines w:val="0"/>
              <w:suppressLineNumbers w:val="0"/>
              <w:bidi w:val="0"/>
              <w:spacing w:before="0" w:beforeAutospacing="0" w:after="0" w:afterAutospacing="0"/>
              <w:ind w:left="0" w:right="0"/>
              <w:jc w:val="center"/>
              <w:rPr>
                <w:rFonts w:hint="default"/>
                <w:b/>
                <w:bCs/>
                <w:color w:val="auto"/>
                <w:highlight w:val="none"/>
                <w:lang w:val="en-US" w:eastAsia="zh-CN"/>
              </w:rPr>
            </w:pPr>
            <w:r>
              <w:rPr>
                <w:rFonts w:hint="default"/>
                <w:b/>
                <w:bCs/>
                <w:color w:val="auto"/>
                <w:highlight w:val="none"/>
                <w:lang w:val="en-US" w:eastAsia="zh-CN"/>
              </w:rPr>
              <w:t>表</w:t>
            </w:r>
            <w:r>
              <w:rPr>
                <w:rFonts w:hint="eastAsia"/>
                <w:b/>
                <w:bCs/>
                <w:color w:val="auto"/>
                <w:highlight w:val="none"/>
                <w:lang w:val="en-US" w:eastAsia="zh-CN"/>
              </w:rPr>
              <w:t>2</w:t>
            </w:r>
            <w:r>
              <w:rPr>
                <w:rFonts w:hint="default"/>
                <w:b/>
                <w:bCs/>
                <w:color w:val="auto"/>
                <w:highlight w:val="none"/>
                <w:lang w:val="en-US" w:eastAsia="zh-CN"/>
              </w:rPr>
              <w:t>-</w:t>
            </w:r>
            <w:r>
              <w:rPr>
                <w:rFonts w:hint="eastAsia"/>
                <w:b/>
                <w:bCs/>
                <w:color w:val="auto"/>
                <w:highlight w:val="none"/>
                <w:lang w:val="en-US" w:eastAsia="zh-CN"/>
              </w:rPr>
              <w:t xml:space="preserve">7  </w:t>
            </w:r>
            <w:r>
              <w:rPr>
                <w:rFonts w:hint="default"/>
                <w:b/>
                <w:bCs/>
                <w:color w:val="auto"/>
                <w:highlight w:val="none"/>
                <w:lang w:val="en-US" w:eastAsia="zh-CN"/>
              </w:rPr>
              <w:t>项目</w:t>
            </w:r>
            <w:r>
              <w:rPr>
                <w:rFonts w:hint="eastAsia"/>
                <w:b/>
                <w:bCs/>
                <w:color w:val="auto"/>
                <w:highlight w:val="none"/>
                <w:lang w:val="en-US" w:eastAsia="zh-CN"/>
              </w:rPr>
              <w:t>用排水</w:t>
            </w:r>
            <w:r>
              <w:rPr>
                <w:rFonts w:hint="default"/>
                <w:b/>
                <w:bCs/>
                <w:color w:val="auto"/>
                <w:highlight w:val="none"/>
                <w:lang w:val="en-US" w:eastAsia="zh-CN"/>
              </w:rPr>
              <w:t>情况</w:t>
            </w:r>
            <w:r>
              <w:rPr>
                <w:rFonts w:hint="eastAsia"/>
                <w:b/>
                <w:bCs/>
                <w:color w:val="auto"/>
                <w:highlight w:val="none"/>
                <w:lang w:val="en-US" w:eastAsia="zh-CN"/>
              </w:rPr>
              <w:t>一览表</w:t>
            </w:r>
          </w:p>
          <w:tbl>
            <w:tblPr>
              <w:tblStyle w:val="26"/>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1275"/>
              <w:gridCol w:w="690"/>
              <w:gridCol w:w="613"/>
              <w:gridCol w:w="1035"/>
              <w:gridCol w:w="855"/>
              <w:gridCol w:w="480"/>
              <w:gridCol w:w="689"/>
              <w:gridCol w:w="765"/>
              <w:gridCol w:w="1557"/>
            </w:tblGrid>
            <w:tr w14:paraId="46ED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982" w:type="pct"/>
                  <w:gridSpan w:val="2"/>
                  <w:vMerge w:val="restart"/>
                  <w:vAlign w:val="center"/>
                </w:tcPr>
                <w:p w14:paraId="04079BF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用水项目</w:t>
                  </w:r>
                </w:p>
              </w:tc>
              <w:tc>
                <w:tcPr>
                  <w:tcW w:w="1919" w:type="pct"/>
                  <w:gridSpan w:val="4"/>
                  <w:vAlign w:val="center"/>
                </w:tcPr>
                <w:p w14:paraId="33DC67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用水量</w:t>
                  </w:r>
                </w:p>
              </w:tc>
              <w:tc>
                <w:tcPr>
                  <w:tcW w:w="288" w:type="pct"/>
                  <w:vMerge w:val="restart"/>
                  <w:vAlign w:val="center"/>
                </w:tcPr>
                <w:p w14:paraId="5969FB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eastAsia="zh-CN"/>
                    </w:rPr>
                  </w:pPr>
                  <w:r>
                    <w:rPr>
                      <w:rFonts w:hint="eastAsia" w:cs="Times New Roman"/>
                      <w:b/>
                      <w:bCs/>
                      <w:color w:val="auto"/>
                      <w:kern w:val="0"/>
                      <w:sz w:val="21"/>
                      <w:szCs w:val="21"/>
                      <w:highlight w:val="none"/>
                      <w:lang w:eastAsia="zh-CN"/>
                    </w:rPr>
                    <w:t>更换次数</w:t>
                  </w:r>
                </w:p>
              </w:tc>
              <w:tc>
                <w:tcPr>
                  <w:tcW w:w="873" w:type="pct"/>
                  <w:gridSpan w:val="2"/>
                  <w:vMerge w:val="restart"/>
                  <w:vAlign w:val="center"/>
                </w:tcPr>
                <w:p w14:paraId="5BE69A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eastAsia="zh-CN"/>
                    </w:rPr>
                  </w:pPr>
                  <w:r>
                    <w:rPr>
                      <w:rFonts w:hint="eastAsia" w:cs="Times New Roman"/>
                      <w:b/>
                      <w:bCs/>
                      <w:color w:val="auto"/>
                      <w:kern w:val="0"/>
                      <w:sz w:val="21"/>
                      <w:szCs w:val="21"/>
                      <w:highlight w:val="none"/>
                      <w:lang w:eastAsia="zh-CN"/>
                    </w:rPr>
                    <w:t>废水</w:t>
                  </w:r>
                  <w:r>
                    <w:rPr>
                      <w:rFonts w:hint="default" w:ascii="Times New Roman" w:hAnsi="Times New Roman" w:eastAsia="宋体" w:cs="Times New Roman"/>
                      <w:b/>
                      <w:bCs/>
                      <w:color w:val="auto"/>
                      <w:kern w:val="0"/>
                      <w:sz w:val="21"/>
                      <w:szCs w:val="21"/>
                      <w:highlight w:val="none"/>
                      <w:lang w:eastAsia="zh-CN"/>
                    </w:rPr>
                    <w:t>量</w:t>
                  </w:r>
                </w:p>
              </w:tc>
              <w:tc>
                <w:tcPr>
                  <w:tcW w:w="935" w:type="pct"/>
                  <w:vMerge w:val="restart"/>
                  <w:vAlign w:val="center"/>
                </w:tcPr>
                <w:p w14:paraId="78809C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去向/拟采取的处置措施</w:t>
                  </w:r>
                </w:p>
              </w:tc>
            </w:tr>
            <w:tr w14:paraId="56F2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2" w:type="pct"/>
                  <w:gridSpan w:val="2"/>
                  <w:vMerge w:val="continue"/>
                  <w:vAlign w:val="center"/>
                </w:tcPr>
                <w:p w14:paraId="6F0EE2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783" w:type="pct"/>
                  <w:gridSpan w:val="2"/>
                  <w:vAlign w:val="center"/>
                </w:tcPr>
                <w:p w14:paraId="7F5DDE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更换水</w:t>
                  </w:r>
                </w:p>
              </w:tc>
              <w:tc>
                <w:tcPr>
                  <w:tcW w:w="1135" w:type="pct"/>
                  <w:gridSpan w:val="2"/>
                  <w:vAlign w:val="center"/>
                </w:tcPr>
                <w:p w14:paraId="1FEF8B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补充水</w:t>
                  </w:r>
                </w:p>
              </w:tc>
              <w:tc>
                <w:tcPr>
                  <w:tcW w:w="288" w:type="pct"/>
                  <w:vMerge w:val="continue"/>
                  <w:vAlign w:val="center"/>
                </w:tcPr>
                <w:p w14:paraId="4A857D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p>
              </w:tc>
              <w:tc>
                <w:tcPr>
                  <w:tcW w:w="873" w:type="pct"/>
                  <w:gridSpan w:val="2"/>
                  <w:vMerge w:val="continue"/>
                  <w:vAlign w:val="center"/>
                </w:tcPr>
                <w:p w14:paraId="55068E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p>
              </w:tc>
              <w:tc>
                <w:tcPr>
                  <w:tcW w:w="935" w:type="pct"/>
                  <w:vMerge w:val="continue"/>
                  <w:vAlign w:val="center"/>
                </w:tcPr>
                <w:p w14:paraId="19A721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14:paraId="2C79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82" w:type="pct"/>
                  <w:gridSpan w:val="2"/>
                  <w:vMerge w:val="continue"/>
                  <w:vAlign w:val="center"/>
                </w:tcPr>
                <w:p w14:paraId="134C77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414" w:type="pct"/>
                  <w:vAlign w:val="center"/>
                </w:tcPr>
                <w:p w14:paraId="3434C9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w:t>
                  </w:r>
                  <w:r>
                    <w:rPr>
                      <w:rFonts w:hint="eastAsia" w:cs="Times New Roman"/>
                      <w:b/>
                      <w:bCs/>
                      <w:color w:val="auto"/>
                      <w:kern w:val="0"/>
                      <w:sz w:val="21"/>
                      <w:szCs w:val="21"/>
                      <w:highlight w:val="none"/>
                      <w:lang w:val="en-US" w:eastAsia="zh-CN"/>
                    </w:rPr>
                    <w:t>次</w:t>
                  </w:r>
                </w:p>
              </w:tc>
              <w:tc>
                <w:tcPr>
                  <w:tcW w:w="368" w:type="pct"/>
                  <w:vAlign w:val="center"/>
                </w:tcPr>
                <w:p w14:paraId="645F79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/a</w:t>
                  </w:r>
                </w:p>
              </w:tc>
              <w:tc>
                <w:tcPr>
                  <w:tcW w:w="622" w:type="pct"/>
                  <w:vAlign w:val="center"/>
                </w:tcPr>
                <w:p w14:paraId="66B5EE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/d</w:t>
                  </w:r>
                </w:p>
              </w:tc>
              <w:tc>
                <w:tcPr>
                  <w:tcW w:w="513" w:type="pct"/>
                  <w:vAlign w:val="center"/>
                </w:tcPr>
                <w:p w14:paraId="06F7EA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/a</w:t>
                  </w:r>
                </w:p>
              </w:tc>
              <w:tc>
                <w:tcPr>
                  <w:tcW w:w="288" w:type="pct"/>
                  <w:vMerge w:val="continue"/>
                  <w:vAlign w:val="center"/>
                </w:tcPr>
                <w:p w14:paraId="36245B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p>
              </w:tc>
              <w:tc>
                <w:tcPr>
                  <w:tcW w:w="414" w:type="pct"/>
                  <w:vAlign w:val="center"/>
                </w:tcPr>
                <w:p w14:paraId="1B40B9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w:t>
                  </w:r>
                  <w:r>
                    <w:rPr>
                      <w:rFonts w:hint="eastAsia" w:cs="Times New Roman"/>
                      <w:b/>
                      <w:bCs/>
                      <w:color w:val="auto"/>
                      <w:kern w:val="0"/>
                      <w:sz w:val="21"/>
                      <w:szCs w:val="21"/>
                      <w:highlight w:val="none"/>
                      <w:lang w:val="en-US" w:eastAsia="zh-CN"/>
                    </w:rPr>
                    <w:t>d</w:t>
                  </w:r>
                </w:p>
              </w:tc>
              <w:tc>
                <w:tcPr>
                  <w:tcW w:w="459" w:type="pct"/>
                  <w:vAlign w:val="center"/>
                </w:tcPr>
                <w:p w14:paraId="24A243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/a</w:t>
                  </w:r>
                </w:p>
              </w:tc>
              <w:tc>
                <w:tcPr>
                  <w:tcW w:w="935" w:type="pct"/>
                  <w:vMerge w:val="continue"/>
                  <w:vAlign w:val="center"/>
                </w:tcPr>
                <w:p w14:paraId="5171EC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14:paraId="3A24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216" w:type="pct"/>
                  <w:vMerge w:val="restart"/>
                  <w:vAlign w:val="center"/>
                </w:tcPr>
                <w:p w14:paraId="0239EC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生活用水</w:t>
                  </w:r>
                </w:p>
              </w:tc>
              <w:tc>
                <w:tcPr>
                  <w:tcW w:w="766" w:type="pct"/>
                  <w:vAlign w:val="center"/>
                </w:tcPr>
                <w:p w14:paraId="1341197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食堂</w:t>
                  </w:r>
                </w:p>
              </w:tc>
              <w:tc>
                <w:tcPr>
                  <w:tcW w:w="414" w:type="pct"/>
                  <w:vAlign w:val="center"/>
                </w:tcPr>
                <w:p w14:paraId="62343F08">
                  <w:pPr>
                    <w:pStyle w:val="24"/>
                    <w:snapToGrid w:val="0"/>
                    <w:spacing w:after="0" w:line="240" w:lineRule="auto"/>
                    <w:ind w:left="0" w:leftChars="0" w:firstLine="0" w:firstLineChars="0"/>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368" w:type="pct"/>
                  <w:vAlign w:val="center"/>
                </w:tcPr>
                <w:p w14:paraId="3D564885">
                  <w:pPr>
                    <w:pStyle w:val="24"/>
                    <w:snapToGrid w:val="0"/>
                    <w:spacing w:after="0" w:line="240" w:lineRule="auto"/>
                    <w:ind w:left="0" w:leftChars="0" w:firstLine="0" w:firstLineChars="0"/>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622" w:type="pct"/>
                  <w:vAlign w:val="center"/>
                </w:tcPr>
                <w:p w14:paraId="0E9A8A32">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w:t>
                  </w:r>
                </w:p>
              </w:tc>
              <w:tc>
                <w:tcPr>
                  <w:tcW w:w="513" w:type="pct"/>
                  <w:vAlign w:val="center"/>
                </w:tcPr>
                <w:p w14:paraId="283946C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90</w:t>
                  </w:r>
                </w:p>
              </w:tc>
              <w:tc>
                <w:tcPr>
                  <w:tcW w:w="288" w:type="pct"/>
                  <w:vAlign w:val="center"/>
                </w:tcPr>
                <w:p w14:paraId="76D21BEB">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414" w:type="pct"/>
                  <w:vAlign w:val="center"/>
                </w:tcPr>
                <w:p w14:paraId="5E115B7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0.24</w:t>
                  </w:r>
                </w:p>
              </w:tc>
              <w:tc>
                <w:tcPr>
                  <w:tcW w:w="459" w:type="pct"/>
                  <w:vAlign w:val="center"/>
                </w:tcPr>
                <w:p w14:paraId="0CB4B88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72</w:t>
                  </w:r>
                </w:p>
              </w:tc>
              <w:tc>
                <w:tcPr>
                  <w:tcW w:w="935" w:type="pct"/>
                  <w:vMerge w:val="restart"/>
                  <w:vAlign w:val="center"/>
                </w:tcPr>
                <w:p w14:paraId="7B4399E4">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食堂废水经隔油池处理后与生活污水一并进入化粪池、生活污水处理设施处理后回用于项目区绿化及道路广场浇洒，不外排。</w:t>
                  </w:r>
                </w:p>
              </w:tc>
            </w:tr>
            <w:tr w14:paraId="61F7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16" w:type="pct"/>
                  <w:vMerge w:val="continue"/>
                  <w:vAlign w:val="center"/>
                </w:tcPr>
                <w:p w14:paraId="6477E6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c>
                <w:tcPr>
                  <w:tcW w:w="766" w:type="pct"/>
                  <w:vAlign w:val="center"/>
                </w:tcPr>
                <w:p w14:paraId="56B4244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办公生活</w:t>
                  </w:r>
                </w:p>
              </w:tc>
              <w:tc>
                <w:tcPr>
                  <w:tcW w:w="414" w:type="pct"/>
                  <w:vAlign w:val="center"/>
                </w:tcPr>
                <w:p w14:paraId="435C89AB">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368" w:type="pct"/>
                  <w:vAlign w:val="center"/>
                </w:tcPr>
                <w:p w14:paraId="3A9BBC6C">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622" w:type="pct"/>
                  <w:vAlign w:val="center"/>
                </w:tcPr>
                <w:p w14:paraId="7895FC66">
                  <w:pPr>
                    <w:keepNext w:val="0"/>
                    <w:keepLines w:val="0"/>
                    <w:suppressLineNumbers w:val="0"/>
                    <w:adjustRightInd w:val="0"/>
                    <w:snapToGrid w:val="0"/>
                    <w:spacing w:before="0" w:beforeAutospacing="0" w:after="0" w:afterAutospacing="0"/>
                    <w:ind w:left="0" w:leftChars="0" w:right="0" w:rightChars="0"/>
                    <w:jc w:val="center"/>
                    <w:rPr>
                      <w:rFonts w:hint="eastAsia"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1.2</w:t>
                  </w:r>
                </w:p>
              </w:tc>
              <w:tc>
                <w:tcPr>
                  <w:tcW w:w="513" w:type="pct"/>
                  <w:vAlign w:val="center"/>
                </w:tcPr>
                <w:p w14:paraId="345DFA5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360</w:t>
                  </w:r>
                </w:p>
              </w:tc>
              <w:tc>
                <w:tcPr>
                  <w:tcW w:w="288" w:type="pct"/>
                  <w:vAlign w:val="center"/>
                </w:tcPr>
                <w:p w14:paraId="24DD5BA4">
                  <w:pPr>
                    <w:pStyle w:val="24"/>
                    <w:snapToGrid w:val="0"/>
                    <w:spacing w:after="0"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414" w:type="pct"/>
                  <w:vAlign w:val="center"/>
                </w:tcPr>
                <w:p w14:paraId="12A71E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0.96</w:t>
                  </w:r>
                </w:p>
              </w:tc>
              <w:tc>
                <w:tcPr>
                  <w:tcW w:w="459" w:type="pct"/>
                  <w:vAlign w:val="center"/>
                </w:tcPr>
                <w:p w14:paraId="3775C6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288</w:t>
                  </w:r>
                </w:p>
              </w:tc>
              <w:tc>
                <w:tcPr>
                  <w:tcW w:w="935" w:type="pct"/>
                  <w:vMerge w:val="continue"/>
                  <w:vAlign w:val="center"/>
                </w:tcPr>
                <w:p w14:paraId="65F667EC">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091B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16" w:type="pct"/>
                  <w:vMerge w:val="restart"/>
                  <w:vAlign w:val="center"/>
                </w:tcPr>
                <w:p w14:paraId="58B48384">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生产用水</w:t>
                  </w:r>
                </w:p>
              </w:tc>
              <w:tc>
                <w:tcPr>
                  <w:tcW w:w="766" w:type="pct"/>
                  <w:vAlign w:val="center"/>
                </w:tcPr>
                <w:p w14:paraId="52CC486A">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磨边清洗</w:t>
                  </w:r>
                </w:p>
              </w:tc>
              <w:tc>
                <w:tcPr>
                  <w:tcW w:w="414" w:type="pct"/>
                  <w:vAlign w:val="center"/>
                </w:tcPr>
                <w:p w14:paraId="308B43CC">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368" w:type="pct"/>
                  <w:vAlign w:val="center"/>
                </w:tcPr>
                <w:p w14:paraId="4ECF765C">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622" w:type="pct"/>
                  <w:vAlign w:val="center"/>
                </w:tcPr>
                <w:p w14:paraId="12B38B5F">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0.315</w:t>
                  </w:r>
                </w:p>
              </w:tc>
              <w:tc>
                <w:tcPr>
                  <w:tcW w:w="513" w:type="pct"/>
                  <w:vAlign w:val="center"/>
                </w:tcPr>
                <w:p w14:paraId="7A7A1B72">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94.5</w:t>
                  </w:r>
                </w:p>
              </w:tc>
              <w:tc>
                <w:tcPr>
                  <w:tcW w:w="288" w:type="pct"/>
                  <w:vAlign w:val="center"/>
                </w:tcPr>
                <w:p w14:paraId="11015FA2">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414" w:type="pct"/>
                  <w:vAlign w:val="center"/>
                </w:tcPr>
                <w:p w14:paraId="33D61DC4">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459" w:type="pct"/>
                  <w:vAlign w:val="center"/>
                </w:tcPr>
                <w:p w14:paraId="6DE80A5D">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935" w:type="pct"/>
                  <w:vAlign w:val="center"/>
                </w:tcPr>
                <w:p w14:paraId="663654FB">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循环使用，不外排。</w:t>
                  </w:r>
                </w:p>
              </w:tc>
            </w:tr>
            <w:tr w14:paraId="4288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16" w:type="pct"/>
                  <w:vMerge w:val="continue"/>
                  <w:vAlign w:val="center"/>
                </w:tcPr>
                <w:p w14:paraId="35E827F2">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766" w:type="pct"/>
                  <w:vAlign w:val="center"/>
                </w:tcPr>
                <w:p w14:paraId="394F7319">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弱酸清洗</w:t>
                  </w:r>
                </w:p>
              </w:tc>
              <w:tc>
                <w:tcPr>
                  <w:tcW w:w="414" w:type="pct"/>
                  <w:vAlign w:val="center"/>
                </w:tcPr>
                <w:p w14:paraId="07210607">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368" w:type="pct"/>
                  <w:vAlign w:val="center"/>
                </w:tcPr>
                <w:p w14:paraId="00310663">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14.4</w:t>
                  </w:r>
                </w:p>
              </w:tc>
              <w:tc>
                <w:tcPr>
                  <w:tcW w:w="622" w:type="pct"/>
                  <w:vAlign w:val="center"/>
                </w:tcPr>
                <w:p w14:paraId="4A60BDD9">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w:t>
                  </w:r>
                </w:p>
              </w:tc>
              <w:tc>
                <w:tcPr>
                  <w:tcW w:w="513" w:type="pct"/>
                  <w:vAlign w:val="center"/>
                </w:tcPr>
                <w:p w14:paraId="1D258CFA">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120</w:t>
                  </w:r>
                </w:p>
              </w:tc>
              <w:tc>
                <w:tcPr>
                  <w:tcW w:w="288" w:type="pct"/>
                  <w:vAlign w:val="center"/>
                </w:tcPr>
                <w:p w14:paraId="4BAA3586">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SA"/>
                    </w:rPr>
                    <w:t>12</w:t>
                  </w:r>
                </w:p>
              </w:tc>
              <w:tc>
                <w:tcPr>
                  <w:tcW w:w="414" w:type="pct"/>
                  <w:vAlign w:val="center"/>
                </w:tcPr>
                <w:p w14:paraId="7158BED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0.048</w:t>
                  </w:r>
                </w:p>
              </w:tc>
              <w:tc>
                <w:tcPr>
                  <w:tcW w:w="459" w:type="pct"/>
                  <w:vAlign w:val="center"/>
                </w:tcPr>
                <w:p w14:paraId="249CE79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935" w:type="pct"/>
                  <w:vMerge w:val="restart"/>
                  <w:vAlign w:val="center"/>
                </w:tcPr>
                <w:p w14:paraId="60488908">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一个月更换一次，经收集后统一进入调节池、生产废水处理设施处理后回用于水洗补水，不外排。</w:t>
                  </w:r>
                </w:p>
              </w:tc>
            </w:tr>
            <w:tr w14:paraId="2A73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16" w:type="pct"/>
                  <w:vMerge w:val="continue"/>
                  <w:vAlign w:val="center"/>
                </w:tcPr>
                <w:p w14:paraId="5ED9C3CA">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766" w:type="pct"/>
                  <w:vAlign w:val="center"/>
                </w:tcPr>
                <w:p w14:paraId="32B3D1A6">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预水洗</w:t>
                  </w:r>
                </w:p>
              </w:tc>
              <w:tc>
                <w:tcPr>
                  <w:tcW w:w="414" w:type="pct"/>
                  <w:vAlign w:val="center"/>
                </w:tcPr>
                <w:p w14:paraId="336CFB0B">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368" w:type="pct"/>
                  <w:vAlign w:val="center"/>
                </w:tcPr>
                <w:p w14:paraId="1C105CA4">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14.4</w:t>
                  </w:r>
                </w:p>
              </w:tc>
              <w:tc>
                <w:tcPr>
                  <w:tcW w:w="622" w:type="pct"/>
                  <w:vAlign w:val="center"/>
                </w:tcPr>
                <w:p w14:paraId="16D2C88B">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w:t>
                  </w:r>
                </w:p>
              </w:tc>
              <w:tc>
                <w:tcPr>
                  <w:tcW w:w="513" w:type="pct"/>
                  <w:vAlign w:val="center"/>
                </w:tcPr>
                <w:p w14:paraId="4435566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120</w:t>
                  </w:r>
                </w:p>
              </w:tc>
              <w:tc>
                <w:tcPr>
                  <w:tcW w:w="288" w:type="pct"/>
                  <w:vAlign w:val="center"/>
                </w:tcPr>
                <w:p w14:paraId="7C83C1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414" w:type="pct"/>
                  <w:vAlign w:val="center"/>
                </w:tcPr>
                <w:p w14:paraId="5FDB29B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0.048</w:t>
                  </w:r>
                </w:p>
              </w:tc>
              <w:tc>
                <w:tcPr>
                  <w:tcW w:w="459" w:type="pct"/>
                  <w:vAlign w:val="center"/>
                </w:tcPr>
                <w:p w14:paraId="2ABA55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935" w:type="pct"/>
                  <w:vMerge w:val="continue"/>
                  <w:vAlign w:val="center"/>
                </w:tcPr>
                <w:p w14:paraId="7C3010A2">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398D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6" w:type="pct"/>
                  <w:vMerge w:val="continue"/>
                  <w:vAlign w:val="center"/>
                </w:tcPr>
                <w:p w14:paraId="1DBCA3FB">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766" w:type="pct"/>
                  <w:vAlign w:val="center"/>
                </w:tcPr>
                <w:p w14:paraId="3863EF6F">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第一次清洗</w:t>
                  </w:r>
                </w:p>
              </w:tc>
              <w:tc>
                <w:tcPr>
                  <w:tcW w:w="414" w:type="pct"/>
                  <w:vAlign w:val="center"/>
                </w:tcPr>
                <w:p w14:paraId="4E1E9FC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w:t>
                  </w:r>
                </w:p>
              </w:tc>
              <w:tc>
                <w:tcPr>
                  <w:tcW w:w="368" w:type="pct"/>
                  <w:vAlign w:val="center"/>
                </w:tcPr>
                <w:p w14:paraId="609E016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622" w:type="pct"/>
                  <w:vAlign w:val="center"/>
                </w:tcPr>
                <w:p w14:paraId="74C667F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0.4</w:t>
                  </w:r>
                </w:p>
              </w:tc>
              <w:tc>
                <w:tcPr>
                  <w:tcW w:w="513" w:type="pct"/>
                  <w:vAlign w:val="center"/>
                </w:tcPr>
                <w:p w14:paraId="4AF2097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120</w:t>
                  </w:r>
                </w:p>
              </w:tc>
              <w:tc>
                <w:tcPr>
                  <w:tcW w:w="288" w:type="pct"/>
                  <w:vAlign w:val="center"/>
                </w:tcPr>
                <w:p w14:paraId="169F54F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414" w:type="pct"/>
                  <w:vAlign w:val="center"/>
                </w:tcPr>
                <w:p w14:paraId="4AF73DA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0.048</w:t>
                  </w:r>
                </w:p>
              </w:tc>
              <w:tc>
                <w:tcPr>
                  <w:tcW w:w="459" w:type="pct"/>
                  <w:vAlign w:val="center"/>
                </w:tcPr>
                <w:p w14:paraId="2811B00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935" w:type="pct"/>
                  <w:vMerge w:val="continue"/>
                  <w:vAlign w:val="center"/>
                </w:tcPr>
                <w:p w14:paraId="44F3885D">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69E2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16" w:type="pct"/>
                  <w:vMerge w:val="continue"/>
                  <w:vAlign w:val="center"/>
                </w:tcPr>
                <w:p w14:paraId="4DE41436">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766" w:type="pct"/>
                  <w:vAlign w:val="center"/>
                </w:tcPr>
                <w:p w14:paraId="1B0B7753">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第二次清洗</w:t>
                  </w:r>
                </w:p>
              </w:tc>
              <w:tc>
                <w:tcPr>
                  <w:tcW w:w="414" w:type="pct"/>
                  <w:vAlign w:val="center"/>
                </w:tcPr>
                <w:p w14:paraId="49CEF47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w:t>
                  </w:r>
                </w:p>
              </w:tc>
              <w:tc>
                <w:tcPr>
                  <w:tcW w:w="368" w:type="pct"/>
                  <w:vAlign w:val="center"/>
                </w:tcPr>
                <w:p w14:paraId="44FCBFF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622" w:type="pct"/>
                  <w:vAlign w:val="center"/>
                </w:tcPr>
                <w:p w14:paraId="4A30F92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0.4</w:t>
                  </w:r>
                </w:p>
              </w:tc>
              <w:tc>
                <w:tcPr>
                  <w:tcW w:w="513" w:type="pct"/>
                  <w:vAlign w:val="center"/>
                </w:tcPr>
                <w:p w14:paraId="04B52FA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120</w:t>
                  </w:r>
                </w:p>
              </w:tc>
              <w:tc>
                <w:tcPr>
                  <w:tcW w:w="288" w:type="pct"/>
                  <w:vAlign w:val="center"/>
                </w:tcPr>
                <w:p w14:paraId="7E110AF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414" w:type="pct"/>
                  <w:vAlign w:val="center"/>
                </w:tcPr>
                <w:p w14:paraId="01A2F29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0.048</w:t>
                  </w:r>
                </w:p>
              </w:tc>
              <w:tc>
                <w:tcPr>
                  <w:tcW w:w="459" w:type="pct"/>
                  <w:vAlign w:val="center"/>
                </w:tcPr>
                <w:p w14:paraId="76290A8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935" w:type="pct"/>
                  <w:vMerge w:val="continue"/>
                  <w:vAlign w:val="center"/>
                </w:tcPr>
                <w:p w14:paraId="78D74E3E">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4BF3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6" w:type="pct"/>
                  <w:vMerge w:val="continue"/>
                  <w:vAlign w:val="center"/>
                </w:tcPr>
                <w:p w14:paraId="4AA35BDF">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766" w:type="pct"/>
                  <w:vAlign w:val="center"/>
                </w:tcPr>
                <w:p w14:paraId="33ADE3D5">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碱洗塔</w:t>
                  </w:r>
                </w:p>
              </w:tc>
              <w:tc>
                <w:tcPr>
                  <w:tcW w:w="414" w:type="pct"/>
                  <w:vAlign w:val="center"/>
                </w:tcPr>
                <w:p w14:paraId="61DCEB35">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368" w:type="pct"/>
                  <w:vAlign w:val="center"/>
                </w:tcPr>
                <w:p w14:paraId="0E1BEC26">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622" w:type="pct"/>
                  <w:vAlign w:val="center"/>
                </w:tcPr>
                <w:p w14:paraId="57A0E9B3">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0.32</w:t>
                  </w:r>
                </w:p>
              </w:tc>
              <w:tc>
                <w:tcPr>
                  <w:tcW w:w="513" w:type="pct"/>
                  <w:vAlign w:val="center"/>
                </w:tcPr>
                <w:p w14:paraId="7E9450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96</w:t>
                  </w:r>
                </w:p>
              </w:tc>
              <w:tc>
                <w:tcPr>
                  <w:tcW w:w="288" w:type="pct"/>
                  <w:vAlign w:val="center"/>
                </w:tcPr>
                <w:p w14:paraId="5242F5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414" w:type="pct"/>
                  <w:vAlign w:val="center"/>
                </w:tcPr>
                <w:p w14:paraId="130ACB6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w:t>
                  </w:r>
                </w:p>
              </w:tc>
              <w:tc>
                <w:tcPr>
                  <w:tcW w:w="459" w:type="pct"/>
                  <w:vAlign w:val="center"/>
                </w:tcPr>
                <w:p w14:paraId="770C12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w:t>
                  </w:r>
                </w:p>
              </w:tc>
              <w:tc>
                <w:tcPr>
                  <w:tcW w:w="935" w:type="pct"/>
                  <w:vMerge w:val="continue"/>
                  <w:vAlign w:val="center"/>
                </w:tcPr>
                <w:p w14:paraId="1E3C74E6">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48AB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5" w:hRule="atLeast"/>
                <w:jc w:val="center"/>
              </w:trPr>
              <w:tc>
                <w:tcPr>
                  <w:tcW w:w="982" w:type="pct"/>
                  <w:gridSpan w:val="2"/>
                  <w:vAlign w:val="center"/>
                </w:tcPr>
                <w:p w14:paraId="4CB00050">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道路广场浇洒</w:t>
                  </w:r>
                </w:p>
              </w:tc>
              <w:tc>
                <w:tcPr>
                  <w:tcW w:w="414" w:type="pct"/>
                  <w:vAlign w:val="center"/>
                </w:tcPr>
                <w:p w14:paraId="66E5E6CA">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368" w:type="pct"/>
                  <w:vAlign w:val="center"/>
                </w:tcPr>
                <w:p w14:paraId="3A15DCED">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622" w:type="pct"/>
                  <w:vAlign w:val="center"/>
                </w:tcPr>
                <w:p w14:paraId="53D4F17E">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非雨天：4.884</w:t>
                  </w:r>
                </w:p>
                <w:p w14:paraId="42F0BF50">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雨天：0</w:t>
                  </w:r>
                </w:p>
              </w:tc>
              <w:tc>
                <w:tcPr>
                  <w:tcW w:w="513" w:type="pct"/>
                  <w:vAlign w:val="center"/>
                </w:tcPr>
                <w:p w14:paraId="5A1A4B81">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olor w:val="auto"/>
                      <w:highlight w:val="none"/>
                      <w:lang w:val="en-US" w:eastAsia="zh-CN"/>
                    </w:rPr>
                    <w:t>1294.26</w:t>
                  </w:r>
                </w:p>
              </w:tc>
              <w:tc>
                <w:tcPr>
                  <w:tcW w:w="288" w:type="pct"/>
                  <w:vAlign w:val="center"/>
                </w:tcPr>
                <w:p w14:paraId="72505389">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default" w:ascii="Times New Roman" w:hAnsi="Times New Roman" w:cs="Times New Roman"/>
                      <w:bCs/>
                      <w:color w:val="auto"/>
                      <w:sz w:val="21"/>
                      <w:szCs w:val="21"/>
                      <w:highlight w:val="none"/>
                    </w:rPr>
                    <w:t>/</w:t>
                  </w:r>
                </w:p>
              </w:tc>
              <w:tc>
                <w:tcPr>
                  <w:tcW w:w="414" w:type="pct"/>
                  <w:vAlign w:val="center"/>
                </w:tcPr>
                <w:p w14:paraId="534B04A0">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459" w:type="pct"/>
                  <w:vAlign w:val="center"/>
                </w:tcPr>
                <w:p w14:paraId="3720090F">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935" w:type="pct"/>
                  <w:vMerge w:val="restart"/>
                  <w:vAlign w:val="center"/>
                </w:tcPr>
                <w:p w14:paraId="0D8BB38F">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ascii="宋体" w:hAnsi="宋体" w:eastAsia="宋体" w:cs="宋体"/>
                      <w:color w:val="auto"/>
                      <w:spacing w:val="8"/>
                      <w:sz w:val="21"/>
                      <w:szCs w:val="21"/>
                      <w:highlight w:val="none"/>
                    </w:rPr>
                    <w:t>蒸</w:t>
                  </w:r>
                  <w:r>
                    <w:rPr>
                      <w:rFonts w:ascii="宋体" w:hAnsi="宋体" w:eastAsia="宋体" w:cs="宋体"/>
                      <w:color w:val="auto"/>
                      <w:spacing w:val="7"/>
                      <w:sz w:val="21"/>
                      <w:szCs w:val="21"/>
                      <w:highlight w:val="none"/>
                    </w:rPr>
                    <w:t>发</w:t>
                  </w:r>
                  <w:r>
                    <w:rPr>
                      <w:rFonts w:ascii="宋体" w:hAnsi="宋体" w:eastAsia="宋体" w:cs="宋体"/>
                      <w:color w:val="auto"/>
                      <w:spacing w:val="9"/>
                      <w:sz w:val="21"/>
                      <w:szCs w:val="21"/>
                      <w:highlight w:val="none"/>
                    </w:rPr>
                    <w:t>、</w:t>
                  </w:r>
                  <w:r>
                    <w:rPr>
                      <w:rFonts w:ascii="宋体" w:hAnsi="宋体" w:eastAsia="宋体" w:cs="宋体"/>
                      <w:color w:val="auto"/>
                      <w:spacing w:val="7"/>
                      <w:sz w:val="21"/>
                      <w:szCs w:val="21"/>
                      <w:highlight w:val="none"/>
                    </w:rPr>
                    <w:t>渗透</w:t>
                  </w:r>
                </w:p>
              </w:tc>
            </w:tr>
            <w:tr w14:paraId="19E1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pct"/>
                  <w:gridSpan w:val="2"/>
                  <w:vAlign w:val="center"/>
                </w:tcPr>
                <w:p w14:paraId="31B98B44">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绿化</w:t>
                  </w:r>
                </w:p>
              </w:tc>
              <w:tc>
                <w:tcPr>
                  <w:tcW w:w="414" w:type="pct"/>
                  <w:vAlign w:val="center"/>
                </w:tcPr>
                <w:p w14:paraId="34A7E0D1">
                  <w:pPr>
                    <w:pStyle w:val="15"/>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368" w:type="pct"/>
                  <w:vAlign w:val="center"/>
                </w:tcPr>
                <w:p w14:paraId="271D8B2A">
                  <w:pPr>
                    <w:pStyle w:val="15"/>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622" w:type="pct"/>
                  <w:vAlign w:val="center"/>
                </w:tcPr>
                <w:p w14:paraId="16BE671C">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非雨天：0.528</w:t>
                  </w:r>
                </w:p>
                <w:p w14:paraId="2E8CA317">
                  <w:pPr>
                    <w:pStyle w:val="15"/>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雨天：</w:t>
                  </w:r>
                  <w:r>
                    <w:rPr>
                      <w:rFonts w:hint="default" w:ascii="Times New Roman" w:hAnsi="Times New Roman" w:cs="Times New Roman"/>
                      <w:color w:val="auto"/>
                      <w:kern w:val="0"/>
                      <w:sz w:val="21"/>
                      <w:szCs w:val="21"/>
                      <w:highlight w:val="none"/>
                      <w:lang w:val="en-US" w:eastAsia="zh-CN"/>
                    </w:rPr>
                    <w:t>0</w:t>
                  </w:r>
                </w:p>
              </w:tc>
              <w:tc>
                <w:tcPr>
                  <w:tcW w:w="513" w:type="pct"/>
                  <w:vAlign w:val="center"/>
                </w:tcPr>
                <w:p w14:paraId="321F9E91">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eastAsia" w:cs="Times New Roman"/>
                      <w:color w:val="auto"/>
                      <w:kern w:val="0"/>
                      <w:sz w:val="21"/>
                      <w:szCs w:val="21"/>
                      <w:highlight w:val="none"/>
                      <w:lang w:val="en-US" w:eastAsia="zh-CN"/>
                    </w:rPr>
                    <w:t>139.92</w:t>
                  </w:r>
                </w:p>
              </w:tc>
              <w:tc>
                <w:tcPr>
                  <w:tcW w:w="288" w:type="pct"/>
                  <w:vAlign w:val="center"/>
                </w:tcPr>
                <w:p w14:paraId="049A2EEF">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414" w:type="pct"/>
                  <w:vAlign w:val="center"/>
                </w:tcPr>
                <w:p w14:paraId="735755CE">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459" w:type="pct"/>
                  <w:vAlign w:val="center"/>
                </w:tcPr>
                <w:p w14:paraId="23A118EF">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935" w:type="pct"/>
                  <w:vMerge w:val="continue"/>
                  <w:vAlign w:val="center"/>
                </w:tcPr>
                <w:p w14:paraId="0A3144DE">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1B38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82" w:type="pct"/>
                  <w:gridSpan w:val="2"/>
                  <w:vAlign w:val="center"/>
                </w:tcPr>
                <w:p w14:paraId="16DB54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合计</w:t>
                  </w:r>
                </w:p>
              </w:tc>
              <w:tc>
                <w:tcPr>
                  <w:tcW w:w="414" w:type="pct"/>
                  <w:vAlign w:val="center"/>
                </w:tcPr>
                <w:p w14:paraId="779DF71D">
                  <w:pPr>
                    <w:pStyle w:val="15"/>
                    <w:jc w:val="center"/>
                    <w:rPr>
                      <w:rFonts w:hint="eastAsia" w:ascii="宋体" w:hAnsi="Courier New"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368" w:type="pct"/>
                  <w:vAlign w:val="center"/>
                </w:tcPr>
                <w:p w14:paraId="14E0728A">
                  <w:pPr>
                    <w:pStyle w:val="15"/>
                    <w:jc w:val="center"/>
                    <w:rPr>
                      <w:rFonts w:hint="eastAsia" w:ascii="宋体" w:hAnsi="Courier New"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622" w:type="pct"/>
                  <w:vAlign w:val="center"/>
                </w:tcPr>
                <w:p w14:paraId="5944B150">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非雨天：9.147</w:t>
                  </w:r>
                </w:p>
                <w:p w14:paraId="55C8B866">
                  <w:pPr>
                    <w:pStyle w:val="15"/>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雨天：</w:t>
                  </w:r>
                  <w:r>
                    <w:rPr>
                      <w:rFonts w:hint="default" w:ascii="Times New Roman" w:hAnsi="Times New Roman" w:cs="Times New Roman"/>
                      <w:color w:val="auto"/>
                      <w:kern w:val="0"/>
                      <w:sz w:val="21"/>
                      <w:szCs w:val="21"/>
                      <w:highlight w:val="none"/>
                      <w:lang w:val="en-US" w:eastAsia="zh-CN"/>
                    </w:rPr>
                    <w:t>3.735</w:t>
                  </w:r>
                </w:p>
              </w:tc>
              <w:tc>
                <w:tcPr>
                  <w:tcW w:w="513" w:type="pct"/>
                  <w:vAlign w:val="center"/>
                </w:tcPr>
                <w:p w14:paraId="3F664298">
                  <w:pPr>
                    <w:keepNext w:val="0"/>
                    <w:keepLines w:val="0"/>
                    <w:suppressLineNumbers w:val="0"/>
                    <w:adjustRightInd w:val="0"/>
                    <w:snapToGrid w:val="0"/>
                    <w:spacing w:before="0" w:beforeAutospacing="0" w:after="0" w:afterAutospacing="0"/>
                    <w:ind w:left="0" w:leftChars="0" w:right="0" w:rightChars="0"/>
                    <w:jc w:val="center"/>
                    <w:rPr>
                      <w:rFonts w:hint="default"/>
                      <w:color w:val="auto"/>
                      <w:highlight w:val="none"/>
                      <w:lang w:val="en-US" w:eastAsia="zh-CN"/>
                    </w:rPr>
                  </w:pPr>
                  <w:r>
                    <w:rPr>
                      <w:rFonts w:hint="eastAsia" w:cs="Times New Roman"/>
                      <w:color w:val="auto"/>
                      <w:kern w:val="0"/>
                      <w:sz w:val="21"/>
                      <w:szCs w:val="21"/>
                      <w:highlight w:val="none"/>
                      <w:lang w:val="en-US" w:eastAsia="zh-CN"/>
                    </w:rPr>
                    <w:t>2554.68</w:t>
                  </w:r>
                </w:p>
              </w:tc>
              <w:tc>
                <w:tcPr>
                  <w:tcW w:w="288" w:type="pct"/>
                  <w:vAlign w:val="center"/>
                </w:tcPr>
                <w:p w14:paraId="3168F8D2">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414" w:type="pct"/>
                  <w:vAlign w:val="center"/>
                </w:tcPr>
                <w:p w14:paraId="2149E7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1.432</w:t>
                  </w:r>
                </w:p>
              </w:tc>
              <w:tc>
                <w:tcPr>
                  <w:tcW w:w="459" w:type="pct"/>
                  <w:vAlign w:val="center"/>
                </w:tcPr>
                <w:p w14:paraId="4C37CFB0">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429.6</w:t>
                  </w:r>
                </w:p>
              </w:tc>
              <w:tc>
                <w:tcPr>
                  <w:tcW w:w="935" w:type="pct"/>
                  <w:vAlign w:val="center"/>
                </w:tcPr>
                <w:p w14:paraId="606A1C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bl>
          <w:p w14:paraId="5BE9EE8A">
            <w:pPr>
              <w:pStyle w:val="4"/>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object>
                <v:shape id="_x0000_i1025" o:spt="75" type="#_x0000_t75" style="height:617.9pt;width:415.8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r>
              <w:rPr>
                <w:rFonts w:hint="default" w:ascii="Times New Roman" w:hAnsi="Times New Roman" w:eastAsia="宋体" w:cs="Times New Roman"/>
                <w:b/>
                <w:bCs/>
                <w:color w:val="auto"/>
                <w:sz w:val="21"/>
                <w:szCs w:val="21"/>
                <w:highlight w:val="none"/>
                <w:lang w:val="en-US" w:eastAsia="zh-CN"/>
              </w:rPr>
              <w:t xml:space="preserve">图2-1 </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项目</w:t>
            </w:r>
            <w:r>
              <w:rPr>
                <w:rFonts w:hint="eastAsia" w:ascii="Times New Roman" w:hAnsi="Times New Roman" w:cs="Times New Roman"/>
                <w:b/>
                <w:bCs/>
                <w:color w:val="auto"/>
                <w:sz w:val="21"/>
                <w:szCs w:val="21"/>
                <w:highlight w:val="none"/>
                <w:lang w:val="en-US" w:eastAsia="zh-CN"/>
              </w:rPr>
              <w:t>水平衡图 m</w:t>
            </w:r>
            <w:r>
              <w:rPr>
                <w:rFonts w:hint="eastAsia" w:ascii="Times New Roman" w:hAnsi="Times New Roman" w:cs="Times New Roman"/>
                <w:b/>
                <w:bCs/>
                <w:color w:val="auto"/>
                <w:sz w:val="21"/>
                <w:szCs w:val="21"/>
                <w:highlight w:val="none"/>
                <w:vertAlign w:val="superscript"/>
                <w:lang w:val="en-US" w:eastAsia="zh-CN"/>
              </w:rPr>
              <w:t>3</w:t>
            </w:r>
            <w:r>
              <w:rPr>
                <w:rFonts w:hint="eastAsia" w:ascii="Times New Roman" w:hAnsi="Times New Roman" w:cs="Times New Roman"/>
                <w:b/>
                <w:bCs/>
                <w:color w:val="auto"/>
                <w:sz w:val="21"/>
                <w:szCs w:val="21"/>
                <w:highlight w:val="none"/>
                <w:lang w:val="en-US" w:eastAsia="zh-CN"/>
              </w:rPr>
              <w:t>/d</w:t>
            </w:r>
          </w:p>
          <w:p w14:paraId="74E039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jc w:val="center"/>
              <w:textAlignment w:val="auto"/>
              <w:rPr>
                <w:rFonts w:hint="eastAsia"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object>
                <v:shape id="_x0000_i1026" o:spt="75" type="#_x0000_t75" style="height:582.1pt;width:415.8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r>
              <w:rPr>
                <w:rFonts w:hint="default" w:ascii="Times New Roman" w:hAnsi="Times New Roman" w:eastAsia="宋体" w:cs="Times New Roman"/>
                <w:b/>
                <w:bCs/>
                <w:color w:val="auto"/>
                <w:sz w:val="21"/>
                <w:szCs w:val="21"/>
                <w:highlight w:val="none"/>
                <w:lang w:val="en-US" w:eastAsia="zh-CN"/>
              </w:rPr>
              <w:t>图2-</w:t>
            </w:r>
            <w:r>
              <w:rPr>
                <w:rFonts w:hint="eastAsia" w:ascii="Times New Roman" w:hAnsi="Times New Roman" w:cs="Times New Roman"/>
                <w:b/>
                <w:bCs/>
                <w:color w:val="auto"/>
                <w:sz w:val="21"/>
                <w:szCs w:val="21"/>
                <w:highlight w:val="none"/>
                <w:lang w:val="en-US" w:eastAsia="zh-CN"/>
              </w:rPr>
              <w:t xml:space="preserve">2  </w:t>
            </w:r>
            <w:r>
              <w:rPr>
                <w:rFonts w:hint="default" w:ascii="Times New Roman" w:hAnsi="Times New Roman" w:eastAsia="宋体" w:cs="Times New Roman"/>
                <w:b/>
                <w:bCs/>
                <w:color w:val="auto"/>
                <w:sz w:val="21"/>
                <w:szCs w:val="21"/>
                <w:highlight w:val="none"/>
                <w:lang w:val="en-US" w:eastAsia="zh-CN"/>
              </w:rPr>
              <w:t xml:space="preserve"> 项目</w:t>
            </w:r>
            <w:r>
              <w:rPr>
                <w:rFonts w:hint="eastAsia" w:ascii="Times New Roman" w:hAnsi="Times New Roman" w:cs="Times New Roman"/>
                <w:b/>
                <w:bCs/>
                <w:color w:val="auto"/>
                <w:sz w:val="21"/>
                <w:szCs w:val="21"/>
                <w:highlight w:val="none"/>
                <w:lang w:val="en-US" w:eastAsia="zh-CN"/>
              </w:rPr>
              <w:t>水平衡图 m</w:t>
            </w:r>
            <w:r>
              <w:rPr>
                <w:rFonts w:hint="eastAsia" w:ascii="Times New Roman" w:hAnsi="Times New Roman" w:cs="Times New Roman"/>
                <w:b/>
                <w:bCs/>
                <w:color w:val="auto"/>
                <w:sz w:val="21"/>
                <w:szCs w:val="21"/>
                <w:highlight w:val="none"/>
                <w:vertAlign w:val="superscript"/>
                <w:lang w:val="en-US" w:eastAsia="zh-CN"/>
              </w:rPr>
              <w:t>3</w:t>
            </w:r>
            <w:r>
              <w:rPr>
                <w:rFonts w:hint="eastAsia" w:ascii="Times New Roman" w:hAnsi="Times New Roman" w:cs="Times New Roman"/>
                <w:b/>
                <w:bCs/>
                <w:color w:val="auto"/>
                <w:sz w:val="21"/>
                <w:szCs w:val="21"/>
                <w:highlight w:val="none"/>
                <w:lang w:val="en-US" w:eastAsia="zh-CN"/>
              </w:rPr>
              <w:t>/a</w:t>
            </w:r>
          </w:p>
          <w:p w14:paraId="729626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color w:val="auto"/>
                <w:sz w:val="24"/>
                <w:szCs w:val="24"/>
                <w:highlight w:val="none"/>
                <w:lang w:val="en-US" w:eastAsia="zh-CN"/>
              </w:rPr>
            </w:pPr>
          </w:p>
          <w:p w14:paraId="1888C3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扩建完成后，全厂的用排水</w:t>
            </w:r>
            <w:r>
              <w:rPr>
                <w:rFonts w:hint="default"/>
                <w:color w:val="auto"/>
                <w:sz w:val="24"/>
                <w:szCs w:val="24"/>
                <w:highlight w:val="none"/>
                <w:lang w:val="en-US" w:eastAsia="zh-CN"/>
              </w:rPr>
              <w:t>情况详见表</w:t>
            </w:r>
            <w:r>
              <w:rPr>
                <w:rFonts w:hint="eastAsia"/>
                <w:color w:val="auto"/>
                <w:sz w:val="24"/>
                <w:szCs w:val="24"/>
                <w:highlight w:val="none"/>
                <w:lang w:val="en-US" w:eastAsia="zh-CN"/>
              </w:rPr>
              <w:t>2</w:t>
            </w:r>
            <w:r>
              <w:rPr>
                <w:rFonts w:hint="default"/>
                <w:color w:val="auto"/>
                <w:sz w:val="24"/>
                <w:szCs w:val="24"/>
                <w:highlight w:val="none"/>
                <w:lang w:val="en-US" w:eastAsia="zh-CN"/>
              </w:rPr>
              <w:t>-</w:t>
            </w:r>
            <w:r>
              <w:rPr>
                <w:rFonts w:hint="eastAsia"/>
                <w:color w:val="auto"/>
                <w:sz w:val="24"/>
                <w:szCs w:val="24"/>
                <w:highlight w:val="none"/>
                <w:lang w:val="en-US" w:eastAsia="zh-CN"/>
              </w:rPr>
              <w:t>8</w:t>
            </w:r>
            <w:r>
              <w:rPr>
                <w:rFonts w:hint="default"/>
                <w:color w:val="auto"/>
                <w:sz w:val="24"/>
                <w:szCs w:val="24"/>
                <w:highlight w:val="none"/>
                <w:lang w:val="en-US" w:eastAsia="zh-CN"/>
              </w:rPr>
              <w:t>，水量平衡图详见图</w:t>
            </w:r>
            <w:r>
              <w:rPr>
                <w:rFonts w:hint="eastAsia"/>
                <w:color w:val="auto"/>
                <w:sz w:val="24"/>
                <w:szCs w:val="24"/>
                <w:highlight w:val="none"/>
                <w:lang w:val="en-US" w:eastAsia="zh-CN"/>
              </w:rPr>
              <w:t>2</w:t>
            </w:r>
            <w:r>
              <w:rPr>
                <w:rFonts w:hint="default"/>
                <w:color w:val="auto"/>
                <w:sz w:val="24"/>
                <w:szCs w:val="24"/>
                <w:highlight w:val="none"/>
                <w:lang w:val="en-US" w:eastAsia="zh-CN"/>
              </w:rPr>
              <w:t>-</w:t>
            </w:r>
            <w:r>
              <w:rPr>
                <w:rFonts w:hint="eastAsia"/>
                <w:color w:val="auto"/>
                <w:sz w:val="24"/>
                <w:szCs w:val="24"/>
                <w:highlight w:val="none"/>
                <w:lang w:val="en-US" w:eastAsia="zh-CN"/>
              </w:rPr>
              <w:t>3、2-4</w:t>
            </w:r>
            <w:r>
              <w:rPr>
                <w:rFonts w:hint="default"/>
                <w:color w:val="auto"/>
                <w:sz w:val="24"/>
                <w:szCs w:val="24"/>
                <w:highlight w:val="none"/>
                <w:lang w:val="en-US" w:eastAsia="zh-CN"/>
              </w:rPr>
              <w:t>。</w:t>
            </w:r>
          </w:p>
          <w:p w14:paraId="5C1F738A">
            <w:pPr>
              <w:keepNext w:val="0"/>
              <w:keepLines w:val="0"/>
              <w:suppressLineNumbers w:val="0"/>
              <w:bidi w:val="0"/>
              <w:spacing w:before="0" w:beforeAutospacing="0" w:after="0" w:afterAutospacing="0"/>
              <w:ind w:left="0" w:right="0"/>
              <w:jc w:val="both"/>
              <w:rPr>
                <w:rFonts w:hint="default"/>
                <w:b/>
                <w:bCs/>
                <w:color w:val="auto"/>
                <w:highlight w:val="none"/>
                <w:lang w:val="en-US" w:eastAsia="zh-CN"/>
              </w:rPr>
            </w:pPr>
          </w:p>
          <w:p w14:paraId="075BFC22">
            <w:pPr>
              <w:keepNext w:val="0"/>
              <w:keepLines w:val="0"/>
              <w:suppressLineNumbers w:val="0"/>
              <w:bidi w:val="0"/>
              <w:spacing w:before="0" w:beforeAutospacing="0" w:after="0" w:afterAutospacing="0"/>
              <w:ind w:left="0" w:right="0"/>
              <w:jc w:val="center"/>
              <w:rPr>
                <w:rFonts w:hint="default"/>
                <w:b/>
                <w:bCs/>
                <w:color w:val="auto"/>
                <w:highlight w:val="none"/>
                <w:lang w:val="en-US" w:eastAsia="zh-CN"/>
              </w:rPr>
            </w:pPr>
            <w:r>
              <w:rPr>
                <w:rFonts w:hint="default"/>
                <w:b/>
                <w:bCs/>
                <w:color w:val="auto"/>
                <w:highlight w:val="none"/>
                <w:lang w:val="en-US" w:eastAsia="zh-CN"/>
              </w:rPr>
              <w:t>表</w:t>
            </w:r>
            <w:r>
              <w:rPr>
                <w:rFonts w:hint="eastAsia"/>
                <w:b/>
                <w:bCs/>
                <w:color w:val="auto"/>
                <w:highlight w:val="none"/>
                <w:lang w:val="en-US" w:eastAsia="zh-CN"/>
              </w:rPr>
              <w:t>2</w:t>
            </w:r>
            <w:r>
              <w:rPr>
                <w:rFonts w:hint="default"/>
                <w:b/>
                <w:bCs/>
                <w:color w:val="auto"/>
                <w:highlight w:val="none"/>
                <w:lang w:val="en-US" w:eastAsia="zh-CN"/>
              </w:rPr>
              <w:t>-</w:t>
            </w:r>
            <w:r>
              <w:rPr>
                <w:rFonts w:hint="eastAsia"/>
                <w:b/>
                <w:bCs/>
                <w:color w:val="auto"/>
                <w:highlight w:val="none"/>
                <w:lang w:val="en-US" w:eastAsia="zh-CN"/>
              </w:rPr>
              <w:t>8  扩建完成全厂用排水</w:t>
            </w:r>
            <w:r>
              <w:rPr>
                <w:rFonts w:hint="default"/>
                <w:b/>
                <w:bCs/>
                <w:color w:val="auto"/>
                <w:highlight w:val="none"/>
                <w:lang w:val="en-US" w:eastAsia="zh-CN"/>
              </w:rPr>
              <w:t>情况</w:t>
            </w:r>
            <w:r>
              <w:rPr>
                <w:rFonts w:hint="eastAsia"/>
                <w:b/>
                <w:bCs/>
                <w:color w:val="auto"/>
                <w:highlight w:val="none"/>
                <w:lang w:val="en-US" w:eastAsia="zh-CN"/>
              </w:rPr>
              <w:t>一览表</w:t>
            </w:r>
          </w:p>
          <w:tbl>
            <w:tblPr>
              <w:tblStyle w:val="26"/>
              <w:tblW w:w="8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875"/>
              <w:gridCol w:w="555"/>
              <w:gridCol w:w="630"/>
              <w:gridCol w:w="1196"/>
              <w:gridCol w:w="825"/>
              <w:gridCol w:w="480"/>
              <w:gridCol w:w="765"/>
              <w:gridCol w:w="694"/>
              <w:gridCol w:w="1930"/>
            </w:tblGrid>
            <w:tr w14:paraId="145D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2" w:type="pct"/>
                  <w:gridSpan w:val="2"/>
                  <w:vMerge w:val="restart"/>
                  <w:vAlign w:val="center"/>
                </w:tcPr>
                <w:p w14:paraId="3A36ED0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eastAsia="zh-CN"/>
                    </w:rPr>
                    <w:t>用水项目</w:t>
                  </w:r>
                </w:p>
              </w:tc>
              <w:tc>
                <w:tcPr>
                  <w:tcW w:w="1924" w:type="pct"/>
                  <w:gridSpan w:val="4"/>
                  <w:vAlign w:val="center"/>
                </w:tcPr>
                <w:p w14:paraId="5DA11B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用水量</w:t>
                  </w:r>
                </w:p>
              </w:tc>
              <w:tc>
                <w:tcPr>
                  <w:tcW w:w="288" w:type="pct"/>
                  <w:vMerge w:val="restart"/>
                  <w:vAlign w:val="center"/>
                </w:tcPr>
                <w:p w14:paraId="2BD89C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eastAsia="zh-CN"/>
                    </w:rPr>
                  </w:pPr>
                  <w:r>
                    <w:rPr>
                      <w:rFonts w:hint="eastAsia" w:cs="Times New Roman"/>
                      <w:b/>
                      <w:bCs/>
                      <w:color w:val="auto"/>
                      <w:kern w:val="0"/>
                      <w:sz w:val="21"/>
                      <w:szCs w:val="21"/>
                      <w:highlight w:val="none"/>
                      <w:lang w:eastAsia="zh-CN"/>
                    </w:rPr>
                    <w:t>更换次数</w:t>
                  </w:r>
                </w:p>
              </w:tc>
              <w:tc>
                <w:tcPr>
                  <w:tcW w:w="875" w:type="pct"/>
                  <w:gridSpan w:val="2"/>
                  <w:vMerge w:val="restart"/>
                  <w:vAlign w:val="center"/>
                </w:tcPr>
                <w:p w14:paraId="3E82F7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eastAsia="zh-CN"/>
                    </w:rPr>
                  </w:pPr>
                  <w:r>
                    <w:rPr>
                      <w:rFonts w:hint="eastAsia" w:cs="Times New Roman"/>
                      <w:b/>
                      <w:bCs/>
                      <w:color w:val="auto"/>
                      <w:kern w:val="0"/>
                      <w:sz w:val="21"/>
                      <w:szCs w:val="21"/>
                      <w:highlight w:val="none"/>
                      <w:lang w:eastAsia="zh-CN"/>
                    </w:rPr>
                    <w:t>废水</w:t>
                  </w:r>
                  <w:r>
                    <w:rPr>
                      <w:rFonts w:hint="default" w:ascii="Times New Roman" w:hAnsi="Times New Roman" w:eastAsia="宋体" w:cs="Times New Roman"/>
                      <w:b/>
                      <w:bCs/>
                      <w:color w:val="auto"/>
                      <w:kern w:val="0"/>
                      <w:sz w:val="21"/>
                      <w:szCs w:val="21"/>
                      <w:highlight w:val="none"/>
                      <w:lang w:eastAsia="zh-CN"/>
                    </w:rPr>
                    <w:t>量</w:t>
                  </w:r>
                </w:p>
              </w:tc>
              <w:tc>
                <w:tcPr>
                  <w:tcW w:w="1158" w:type="pct"/>
                  <w:vMerge w:val="restart"/>
                  <w:vAlign w:val="center"/>
                </w:tcPr>
                <w:p w14:paraId="397725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去向/拟采取的处置措施</w:t>
                  </w:r>
                </w:p>
              </w:tc>
            </w:tr>
            <w:tr w14:paraId="5DE9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2" w:type="pct"/>
                  <w:gridSpan w:val="2"/>
                  <w:vMerge w:val="continue"/>
                  <w:vAlign w:val="center"/>
                </w:tcPr>
                <w:p w14:paraId="5180A9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711" w:type="pct"/>
                  <w:gridSpan w:val="2"/>
                  <w:vAlign w:val="center"/>
                </w:tcPr>
                <w:p w14:paraId="3B80E8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更换水</w:t>
                  </w:r>
                </w:p>
              </w:tc>
              <w:tc>
                <w:tcPr>
                  <w:tcW w:w="1213" w:type="pct"/>
                  <w:gridSpan w:val="2"/>
                  <w:vAlign w:val="center"/>
                </w:tcPr>
                <w:p w14:paraId="63BBC2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补充水</w:t>
                  </w:r>
                </w:p>
              </w:tc>
              <w:tc>
                <w:tcPr>
                  <w:tcW w:w="288" w:type="pct"/>
                  <w:vMerge w:val="continue"/>
                  <w:vAlign w:val="center"/>
                </w:tcPr>
                <w:p w14:paraId="20DAF0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p>
              </w:tc>
              <w:tc>
                <w:tcPr>
                  <w:tcW w:w="875" w:type="pct"/>
                  <w:gridSpan w:val="2"/>
                  <w:vMerge w:val="continue"/>
                  <w:vAlign w:val="center"/>
                </w:tcPr>
                <w:p w14:paraId="5B45D0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p>
              </w:tc>
              <w:tc>
                <w:tcPr>
                  <w:tcW w:w="1158" w:type="pct"/>
                  <w:vMerge w:val="continue"/>
                  <w:vAlign w:val="center"/>
                </w:tcPr>
                <w:p w14:paraId="716FD4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14:paraId="1DAC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2" w:type="pct"/>
                  <w:gridSpan w:val="2"/>
                  <w:vMerge w:val="continue"/>
                  <w:vAlign w:val="center"/>
                </w:tcPr>
                <w:p w14:paraId="66B243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333" w:type="pct"/>
                  <w:vAlign w:val="center"/>
                </w:tcPr>
                <w:p w14:paraId="0586336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w:t>
                  </w:r>
                  <w:r>
                    <w:rPr>
                      <w:rFonts w:hint="eastAsia" w:cs="Times New Roman"/>
                      <w:b/>
                      <w:bCs/>
                      <w:color w:val="auto"/>
                      <w:kern w:val="0"/>
                      <w:sz w:val="21"/>
                      <w:szCs w:val="21"/>
                      <w:highlight w:val="none"/>
                      <w:lang w:val="en-US" w:eastAsia="zh-CN"/>
                    </w:rPr>
                    <w:t>次</w:t>
                  </w:r>
                </w:p>
              </w:tc>
              <w:tc>
                <w:tcPr>
                  <w:tcW w:w="378" w:type="pct"/>
                  <w:vAlign w:val="center"/>
                </w:tcPr>
                <w:p w14:paraId="1E1BEAE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/a</w:t>
                  </w:r>
                </w:p>
              </w:tc>
              <w:tc>
                <w:tcPr>
                  <w:tcW w:w="717" w:type="pct"/>
                  <w:vAlign w:val="center"/>
                </w:tcPr>
                <w:p w14:paraId="4A1DB4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/d</w:t>
                  </w:r>
                </w:p>
              </w:tc>
              <w:tc>
                <w:tcPr>
                  <w:tcW w:w="495" w:type="pct"/>
                  <w:vAlign w:val="center"/>
                </w:tcPr>
                <w:p w14:paraId="246A30D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/a</w:t>
                  </w:r>
                </w:p>
              </w:tc>
              <w:tc>
                <w:tcPr>
                  <w:tcW w:w="288" w:type="pct"/>
                  <w:vMerge w:val="continue"/>
                  <w:vAlign w:val="center"/>
                </w:tcPr>
                <w:p w14:paraId="71C6BA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p>
              </w:tc>
              <w:tc>
                <w:tcPr>
                  <w:tcW w:w="459" w:type="pct"/>
                  <w:vAlign w:val="center"/>
                </w:tcPr>
                <w:p w14:paraId="720E91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w:t>
                  </w:r>
                  <w:r>
                    <w:rPr>
                      <w:rFonts w:hint="eastAsia" w:cs="Times New Roman"/>
                      <w:b/>
                      <w:bCs/>
                      <w:color w:val="auto"/>
                      <w:kern w:val="0"/>
                      <w:sz w:val="21"/>
                      <w:szCs w:val="21"/>
                      <w:highlight w:val="none"/>
                      <w:lang w:val="en-US" w:eastAsia="zh-CN"/>
                    </w:rPr>
                    <w:t>d</w:t>
                  </w:r>
                </w:p>
              </w:tc>
              <w:tc>
                <w:tcPr>
                  <w:tcW w:w="416" w:type="pct"/>
                  <w:vAlign w:val="center"/>
                </w:tcPr>
                <w:p w14:paraId="7DA32F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default" w:ascii="Times New Roman" w:hAnsi="Times New Roman" w:eastAsia="宋体" w:cs="Times New Roman"/>
                      <w:b/>
                      <w:bCs/>
                      <w:color w:val="auto"/>
                      <w:kern w:val="0"/>
                      <w:sz w:val="21"/>
                      <w:szCs w:val="21"/>
                      <w:highlight w:val="none"/>
                      <w:lang w:val="en-US" w:eastAsia="zh-CN"/>
                    </w:rPr>
                    <w:t>/a</w:t>
                  </w:r>
                </w:p>
              </w:tc>
              <w:tc>
                <w:tcPr>
                  <w:tcW w:w="1158" w:type="pct"/>
                  <w:vMerge w:val="continue"/>
                  <w:vAlign w:val="center"/>
                </w:tcPr>
                <w:p w14:paraId="155F2F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14:paraId="1FFC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227" w:type="pct"/>
                  <w:vMerge w:val="restart"/>
                  <w:vAlign w:val="center"/>
                </w:tcPr>
                <w:p w14:paraId="7388D9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本项目生活用水</w:t>
                  </w:r>
                </w:p>
              </w:tc>
              <w:tc>
                <w:tcPr>
                  <w:tcW w:w="525" w:type="pct"/>
                  <w:vAlign w:val="center"/>
                </w:tcPr>
                <w:p w14:paraId="085CF87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食堂</w:t>
                  </w:r>
                </w:p>
              </w:tc>
              <w:tc>
                <w:tcPr>
                  <w:tcW w:w="333" w:type="pct"/>
                  <w:vAlign w:val="center"/>
                </w:tcPr>
                <w:p w14:paraId="01EA57D3">
                  <w:pPr>
                    <w:pStyle w:val="24"/>
                    <w:snapToGrid w:val="0"/>
                    <w:spacing w:after="0" w:line="240" w:lineRule="auto"/>
                    <w:ind w:left="0" w:leftChars="0" w:firstLine="0" w:firstLineChars="0"/>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378" w:type="pct"/>
                  <w:vAlign w:val="center"/>
                </w:tcPr>
                <w:p w14:paraId="152B8590">
                  <w:pPr>
                    <w:pStyle w:val="24"/>
                    <w:snapToGrid w:val="0"/>
                    <w:spacing w:after="0" w:line="240" w:lineRule="auto"/>
                    <w:ind w:left="0" w:leftChars="0" w:firstLine="0" w:firstLineChars="0"/>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717" w:type="pct"/>
                  <w:vAlign w:val="center"/>
                </w:tcPr>
                <w:p w14:paraId="55A6F34E">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w:t>
                  </w:r>
                </w:p>
              </w:tc>
              <w:tc>
                <w:tcPr>
                  <w:tcW w:w="495" w:type="pct"/>
                  <w:vAlign w:val="center"/>
                </w:tcPr>
                <w:p w14:paraId="2C6E51D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90</w:t>
                  </w:r>
                </w:p>
              </w:tc>
              <w:tc>
                <w:tcPr>
                  <w:tcW w:w="288" w:type="pct"/>
                  <w:vAlign w:val="center"/>
                </w:tcPr>
                <w:p w14:paraId="01486244">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459" w:type="pct"/>
                  <w:vAlign w:val="center"/>
                </w:tcPr>
                <w:p w14:paraId="58D09CB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0.24</w:t>
                  </w:r>
                </w:p>
              </w:tc>
              <w:tc>
                <w:tcPr>
                  <w:tcW w:w="416" w:type="pct"/>
                  <w:vAlign w:val="center"/>
                </w:tcPr>
                <w:p w14:paraId="24D2D54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72</w:t>
                  </w:r>
                </w:p>
              </w:tc>
              <w:tc>
                <w:tcPr>
                  <w:tcW w:w="1158" w:type="pct"/>
                  <w:vMerge w:val="restart"/>
                  <w:vAlign w:val="center"/>
                </w:tcPr>
                <w:p w14:paraId="740E407A">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食堂废水经隔油池处理后与生活污水一并进入化粪池、生活污水处理设施处理后回用于项目区绿化及道路广场浇洒，不外排。</w:t>
                  </w:r>
                </w:p>
              </w:tc>
            </w:tr>
            <w:tr w14:paraId="3984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27" w:type="pct"/>
                  <w:vMerge w:val="continue"/>
                  <w:vAlign w:val="center"/>
                </w:tcPr>
                <w:p w14:paraId="7D6681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c>
                <w:tcPr>
                  <w:tcW w:w="525" w:type="pct"/>
                  <w:vAlign w:val="center"/>
                </w:tcPr>
                <w:p w14:paraId="25FAB5A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办公生活</w:t>
                  </w:r>
                </w:p>
              </w:tc>
              <w:tc>
                <w:tcPr>
                  <w:tcW w:w="333" w:type="pct"/>
                  <w:vAlign w:val="center"/>
                </w:tcPr>
                <w:p w14:paraId="542F86FE">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378" w:type="pct"/>
                  <w:vAlign w:val="center"/>
                </w:tcPr>
                <w:p w14:paraId="008A637F">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717" w:type="pct"/>
                  <w:vAlign w:val="center"/>
                </w:tcPr>
                <w:p w14:paraId="67864B2C">
                  <w:pPr>
                    <w:keepNext w:val="0"/>
                    <w:keepLines w:val="0"/>
                    <w:suppressLineNumbers w:val="0"/>
                    <w:adjustRightInd w:val="0"/>
                    <w:snapToGrid w:val="0"/>
                    <w:spacing w:before="0" w:beforeAutospacing="0" w:after="0" w:afterAutospacing="0"/>
                    <w:ind w:left="0" w:leftChars="0" w:right="0" w:rightChars="0"/>
                    <w:jc w:val="center"/>
                    <w:rPr>
                      <w:rFonts w:hint="eastAsia"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1.2</w:t>
                  </w:r>
                </w:p>
              </w:tc>
              <w:tc>
                <w:tcPr>
                  <w:tcW w:w="495" w:type="pct"/>
                  <w:vAlign w:val="center"/>
                </w:tcPr>
                <w:p w14:paraId="4E7408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360</w:t>
                  </w:r>
                </w:p>
              </w:tc>
              <w:tc>
                <w:tcPr>
                  <w:tcW w:w="288" w:type="pct"/>
                  <w:vAlign w:val="center"/>
                </w:tcPr>
                <w:p w14:paraId="3B9441EE">
                  <w:pPr>
                    <w:pStyle w:val="24"/>
                    <w:snapToGrid w:val="0"/>
                    <w:spacing w:after="0"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459" w:type="pct"/>
                  <w:vAlign w:val="center"/>
                </w:tcPr>
                <w:p w14:paraId="1A04E92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0.96</w:t>
                  </w:r>
                </w:p>
              </w:tc>
              <w:tc>
                <w:tcPr>
                  <w:tcW w:w="416" w:type="pct"/>
                  <w:vAlign w:val="center"/>
                </w:tcPr>
                <w:p w14:paraId="7813C47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288</w:t>
                  </w:r>
                </w:p>
              </w:tc>
              <w:tc>
                <w:tcPr>
                  <w:tcW w:w="1158" w:type="pct"/>
                  <w:vMerge w:val="continue"/>
                  <w:vAlign w:val="center"/>
                </w:tcPr>
                <w:p w14:paraId="2294BC3D">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2CFB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27" w:type="pct"/>
                  <w:vMerge w:val="restart"/>
                  <w:vAlign w:val="center"/>
                </w:tcPr>
                <w:p w14:paraId="4C7DC410">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本项目生产用水</w:t>
                  </w:r>
                </w:p>
              </w:tc>
              <w:tc>
                <w:tcPr>
                  <w:tcW w:w="525" w:type="pct"/>
                  <w:vAlign w:val="center"/>
                </w:tcPr>
                <w:p w14:paraId="214D6EBA">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磨边清洗</w:t>
                  </w:r>
                </w:p>
              </w:tc>
              <w:tc>
                <w:tcPr>
                  <w:tcW w:w="333" w:type="pct"/>
                  <w:vAlign w:val="center"/>
                </w:tcPr>
                <w:p w14:paraId="01AFCC41">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378" w:type="pct"/>
                  <w:vAlign w:val="center"/>
                </w:tcPr>
                <w:p w14:paraId="025ED63E">
                  <w:pPr>
                    <w:pStyle w:val="24"/>
                    <w:snapToGrid w:val="0"/>
                    <w:spacing w:after="0"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717" w:type="pct"/>
                  <w:vAlign w:val="center"/>
                </w:tcPr>
                <w:p w14:paraId="7B8F573D">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0.315</w:t>
                  </w:r>
                </w:p>
              </w:tc>
              <w:tc>
                <w:tcPr>
                  <w:tcW w:w="495" w:type="pct"/>
                  <w:vAlign w:val="center"/>
                </w:tcPr>
                <w:p w14:paraId="524D6CF1">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94.5</w:t>
                  </w:r>
                </w:p>
              </w:tc>
              <w:tc>
                <w:tcPr>
                  <w:tcW w:w="288" w:type="pct"/>
                  <w:vAlign w:val="center"/>
                </w:tcPr>
                <w:p w14:paraId="10D356BC">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459" w:type="pct"/>
                  <w:vAlign w:val="center"/>
                </w:tcPr>
                <w:p w14:paraId="0D701728">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416" w:type="pct"/>
                  <w:vAlign w:val="center"/>
                </w:tcPr>
                <w:p w14:paraId="6DA13BD0">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1158" w:type="pct"/>
                  <w:vAlign w:val="center"/>
                </w:tcPr>
                <w:p w14:paraId="2E0B0F73">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循环使用，不外排。</w:t>
                  </w:r>
                </w:p>
              </w:tc>
            </w:tr>
            <w:tr w14:paraId="1FBF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27" w:type="pct"/>
                  <w:vMerge w:val="continue"/>
                  <w:vAlign w:val="center"/>
                </w:tcPr>
                <w:p w14:paraId="2E321F65">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525" w:type="pct"/>
                  <w:vAlign w:val="center"/>
                </w:tcPr>
                <w:p w14:paraId="77FCAC8D">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弱酸清洗</w:t>
                  </w:r>
                </w:p>
              </w:tc>
              <w:tc>
                <w:tcPr>
                  <w:tcW w:w="333" w:type="pct"/>
                  <w:vAlign w:val="center"/>
                </w:tcPr>
                <w:p w14:paraId="088C9683">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378" w:type="pct"/>
                  <w:vAlign w:val="center"/>
                </w:tcPr>
                <w:p w14:paraId="780EC5F4">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14.4</w:t>
                  </w:r>
                </w:p>
              </w:tc>
              <w:tc>
                <w:tcPr>
                  <w:tcW w:w="717" w:type="pct"/>
                  <w:vAlign w:val="center"/>
                </w:tcPr>
                <w:p w14:paraId="1B33A462">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w:t>
                  </w:r>
                </w:p>
              </w:tc>
              <w:tc>
                <w:tcPr>
                  <w:tcW w:w="495" w:type="pct"/>
                  <w:vAlign w:val="center"/>
                </w:tcPr>
                <w:p w14:paraId="645AE6B4">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120</w:t>
                  </w:r>
                </w:p>
              </w:tc>
              <w:tc>
                <w:tcPr>
                  <w:tcW w:w="288" w:type="pct"/>
                  <w:vAlign w:val="center"/>
                </w:tcPr>
                <w:p w14:paraId="33A29B35">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SA"/>
                    </w:rPr>
                    <w:t>12</w:t>
                  </w:r>
                </w:p>
              </w:tc>
              <w:tc>
                <w:tcPr>
                  <w:tcW w:w="459" w:type="pct"/>
                  <w:vAlign w:val="center"/>
                </w:tcPr>
                <w:p w14:paraId="3D89D2D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0.048</w:t>
                  </w:r>
                </w:p>
              </w:tc>
              <w:tc>
                <w:tcPr>
                  <w:tcW w:w="416" w:type="pct"/>
                  <w:vAlign w:val="center"/>
                </w:tcPr>
                <w:p w14:paraId="4B1967D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1158" w:type="pct"/>
                  <w:vMerge w:val="restart"/>
                  <w:vAlign w:val="center"/>
                </w:tcPr>
                <w:p w14:paraId="15D187E6">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一个月更换一次，经收集后统一进入调节池、生产废水处理设施处理达《城市污水再生利用 工业用水水质》（GB/T 19923-2005）中的洗涤用水标准后回用于水洗补水。</w:t>
                  </w:r>
                </w:p>
              </w:tc>
            </w:tr>
            <w:tr w14:paraId="2BB8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27" w:type="pct"/>
                  <w:vMerge w:val="continue"/>
                  <w:vAlign w:val="center"/>
                </w:tcPr>
                <w:p w14:paraId="00B6E68D">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525" w:type="pct"/>
                  <w:vAlign w:val="center"/>
                </w:tcPr>
                <w:p w14:paraId="6369BF1A">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预水洗</w:t>
                  </w:r>
                </w:p>
              </w:tc>
              <w:tc>
                <w:tcPr>
                  <w:tcW w:w="333" w:type="pct"/>
                  <w:vAlign w:val="center"/>
                </w:tcPr>
                <w:p w14:paraId="10C89C1A">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378" w:type="pct"/>
                  <w:vAlign w:val="center"/>
                </w:tcPr>
                <w:p w14:paraId="0ED1B425">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14.4</w:t>
                  </w:r>
                </w:p>
              </w:tc>
              <w:tc>
                <w:tcPr>
                  <w:tcW w:w="717" w:type="pct"/>
                  <w:vAlign w:val="center"/>
                </w:tcPr>
                <w:p w14:paraId="108E2685">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w:t>
                  </w:r>
                </w:p>
              </w:tc>
              <w:tc>
                <w:tcPr>
                  <w:tcW w:w="495" w:type="pct"/>
                  <w:vAlign w:val="center"/>
                </w:tcPr>
                <w:p w14:paraId="3B3C79C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120</w:t>
                  </w:r>
                </w:p>
              </w:tc>
              <w:tc>
                <w:tcPr>
                  <w:tcW w:w="288" w:type="pct"/>
                  <w:vAlign w:val="center"/>
                </w:tcPr>
                <w:p w14:paraId="046709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459" w:type="pct"/>
                  <w:vAlign w:val="center"/>
                </w:tcPr>
                <w:p w14:paraId="52A5D32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0.048</w:t>
                  </w:r>
                </w:p>
              </w:tc>
              <w:tc>
                <w:tcPr>
                  <w:tcW w:w="416" w:type="pct"/>
                  <w:vAlign w:val="center"/>
                </w:tcPr>
                <w:p w14:paraId="1237D2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1158" w:type="pct"/>
                  <w:vMerge w:val="continue"/>
                  <w:vAlign w:val="center"/>
                </w:tcPr>
                <w:p w14:paraId="7835F8F4">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3E9C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7" w:type="pct"/>
                  <w:vMerge w:val="continue"/>
                  <w:vAlign w:val="center"/>
                </w:tcPr>
                <w:p w14:paraId="3CD3E26D">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525" w:type="pct"/>
                  <w:vAlign w:val="center"/>
                </w:tcPr>
                <w:p w14:paraId="46293489">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第一次清洗</w:t>
                  </w:r>
                </w:p>
              </w:tc>
              <w:tc>
                <w:tcPr>
                  <w:tcW w:w="333" w:type="pct"/>
                  <w:vAlign w:val="center"/>
                </w:tcPr>
                <w:p w14:paraId="723BEF6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w:t>
                  </w:r>
                </w:p>
              </w:tc>
              <w:tc>
                <w:tcPr>
                  <w:tcW w:w="378" w:type="pct"/>
                  <w:vAlign w:val="center"/>
                </w:tcPr>
                <w:p w14:paraId="0A90628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717" w:type="pct"/>
                  <w:vAlign w:val="center"/>
                </w:tcPr>
                <w:p w14:paraId="62C6DD5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0.4</w:t>
                  </w:r>
                </w:p>
              </w:tc>
              <w:tc>
                <w:tcPr>
                  <w:tcW w:w="495" w:type="pct"/>
                  <w:vAlign w:val="center"/>
                </w:tcPr>
                <w:p w14:paraId="3DEC300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120</w:t>
                  </w:r>
                </w:p>
              </w:tc>
              <w:tc>
                <w:tcPr>
                  <w:tcW w:w="288" w:type="pct"/>
                  <w:vAlign w:val="center"/>
                </w:tcPr>
                <w:p w14:paraId="0B6A246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459" w:type="pct"/>
                  <w:vAlign w:val="center"/>
                </w:tcPr>
                <w:p w14:paraId="0DA95CA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0.048</w:t>
                  </w:r>
                </w:p>
              </w:tc>
              <w:tc>
                <w:tcPr>
                  <w:tcW w:w="416" w:type="pct"/>
                  <w:vAlign w:val="center"/>
                </w:tcPr>
                <w:p w14:paraId="0231BCE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1158" w:type="pct"/>
                  <w:vMerge w:val="continue"/>
                  <w:vAlign w:val="center"/>
                </w:tcPr>
                <w:p w14:paraId="25C7DF85">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2AD1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27" w:type="pct"/>
                  <w:vMerge w:val="continue"/>
                  <w:vAlign w:val="center"/>
                </w:tcPr>
                <w:p w14:paraId="71460695">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525" w:type="pct"/>
                  <w:vAlign w:val="center"/>
                </w:tcPr>
                <w:p w14:paraId="352EF90D">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第二次清洗</w:t>
                  </w:r>
                </w:p>
              </w:tc>
              <w:tc>
                <w:tcPr>
                  <w:tcW w:w="333" w:type="pct"/>
                  <w:vAlign w:val="center"/>
                </w:tcPr>
                <w:p w14:paraId="7A9FD96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w:t>
                  </w:r>
                </w:p>
              </w:tc>
              <w:tc>
                <w:tcPr>
                  <w:tcW w:w="378" w:type="pct"/>
                  <w:vAlign w:val="center"/>
                </w:tcPr>
                <w:p w14:paraId="36CB841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717" w:type="pct"/>
                  <w:vAlign w:val="center"/>
                </w:tcPr>
                <w:p w14:paraId="1EDB273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0.4</w:t>
                  </w:r>
                </w:p>
              </w:tc>
              <w:tc>
                <w:tcPr>
                  <w:tcW w:w="495" w:type="pct"/>
                  <w:vAlign w:val="center"/>
                </w:tcPr>
                <w:p w14:paraId="31112FA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120</w:t>
                  </w:r>
                </w:p>
              </w:tc>
              <w:tc>
                <w:tcPr>
                  <w:tcW w:w="288" w:type="pct"/>
                  <w:vAlign w:val="center"/>
                </w:tcPr>
                <w:p w14:paraId="51FA1EE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459" w:type="pct"/>
                  <w:vAlign w:val="center"/>
                </w:tcPr>
                <w:p w14:paraId="060CAFF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0.048</w:t>
                  </w:r>
                </w:p>
              </w:tc>
              <w:tc>
                <w:tcPr>
                  <w:tcW w:w="416" w:type="pct"/>
                  <w:vAlign w:val="center"/>
                </w:tcPr>
                <w:p w14:paraId="646AD9F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14.4</w:t>
                  </w:r>
                </w:p>
              </w:tc>
              <w:tc>
                <w:tcPr>
                  <w:tcW w:w="1158" w:type="pct"/>
                  <w:vMerge w:val="continue"/>
                  <w:vAlign w:val="center"/>
                </w:tcPr>
                <w:p w14:paraId="1A0B9C07">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38F9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27" w:type="pct"/>
                  <w:vMerge w:val="continue"/>
                  <w:vAlign w:val="center"/>
                </w:tcPr>
                <w:p w14:paraId="6A124C8C">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tc>
              <w:tc>
                <w:tcPr>
                  <w:tcW w:w="525" w:type="pct"/>
                  <w:vAlign w:val="center"/>
                </w:tcPr>
                <w:p w14:paraId="397FD9D9">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碱洗塔</w:t>
                  </w:r>
                </w:p>
              </w:tc>
              <w:tc>
                <w:tcPr>
                  <w:tcW w:w="333" w:type="pct"/>
                  <w:vAlign w:val="center"/>
                </w:tcPr>
                <w:p w14:paraId="17BF6A8C">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378" w:type="pct"/>
                  <w:vAlign w:val="center"/>
                </w:tcPr>
                <w:p w14:paraId="3863598A">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717" w:type="pct"/>
                  <w:vAlign w:val="center"/>
                </w:tcPr>
                <w:p w14:paraId="2554F886">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0.32</w:t>
                  </w:r>
                </w:p>
              </w:tc>
              <w:tc>
                <w:tcPr>
                  <w:tcW w:w="495" w:type="pct"/>
                  <w:vAlign w:val="center"/>
                </w:tcPr>
                <w:p w14:paraId="6197D76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96</w:t>
                  </w:r>
                </w:p>
              </w:tc>
              <w:tc>
                <w:tcPr>
                  <w:tcW w:w="288" w:type="pct"/>
                  <w:vAlign w:val="center"/>
                </w:tcPr>
                <w:p w14:paraId="2B12F66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w:t>
                  </w:r>
                </w:p>
              </w:tc>
              <w:tc>
                <w:tcPr>
                  <w:tcW w:w="459" w:type="pct"/>
                  <w:vAlign w:val="center"/>
                </w:tcPr>
                <w:p w14:paraId="1AEC4B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0.04</w:t>
                  </w:r>
                </w:p>
              </w:tc>
              <w:tc>
                <w:tcPr>
                  <w:tcW w:w="416" w:type="pct"/>
                  <w:vAlign w:val="center"/>
                </w:tcPr>
                <w:p w14:paraId="11B769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w:t>
                  </w:r>
                </w:p>
              </w:tc>
              <w:tc>
                <w:tcPr>
                  <w:tcW w:w="1158" w:type="pct"/>
                  <w:vMerge w:val="continue"/>
                  <w:vAlign w:val="center"/>
                </w:tcPr>
                <w:p w14:paraId="0E92DC3A">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7234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pct"/>
                  <w:gridSpan w:val="2"/>
                  <w:vAlign w:val="center"/>
                </w:tcPr>
                <w:p w14:paraId="14CF985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原项目生活用水</w:t>
                  </w:r>
                </w:p>
              </w:tc>
              <w:tc>
                <w:tcPr>
                  <w:tcW w:w="333" w:type="pct"/>
                  <w:vAlign w:val="center"/>
                </w:tcPr>
                <w:p w14:paraId="04F0E0BA">
                  <w:pPr>
                    <w:pStyle w:val="24"/>
                    <w:snapToGrid w:val="0"/>
                    <w:spacing w:after="0"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378" w:type="pct"/>
                  <w:vAlign w:val="center"/>
                </w:tcPr>
                <w:p w14:paraId="7A0DA084">
                  <w:pPr>
                    <w:pStyle w:val="24"/>
                    <w:snapToGrid w:val="0"/>
                    <w:spacing w:after="0"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717" w:type="pct"/>
                  <w:vAlign w:val="center"/>
                </w:tcPr>
                <w:p w14:paraId="5F7D12B2">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2.725（1.5）</w:t>
                  </w:r>
                </w:p>
              </w:tc>
              <w:tc>
                <w:tcPr>
                  <w:tcW w:w="495" w:type="pct"/>
                  <w:vAlign w:val="center"/>
                </w:tcPr>
                <w:p w14:paraId="30A9D399">
                  <w:pPr>
                    <w:keepNext w:val="0"/>
                    <w:keepLines w:val="0"/>
                    <w:suppressLineNumbers w:val="0"/>
                    <w:adjustRightInd w:val="0"/>
                    <w:snapToGrid w:val="0"/>
                    <w:spacing w:before="0"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817.5（450）</w:t>
                  </w:r>
                </w:p>
              </w:tc>
              <w:tc>
                <w:tcPr>
                  <w:tcW w:w="288" w:type="pct"/>
                  <w:vAlign w:val="center"/>
                </w:tcPr>
                <w:p w14:paraId="3921A790">
                  <w:pPr>
                    <w:pStyle w:val="24"/>
                    <w:snapToGrid w:val="0"/>
                    <w:spacing w:after="0"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459" w:type="pct"/>
                  <w:vAlign w:val="center"/>
                </w:tcPr>
                <w:p w14:paraId="32B3CEFB">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2.18</w:t>
                  </w:r>
                </w:p>
              </w:tc>
              <w:tc>
                <w:tcPr>
                  <w:tcW w:w="416" w:type="pct"/>
                  <w:vAlign w:val="center"/>
                </w:tcPr>
                <w:p w14:paraId="62145D6A">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654</w:t>
                  </w:r>
                </w:p>
              </w:tc>
              <w:tc>
                <w:tcPr>
                  <w:tcW w:w="1158" w:type="pct"/>
                  <w:vAlign w:val="center"/>
                </w:tcPr>
                <w:p w14:paraId="4E35FF72">
                  <w:pPr>
                    <w:keepNext w:val="0"/>
                    <w:keepLines w:val="0"/>
                    <w:suppressLineNumbers w:val="0"/>
                    <w:adjustRightInd w:val="0"/>
                    <w:snapToGrid w:val="0"/>
                    <w:spacing w:before="0" w:beforeAutospacing="0" w:after="0" w:afterAutospacing="0"/>
                    <w:ind w:left="0" w:leftChars="0" w:right="0" w:rightChars="0"/>
                    <w:jc w:val="center"/>
                    <w:rPr>
                      <w:rFonts w:ascii="宋体" w:hAnsi="宋体" w:eastAsia="宋体" w:cs="宋体"/>
                      <w:color w:val="auto"/>
                      <w:spacing w:val="8"/>
                      <w:sz w:val="21"/>
                      <w:szCs w:val="21"/>
                      <w:highlight w:val="none"/>
                    </w:rPr>
                  </w:pPr>
                  <w:r>
                    <w:rPr>
                      <w:rFonts w:hint="eastAsia" w:cs="Times New Roman"/>
                      <w:color w:val="auto"/>
                      <w:kern w:val="0"/>
                      <w:sz w:val="21"/>
                      <w:szCs w:val="21"/>
                      <w:highlight w:val="none"/>
                      <w:lang w:val="en-US" w:eastAsia="zh-CN"/>
                    </w:rPr>
                    <w:t>食堂废水经隔油池处理后与其他生活污水一并进入化粪池、生活污水处理设施处理后回用于冲厕、绿化及道路广场浇洒。</w:t>
                  </w:r>
                </w:p>
              </w:tc>
            </w:tr>
            <w:tr w14:paraId="14BF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pct"/>
                  <w:gridSpan w:val="2"/>
                  <w:vAlign w:val="center"/>
                </w:tcPr>
                <w:p w14:paraId="2FBCC7A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原项目生产用水</w:t>
                  </w:r>
                </w:p>
              </w:tc>
              <w:tc>
                <w:tcPr>
                  <w:tcW w:w="333" w:type="pct"/>
                  <w:vAlign w:val="center"/>
                </w:tcPr>
                <w:p w14:paraId="169D9D07">
                  <w:pPr>
                    <w:pStyle w:val="24"/>
                    <w:snapToGrid w:val="0"/>
                    <w:spacing w:after="0"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378" w:type="pct"/>
                  <w:vAlign w:val="center"/>
                </w:tcPr>
                <w:p w14:paraId="26080848">
                  <w:pPr>
                    <w:pStyle w:val="24"/>
                    <w:snapToGrid w:val="0"/>
                    <w:spacing w:after="0"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717" w:type="pct"/>
                  <w:vAlign w:val="center"/>
                </w:tcPr>
                <w:p w14:paraId="0A2EA0E1">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495" w:type="pct"/>
                  <w:vAlign w:val="center"/>
                </w:tcPr>
                <w:p w14:paraId="2AE753FA">
                  <w:pPr>
                    <w:keepNext w:val="0"/>
                    <w:keepLines w:val="0"/>
                    <w:suppressLineNumbers w:val="0"/>
                    <w:adjustRightInd w:val="0"/>
                    <w:snapToGrid w:val="0"/>
                    <w:spacing w:before="0"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360</w:t>
                  </w:r>
                </w:p>
              </w:tc>
              <w:tc>
                <w:tcPr>
                  <w:tcW w:w="288" w:type="pct"/>
                  <w:vAlign w:val="center"/>
                </w:tcPr>
                <w:p w14:paraId="7C9406D3">
                  <w:pPr>
                    <w:pStyle w:val="24"/>
                    <w:snapToGrid w:val="0"/>
                    <w:spacing w:after="0"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459" w:type="pct"/>
                  <w:vAlign w:val="center"/>
                </w:tcPr>
                <w:p w14:paraId="1964B8A5">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416" w:type="pct"/>
                  <w:vAlign w:val="center"/>
                </w:tcPr>
                <w:p w14:paraId="0246013B">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1158" w:type="pct"/>
                  <w:vAlign w:val="center"/>
                </w:tcPr>
                <w:p w14:paraId="3FD8DF5D">
                  <w:pPr>
                    <w:keepNext w:val="0"/>
                    <w:keepLines w:val="0"/>
                    <w:suppressLineNumbers w:val="0"/>
                    <w:adjustRightInd w:val="0"/>
                    <w:snapToGrid w:val="0"/>
                    <w:spacing w:before="0" w:beforeAutospacing="0" w:after="0" w:afterAutospacing="0"/>
                    <w:ind w:left="0" w:leftChars="0" w:right="0" w:rightChars="0"/>
                    <w:jc w:val="center"/>
                    <w:rPr>
                      <w:rFonts w:ascii="宋体" w:hAnsi="宋体" w:eastAsia="宋体" w:cs="宋体"/>
                      <w:color w:val="auto"/>
                      <w:spacing w:val="8"/>
                      <w:sz w:val="21"/>
                      <w:szCs w:val="21"/>
                      <w:highlight w:val="none"/>
                    </w:rPr>
                  </w:pPr>
                  <w:r>
                    <w:rPr>
                      <w:rFonts w:hint="eastAsia" w:cs="Times New Roman"/>
                      <w:color w:val="auto"/>
                      <w:kern w:val="0"/>
                      <w:sz w:val="21"/>
                      <w:szCs w:val="21"/>
                      <w:highlight w:val="none"/>
                      <w:lang w:val="en-US" w:eastAsia="zh-CN"/>
                    </w:rPr>
                    <w:t>循环使用，不外排。</w:t>
                  </w:r>
                </w:p>
              </w:tc>
            </w:tr>
            <w:tr w14:paraId="5ADB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pct"/>
                  <w:gridSpan w:val="2"/>
                  <w:vAlign w:val="center"/>
                </w:tcPr>
                <w:p w14:paraId="53B3089A">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道路广场浇洒</w:t>
                  </w:r>
                </w:p>
              </w:tc>
              <w:tc>
                <w:tcPr>
                  <w:tcW w:w="333" w:type="pct"/>
                  <w:vAlign w:val="center"/>
                </w:tcPr>
                <w:p w14:paraId="3434F588">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378" w:type="pct"/>
                  <w:vAlign w:val="center"/>
                </w:tcPr>
                <w:p w14:paraId="3CF7F311">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717" w:type="pct"/>
                  <w:vAlign w:val="center"/>
                </w:tcPr>
                <w:p w14:paraId="39D653DC">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非雨天：4.884</w:t>
                  </w:r>
                </w:p>
                <w:p w14:paraId="20663247">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雨天：0</w:t>
                  </w:r>
                </w:p>
              </w:tc>
              <w:tc>
                <w:tcPr>
                  <w:tcW w:w="495" w:type="pct"/>
                  <w:vAlign w:val="center"/>
                </w:tcPr>
                <w:p w14:paraId="36C98701">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olor w:val="auto"/>
                      <w:highlight w:val="none"/>
                      <w:lang w:val="en-US" w:eastAsia="zh-CN"/>
                    </w:rPr>
                    <w:t>1294.26</w:t>
                  </w:r>
                </w:p>
              </w:tc>
              <w:tc>
                <w:tcPr>
                  <w:tcW w:w="288" w:type="pct"/>
                  <w:vAlign w:val="center"/>
                </w:tcPr>
                <w:p w14:paraId="276E360D">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default" w:ascii="Times New Roman" w:hAnsi="Times New Roman" w:cs="Times New Roman"/>
                      <w:bCs/>
                      <w:color w:val="auto"/>
                      <w:sz w:val="21"/>
                      <w:szCs w:val="21"/>
                      <w:highlight w:val="none"/>
                    </w:rPr>
                    <w:t>/</w:t>
                  </w:r>
                </w:p>
              </w:tc>
              <w:tc>
                <w:tcPr>
                  <w:tcW w:w="459" w:type="pct"/>
                  <w:vAlign w:val="center"/>
                </w:tcPr>
                <w:p w14:paraId="4C13DFB5">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416" w:type="pct"/>
                  <w:vAlign w:val="center"/>
                </w:tcPr>
                <w:p w14:paraId="797D87C9">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1158" w:type="pct"/>
                  <w:vMerge w:val="restart"/>
                  <w:vAlign w:val="center"/>
                </w:tcPr>
                <w:p w14:paraId="261967E0">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ascii="宋体" w:hAnsi="宋体" w:eastAsia="宋体" w:cs="宋体"/>
                      <w:color w:val="auto"/>
                      <w:spacing w:val="8"/>
                      <w:sz w:val="21"/>
                      <w:szCs w:val="21"/>
                      <w:highlight w:val="none"/>
                    </w:rPr>
                    <w:t>蒸</w:t>
                  </w:r>
                  <w:r>
                    <w:rPr>
                      <w:rFonts w:ascii="宋体" w:hAnsi="宋体" w:eastAsia="宋体" w:cs="宋体"/>
                      <w:color w:val="auto"/>
                      <w:spacing w:val="7"/>
                      <w:sz w:val="21"/>
                      <w:szCs w:val="21"/>
                      <w:highlight w:val="none"/>
                    </w:rPr>
                    <w:t>发</w:t>
                  </w:r>
                  <w:r>
                    <w:rPr>
                      <w:rFonts w:ascii="宋体" w:hAnsi="宋体" w:eastAsia="宋体" w:cs="宋体"/>
                      <w:color w:val="auto"/>
                      <w:spacing w:val="9"/>
                      <w:sz w:val="21"/>
                      <w:szCs w:val="21"/>
                      <w:highlight w:val="none"/>
                    </w:rPr>
                    <w:t>、</w:t>
                  </w:r>
                  <w:r>
                    <w:rPr>
                      <w:rFonts w:ascii="宋体" w:hAnsi="宋体" w:eastAsia="宋体" w:cs="宋体"/>
                      <w:color w:val="auto"/>
                      <w:spacing w:val="7"/>
                      <w:sz w:val="21"/>
                      <w:szCs w:val="21"/>
                      <w:highlight w:val="none"/>
                    </w:rPr>
                    <w:t>渗透</w:t>
                  </w:r>
                </w:p>
              </w:tc>
            </w:tr>
            <w:tr w14:paraId="7346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2" w:type="pct"/>
                  <w:gridSpan w:val="2"/>
                  <w:vAlign w:val="center"/>
                </w:tcPr>
                <w:p w14:paraId="673F848B">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绿化</w:t>
                  </w:r>
                </w:p>
              </w:tc>
              <w:tc>
                <w:tcPr>
                  <w:tcW w:w="333" w:type="pct"/>
                  <w:vAlign w:val="center"/>
                </w:tcPr>
                <w:p w14:paraId="41AC5C78">
                  <w:pPr>
                    <w:pStyle w:val="15"/>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378" w:type="pct"/>
                  <w:vAlign w:val="center"/>
                </w:tcPr>
                <w:p w14:paraId="0FFCF2AD">
                  <w:pPr>
                    <w:pStyle w:val="15"/>
                    <w:jc w:val="center"/>
                    <w:rPr>
                      <w:rFonts w:hint="eastAsia"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717" w:type="pct"/>
                  <w:vAlign w:val="center"/>
                </w:tcPr>
                <w:p w14:paraId="56FBB175">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非雨天：0.528</w:t>
                  </w:r>
                </w:p>
                <w:p w14:paraId="7929A2BC">
                  <w:pPr>
                    <w:pStyle w:val="15"/>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雨天：</w:t>
                  </w:r>
                  <w:r>
                    <w:rPr>
                      <w:rFonts w:hint="default" w:ascii="Times New Roman" w:hAnsi="Times New Roman" w:cs="Times New Roman"/>
                      <w:color w:val="auto"/>
                      <w:kern w:val="0"/>
                      <w:sz w:val="21"/>
                      <w:szCs w:val="21"/>
                      <w:highlight w:val="none"/>
                      <w:lang w:val="en-US" w:eastAsia="zh-CN"/>
                    </w:rPr>
                    <w:t>0</w:t>
                  </w:r>
                </w:p>
              </w:tc>
              <w:tc>
                <w:tcPr>
                  <w:tcW w:w="495" w:type="pct"/>
                  <w:vAlign w:val="center"/>
                </w:tcPr>
                <w:p w14:paraId="2DC65321">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eastAsia" w:cs="Times New Roman"/>
                      <w:color w:val="auto"/>
                      <w:kern w:val="0"/>
                      <w:sz w:val="21"/>
                      <w:szCs w:val="21"/>
                      <w:highlight w:val="none"/>
                      <w:lang w:val="en-US" w:eastAsia="zh-CN"/>
                    </w:rPr>
                    <w:t>2111.76</w:t>
                  </w:r>
                </w:p>
              </w:tc>
              <w:tc>
                <w:tcPr>
                  <w:tcW w:w="288" w:type="pct"/>
                  <w:vAlign w:val="center"/>
                </w:tcPr>
                <w:p w14:paraId="1DF756F0">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459" w:type="pct"/>
                  <w:vAlign w:val="center"/>
                </w:tcPr>
                <w:p w14:paraId="5B533E63">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416" w:type="pct"/>
                  <w:vAlign w:val="center"/>
                </w:tcPr>
                <w:p w14:paraId="2680AAD5">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1158" w:type="pct"/>
                  <w:vMerge w:val="continue"/>
                  <w:vAlign w:val="center"/>
                </w:tcPr>
                <w:p w14:paraId="1269A069">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p>
              </w:tc>
            </w:tr>
            <w:tr w14:paraId="24F2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pct"/>
                  <w:gridSpan w:val="2"/>
                  <w:vAlign w:val="center"/>
                </w:tcPr>
                <w:p w14:paraId="0B948E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合计</w:t>
                  </w:r>
                </w:p>
              </w:tc>
              <w:tc>
                <w:tcPr>
                  <w:tcW w:w="333" w:type="pct"/>
                  <w:vAlign w:val="center"/>
                </w:tcPr>
                <w:p w14:paraId="241AA0EF">
                  <w:pPr>
                    <w:pStyle w:val="15"/>
                    <w:jc w:val="center"/>
                    <w:rPr>
                      <w:rFonts w:hint="eastAsia" w:ascii="宋体" w:hAnsi="Courier New"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378" w:type="pct"/>
                  <w:vAlign w:val="center"/>
                </w:tcPr>
                <w:p w14:paraId="33F236F7">
                  <w:pPr>
                    <w:pStyle w:val="15"/>
                    <w:jc w:val="center"/>
                    <w:rPr>
                      <w:rFonts w:hint="eastAsia" w:ascii="宋体" w:hAnsi="Courier New"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rPr>
                    <w:t>/</w:t>
                  </w:r>
                </w:p>
              </w:tc>
              <w:tc>
                <w:tcPr>
                  <w:tcW w:w="717" w:type="pct"/>
                  <w:vAlign w:val="center"/>
                </w:tcPr>
                <w:p w14:paraId="33F078EE">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非雨天：13.072</w:t>
                  </w:r>
                </w:p>
                <w:p w14:paraId="30A069D5">
                  <w:pPr>
                    <w:keepNext w:val="0"/>
                    <w:keepLines w:val="0"/>
                    <w:suppressLineNumbers w:val="0"/>
                    <w:adjustRightInd w:val="0"/>
                    <w:snapToGrid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（6.435）</w:t>
                  </w:r>
                </w:p>
                <w:p w14:paraId="59DC0DBA">
                  <w:pPr>
                    <w:pStyle w:val="15"/>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雨天：</w:t>
                  </w:r>
                  <w:r>
                    <w:rPr>
                      <w:rFonts w:hint="default" w:ascii="Times New Roman" w:hAnsi="Times New Roman" w:cs="Times New Roman"/>
                      <w:color w:val="auto"/>
                      <w:kern w:val="0"/>
                      <w:sz w:val="21"/>
                      <w:szCs w:val="21"/>
                      <w:highlight w:val="none"/>
                      <w:lang w:val="en-US" w:eastAsia="zh-CN"/>
                    </w:rPr>
                    <w:t>7.66</w:t>
                  </w:r>
                </w:p>
                <w:p w14:paraId="14C3FBE7">
                  <w:pPr>
                    <w:pStyle w:val="15"/>
                    <w:rPr>
                      <w:rFonts w:hint="default"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（6.435）</w:t>
                  </w:r>
                </w:p>
              </w:tc>
              <w:tc>
                <w:tcPr>
                  <w:tcW w:w="495" w:type="pct"/>
                  <w:vAlign w:val="center"/>
                </w:tcPr>
                <w:p w14:paraId="60B5FADC">
                  <w:pPr>
                    <w:keepNext w:val="0"/>
                    <w:keepLines w:val="0"/>
                    <w:suppressLineNumbers w:val="0"/>
                    <w:adjustRightInd w:val="0"/>
                    <w:snapToGrid w:val="0"/>
                    <w:spacing w:before="0" w:beforeAutospacing="0" w:after="0" w:afterAutospacing="0"/>
                    <w:ind w:left="0" w:leftChars="0" w:right="0" w:rightChars="0"/>
                    <w:jc w:val="center"/>
                    <w:rPr>
                      <w:rFonts w:hint="default"/>
                      <w:color w:val="auto"/>
                      <w:highlight w:val="none"/>
                      <w:lang w:val="en-US" w:eastAsia="zh-CN"/>
                    </w:rPr>
                  </w:pPr>
                  <w:r>
                    <w:rPr>
                      <w:rFonts w:hint="eastAsia" w:cs="Times New Roman"/>
                      <w:color w:val="auto"/>
                      <w:kern w:val="0"/>
                      <w:sz w:val="21"/>
                      <w:szCs w:val="21"/>
                      <w:highlight w:val="none"/>
                      <w:lang w:val="en-US" w:eastAsia="zh-CN"/>
                    </w:rPr>
                    <w:t>5704.02（1930.5）</w:t>
                  </w:r>
                </w:p>
              </w:tc>
              <w:tc>
                <w:tcPr>
                  <w:tcW w:w="288" w:type="pct"/>
                  <w:vAlign w:val="center"/>
                </w:tcPr>
                <w:p w14:paraId="49DDE2FB">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w:t>
                  </w:r>
                </w:p>
              </w:tc>
              <w:tc>
                <w:tcPr>
                  <w:tcW w:w="459" w:type="pct"/>
                  <w:vAlign w:val="center"/>
                </w:tcPr>
                <w:p w14:paraId="726325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3.612</w:t>
                  </w:r>
                </w:p>
              </w:tc>
              <w:tc>
                <w:tcPr>
                  <w:tcW w:w="416" w:type="pct"/>
                  <w:vAlign w:val="center"/>
                </w:tcPr>
                <w:p w14:paraId="574C652B">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1083.6</w:t>
                  </w:r>
                </w:p>
              </w:tc>
              <w:tc>
                <w:tcPr>
                  <w:tcW w:w="1158" w:type="pct"/>
                  <w:vAlign w:val="center"/>
                </w:tcPr>
                <w:p w14:paraId="25E21B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5679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10"/>
                  <w:vAlign w:val="center"/>
                </w:tcPr>
                <w:p w14:paraId="383AE4A1">
                  <w:pPr>
                    <w:keepNext w:val="0"/>
                    <w:keepLines w:val="0"/>
                    <w:suppressLineNumbers w:val="0"/>
                    <w:adjustRightInd w:val="0"/>
                    <w:snapToGrid w:val="0"/>
                    <w:spacing w:before="0" w:beforeAutospacing="0" w:after="0" w:afterAutospacing="0"/>
                    <w:ind w:left="0" w:right="0"/>
                    <w:jc w:val="center"/>
                    <w:rPr>
                      <w:rFonts w:hint="eastAsia" w:cs="Times New Roman"/>
                      <w:color w:val="auto"/>
                      <w:kern w:val="0"/>
                      <w:sz w:val="21"/>
                      <w:szCs w:val="21"/>
                      <w:highlight w:val="none"/>
                      <w:lang w:val="en-US" w:eastAsia="zh-CN"/>
                    </w:rPr>
                  </w:pPr>
                  <w:r>
                    <w:rPr>
                      <w:rFonts w:hint="eastAsia"/>
                      <w:color w:val="auto"/>
                      <w:kern w:val="0"/>
                      <w:szCs w:val="21"/>
                      <w:highlight w:val="none"/>
                    </w:rPr>
                    <w:t>注：（）内为新鲜水用量</w:t>
                  </w:r>
                </w:p>
              </w:tc>
            </w:tr>
          </w:tbl>
          <w:p w14:paraId="6D9A69B4">
            <w:pPr>
              <w:pStyle w:val="4"/>
              <w:jc w:val="both"/>
              <w:rPr>
                <w:rFonts w:hint="default" w:ascii="Times New Roman" w:hAnsi="Times New Roman" w:eastAsia="宋体" w:cs="Times New Roman"/>
                <w:b/>
                <w:bCs/>
                <w:color w:val="auto"/>
                <w:sz w:val="21"/>
                <w:szCs w:val="21"/>
                <w:highlight w:val="none"/>
                <w:lang w:val="en-US" w:eastAsia="zh-CN"/>
              </w:rPr>
            </w:pPr>
          </w:p>
          <w:p w14:paraId="3F063A07">
            <w:pPr>
              <w:pStyle w:val="4"/>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object>
                <v:shape id="_x0000_i1027" o:spt="75" type="#_x0000_t75" style="height:601.5pt;width:345.2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14:paraId="0F2CD2AA">
            <w:pPr>
              <w:pStyle w:val="4"/>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扩建完成全厂</w:t>
            </w:r>
            <w:r>
              <w:rPr>
                <w:rFonts w:hint="eastAsia" w:ascii="Times New Roman" w:hAnsi="Times New Roman" w:cs="Times New Roman"/>
                <w:b/>
                <w:bCs/>
                <w:color w:val="auto"/>
                <w:sz w:val="21"/>
                <w:szCs w:val="21"/>
                <w:highlight w:val="none"/>
                <w:lang w:val="en-US" w:eastAsia="zh-CN"/>
              </w:rPr>
              <w:t>水平衡图 m</w:t>
            </w:r>
            <w:r>
              <w:rPr>
                <w:rFonts w:hint="eastAsia" w:ascii="Times New Roman" w:hAnsi="Times New Roman" w:cs="Times New Roman"/>
                <w:b/>
                <w:bCs/>
                <w:color w:val="auto"/>
                <w:sz w:val="21"/>
                <w:szCs w:val="21"/>
                <w:highlight w:val="none"/>
                <w:vertAlign w:val="superscript"/>
                <w:lang w:val="en-US" w:eastAsia="zh-CN"/>
              </w:rPr>
              <w:t>3</w:t>
            </w:r>
            <w:r>
              <w:rPr>
                <w:rFonts w:hint="eastAsia" w:ascii="Times New Roman" w:hAnsi="Times New Roman" w:cs="Times New Roman"/>
                <w:b/>
                <w:bCs/>
                <w:color w:val="auto"/>
                <w:sz w:val="21"/>
                <w:szCs w:val="21"/>
                <w:highlight w:val="none"/>
                <w:lang w:val="en-US" w:eastAsia="zh-CN"/>
              </w:rPr>
              <w:t>/d</w:t>
            </w:r>
          </w:p>
          <w:p w14:paraId="7647DF88">
            <w:pPr>
              <w:pStyle w:val="15"/>
              <w:numPr>
                <w:ilvl w:val="0"/>
                <w:numId w:val="0"/>
              </w:numPr>
              <w:jc w:val="center"/>
              <w:rPr>
                <w:rFonts w:hint="default" w:ascii="Times New Roman" w:hAnsi="Times New Roman" w:eastAsia="宋体" w:cs="Times New Roman"/>
                <w:b/>
                <w:bCs/>
                <w:color w:val="auto"/>
                <w:sz w:val="21"/>
                <w:szCs w:val="21"/>
                <w:highlight w:val="none"/>
                <w:lang w:val="en-US" w:eastAsia="zh-CN"/>
              </w:rPr>
            </w:pPr>
          </w:p>
          <w:p w14:paraId="597FD9A1">
            <w:pPr>
              <w:pStyle w:val="15"/>
              <w:numPr>
                <w:ilvl w:val="0"/>
                <w:numId w:val="0"/>
              </w:num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object>
                <v:shape id="_x0000_i1028" o:spt="75" type="#_x0000_t75" style="height:629.4pt;width:349.8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14:paraId="2E6EBBF2">
            <w:pPr>
              <w:pStyle w:val="15"/>
              <w:numPr>
                <w:ilvl w:val="0"/>
                <w:numId w:val="0"/>
              </w:numPr>
              <w:jc w:val="center"/>
              <w:rPr>
                <w:rFonts w:hint="default" w:ascii="Times New Roman" w:hAnsi="Times New Roman" w:eastAsia="宋体" w:cs="Times New Roman"/>
                <w:b/>
                <w:bCs/>
                <w:color w:val="auto"/>
                <w:sz w:val="21"/>
                <w:szCs w:val="21"/>
                <w:highlight w:val="none"/>
                <w:lang w:val="en-US" w:eastAsia="zh-CN"/>
              </w:rPr>
            </w:pPr>
          </w:p>
          <w:p w14:paraId="157A2DAC">
            <w:pPr>
              <w:pStyle w:val="15"/>
              <w:numPr>
                <w:ilvl w:val="0"/>
                <w:numId w:val="0"/>
              </w:num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1"/>
                <w:szCs w:val="21"/>
                <w:highlight w:val="none"/>
                <w:lang w:val="en-US" w:eastAsia="zh-CN"/>
              </w:rPr>
              <w:t>图2-</w:t>
            </w:r>
            <w:r>
              <w:rPr>
                <w:rFonts w:hint="eastAsia" w:ascii="Times New Roman" w:hAnsi="Times New Roman" w:cs="Times New Roman"/>
                <w:b/>
                <w:bCs/>
                <w:color w:val="auto"/>
                <w:sz w:val="21"/>
                <w:szCs w:val="21"/>
                <w:highlight w:val="none"/>
                <w:lang w:val="en-US" w:eastAsia="zh-CN"/>
              </w:rPr>
              <w:t xml:space="preserve">4  </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扩建完成后全厂水平衡图 m</w:t>
            </w:r>
            <w:r>
              <w:rPr>
                <w:rFonts w:hint="eastAsia" w:ascii="Times New Roman" w:hAnsi="Times New Roman" w:cs="Times New Roman"/>
                <w:b/>
                <w:bCs/>
                <w:color w:val="auto"/>
                <w:sz w:val="21"/>
                <w:szCs w:val="21"/>
                <w:highlight w:val="none"/>
                <w:vertAlign w:val="superscript"/>
                <w:lang w:val="en-US" w:eastAsia="zh-CN"/>
              </w:rPr>
              <w:t>3</w:t>
            </w:r>
            <w:r>
              <w:rPr>
                <w:rFonts w:hint="eastAsia" w:ascii="Times New Roman" w:hAnsi="Times New Roman" w:cs="Times New Roman"/>
                <w:b/>
                <w:bCs/>
                <w:color w:val="auto"/>
                <w:sz w:val="21"/>
                <w:szCs w:val="21"/>
                <w:highlight w:val="none"/>
                <w:lang w:val="en-US" w:eastAsia="zh-CN"/>
              </w:rPr>
              <w:t>/a</w:t>
            </w:r>
          </w:p>
        </w:tc>
      </w:tr>
      <w:tr w14:paraId="10201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2" w:hRule="atLeast"/>
          <w:jc w:val="center"/>
        </w:trPr>
        <w:tc>
          <w:tcPr>
            <w:tcW w:w="520" w:type="dxa"/>
            <w:vAlign w:val="center"/>
          </w:tcPr>
          <w:p w14:paraId="22A55404">
            <w:pPr>
              <w:pStyle w:val="22"/>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540" w:type="dxa"/>
            <w:vAlign w:val="top"/>
          </w:tcPr>
          <w:p w14:paraId="7FC66C1F">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bookmarkStart w:id="22" w:name="_Toc16932"/>
            <w:r>
              <w:rPr>
                <w:rFonts w:hint="eastAsia" w:ascii="Times New Roman" w:hAnsi="Times New Roman" w:cs="Times New Roman"/>
                <w:color w:val="auto"/>
                <w:sz w:val="24"/>
                <w:szCs w:val="24"/>
                <w:highlight w:val="none"/>
                <w:lang w:val="en-US" w:eastAsia="zh-CN"/>
              </w:rPr>
              <w:t>一、施工期工艺流程</w:t>
            </w:r>
          </w:p>
          <w:p w14:paraId="280E5AAA">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1、工艺流程简述</w:t>
            </w:r>
          </w:p>
          <w:p w14:paraId="5F39F343">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本项目不新增占地，依托原项目已建厂房，经生产设备安装、环保工程建设完成后进行使用。</w:t>
            </w:r>
          </w:p>
          <w:p w14:paraId="7AD32408">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项目施工期施工人员为10人，聘用当地居民进行施工，项目区不设施工营地，施工人员不在项目区食宿，</w:t>
            </w:r>
            <w:r>
              <w:rPr>
                <w:rFonts w:ascii="宋体" w:hAnsi="宋体" w:eastAsia="宋体" w:cs="宋体"/>
                <w:color w:val="auto"/>
                <w:spacing w:val="-4"/>
                <w:sz w:val="24"/>
                <w:szCs w:val="24"/>
                <w:highlight w:val="none"/>
              </w:rPr>
              <w:t xml:space="preserve">施工期约为 </w:t>
            </w:r>
            <w:r>
              <w:rPr>
                <w:rFonts w:ascii="Times New Roman" w:hAnsi="Times New Roman" w:eastAsia="Times New Roman" w:cs="Times New Roman"/>
                <w:color w:val="auto"/>
                <w:spacing w:val="-4"/>
                <w:sz w:val="24"/>
                <w:szCs w:val="24"/>
                <w:highlight w:val="none"/>
              </w:rPr>
              <w:t xml:space="preserve">1 </w:t>
            </w:r>
            <w:r>
              <w:rPr>
                <w:rFonts w:ascii="宋体" w:hAnsi="宋体" w:eastAsia="宋体" w:cs="宋体"/>
                <w:color w:val="auto"/>
                <w:spacing w:val="-4"/>
                <w:sz w:val="24"/>
                <w:szCs w:val="24"/>
                <w:highlight w:val="none"/>
              </w:rPr>
              <w:t>个月</w:t>
            </w:r>
            <w:r>
              <w:rPr>
                <w:rFonts w:hint="eastAsia" w:ascii="Times New Roman" w:hAnsi="Times New Roman" w:cs="Times New Roman"/>
                <w:color w:val="auto"/>
                <w:sz w:val="24"/>
                <w:szCs w:val="24"/>
                <w:highlight w:val="none"/>
                <w:lang w:val="en-US" w:eastAsia="zh-CN"/>
              </w:rPr>
              <w:t>。</w:t>
            </w:r>
          </w:p>
          <w:p w14:paraId="5A974E72">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项目施工期工艺流程见图 2-5。</w:t>
            </w:r>
          </w:p>
          <w:p w14:paraId="2B7CF258">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0" distR="0">
                  <wp:extent cx="5224145" cy="140652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6"/>
                          <a:stretch>
                            <a:fillRect/>
                          </a:stretch>
                        </pic:blipFill>
                        <pic:spPr>
                          <a:xfrm>
                            <a:off x="0" y="0"/>
                            <a:ext cx="5224271" cy="1406525"/>
                          </a:xfrm>
                          <a:prstGeom prst="rect">
                            <a:avLst/>
                          </a:prstGeom>
                        </pic:spPr>
                      </pic:pic>
                    </a:graphicData>
                  </a:graphic>
                </wp:inline>
              </w:drawing>
            </w:r>
          </w:p>
          <w:p w14:paraId="27C9C22B">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图 2-5  施工期工艺流程图</w:t>
            </w:r>
          </w:p>
          <w:p w14:paraId="23FDC4D2">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施工期产污环节简介</w:t>
            </w:r>
          </w:p>
          <w:p w14:paraId="604D9743">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项目施工期主要在现有厂房内进行设备的安装及环保工程建设，主要产生的 污染物为施工废水、扬尘、固废、噪声等。</w:t>
            </w:r>
          </w:p>
          <w:p w14:paraId="7BCBFFE8">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二、运营期工艺流程</w:t>
            </w:r>
          </w:p>
          <w:p w14:paraId="0B7827A4">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1、运营期工艺流程</w:t>
            </w:r>
          </w:p>
          <w:p w14:paraId="036C49D0">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项目主要进行玉砂玻璃、防火玻璃、钢化玻璃的生产，项目生产工艺流程及产污节点见图2-6~2-8。</w:t>
            </w:r>
          </w:p>
          <w:p w14:paraId="6A6925EC">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（1）玉砂玻璃生产工艺流程及产污节点图</w:t>
            </w:r>
          </w:p>
          <w:p w14:paraId="7A76E891">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object>
                <v:shape id="_x0000_i1029" o:spt="75" type="#_x0000_t75" style="height:421.35pt;width:390.65pt;" o:ole="t" filled="f" o:preferrelative="t" stroked="f" coordsize="21600,21600">
                  <v:path/>
                  <v:fill on="f" focussize="0,0"/>
                  <v:stroke on="f"/>
                  <v:imagedata r:id="rId18" o:title=""/>
                  <o:lock v:ext="edit" aspectratio="f"/>
                  <w10:wrap type="none"/>
                  <w10:anchorlock/>
                </v:shape>
                <o:OLEObject Type="Embed" ProgID="Visio.Drawing.15" ShapeID="_x0000_i1029" DrawAspect="Content" ObjectID="_1468075729" r:id="rId17">
                  <o:LockedField>false</o:LockedField>
                </o:OLEObject>
              </w:object>
            </w:r>
          </w:p>
          <w:p w14:paraId="2724BEEB">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图2-6  玉砂玻璃生产工艺流程及产污节点图</w:t>
            </w:r>
          </w:p>
          <w:p w14:paraId="7FAEE90F">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工艺流程描述：</w:t>
            </w:r>
          </w:p>
          <w:p w14:paraId="732E3E8E">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本项目</w:t>
            </w:r>
            <w:r>
              <w:rPr>
                <w:rFonts w:hint="eastAsia" w:ascii="Times New Roman" w:hAnsi="Times New Roman" w:cs="Times New Roman"/>
                <w:color w:val="auto"/>
                <w:sz w:val="24"/>
                <w:szCs w:val="24"/>
                <w:highlight w:val="none"/>
                <w:lang w:val="en-US" w:eastAsia="zh-CN"/>
              </w:rPr>
              <w:t>玉砂玻璃</w:t>
            </w:r>
            <w:r>
              <w:rPr>
                <w:rFonts w:hint="default" w:ascii="Times New Roman" w:hAnsi="Times New Roman" w:cs="Times New Roman"/>
                <w:color w:val="auto"/>
                <w:sz w:val="24"/>
                <w:szCs w:val="24"/>
                <w:highlight w:val="none"/>
                <w:lang w:val="zh-CN" w:eastAsia="zh-CN"/>
              </w:rPr>
              <w:t>生产工艺包括</w:t>
            </w:r>
            <w:r>
              <w:rPr>
                <w:rFonts w:hint="eastAsia" w:ascii="Times New Roman" w:hAnsi="Times New Roman" w:cs="Times New Roman"/>
                <w:color w:val="auto"/>
                <w:sz w:val="24"/>
                <w:szCs w:val="24"/>
                <w:highlight w:val="none"/>
                <w:lang w:val="zh-CN" w:eastAsia="zh-CN"/>
              </w:rPr>
              <w:t>机械上片、弱酸清洗、预水洗、蒙砂、二次清洗、烘干、灯检、包装</w:t>
            </w:r>
            <w:r>
              <w:rPr>
                <w:rFonts w:hint="default" w:ascii="Times New Roman" w:hAnsi="Times New Roman" w:cs="Times New Roman"/>
                <w:color w:val="auto"/>
                <w:sz w:val="24"/>
                <w:szCs w:val="24"/>
                <w:highlight w:val="none"/>
                <w:lang w:val="zh-CN" w:eastAsia="zh-CN"/>
              </w:rPr>
              <w:t>。</w:t>
            </w:r>
          </w:p>
          <w:p w14:paraId="6ECC1693">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zh-CN" w:eastAsia="zh-CN"/>
              </w:rPr>
              <w:t>玻璃上片</w:t>
            </w:r>
          </w:p>
          <w:p w14:paraId="4AC0F841">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外购玻璃原片</w:t>
            </w:r>
            <w:r>
              <w:rPr>
                <w:rFonts w:hint="eastAsia" w:ascii="Times New Roman" w:hAnsi="Times New Roman" w:cs="Times New Roman"/>
                <w:color w:val="auto"/>
                <w:sz w:val="24"/>
                <w:szCs w:val="24"/>
                <w:highlight w:val="none"/>
                <w:lang w:val="zh-CN" w:eastAsia="zh-CN"/>
              </w:rPr>
              <w:t>（平板玻璃）</w:t>
            </w:r>
            <w:r>
              <w:rPr>
                <w:rFonts w:hint="default" w:ascii="Times New Roman" w:hAnsi="Times New Roman" w:cs="Times New Roman"/>
                <w:color w:val="auto"/>
                <w:sz w:val="24"/>
                <w:szCs w:val="24"/>
                <w:highlight w:val="none"/>
                <w:lang w:val="zh-CN" w:eastAsia="zh-CN"/>
              </w:rPr>
              <w:t>，先经人工操作，将玻璃原片放于上片机上，后上片机自动上片进入蒙砂生产线。</w:t>
            </w:r>
            <w:r>
              <w:rPr>
                <w:rFonts w:hint="eastAsia" w:ascii="Times New Roman" w:hAnsi="Times New Roman" w:cs="Times New Roman"/>
                <w:color w:val="auto"/>
                <w:sz w:val="24"/>
                <w:szCs w:val="24"/>
                <w:highlight w:val="none"/>
                <w:lang w:val="zh-CN" w:eastAsia="zh-CN"/>
              </w:rPr>
              <w:t>此工序有噪声产生，</w:t>
            </w:r>
            <w:r>
              <w:rPr>
                <w:rFonts w:hint="eastAsia" w:ascii="Times New Roman" w:hAnsi="Times New Roman" w:cs="Times New Roman"/>
                <w:color w:val="auto"/>
                <w:sz w:val="24"/>
                <w:szCs w:val="24"/>
                <w:highlight w:val="none"/>
                <w:lang w:val="en-US" w:eastAsia="zh-CN"/>
              </w:rPr>
              <w:t>采取基础减震、厂房隔声、距离衰减的降噪措施</w:t>
            </w:r>
            <w:r>
              <w:rPr>
                <w:rFonts w:hint="eastAsia" w:ascii="Times New Roman" w:hAnsi="Times New Roman" w:cs="Times New Roman"/>
                <w:color w:val="auto"/>
                <w:sz w:val="24"/>
                <w:szCs w:val="24"/>
                <w:highlight w:val="none"/>
                <w:lang w:val="zh-CN" w:eastAsia="zh-CN"/>
              </w:rPr>
              <w:t>。</w:t>
            </w:r>
          </w:p>
          <w:p w14:paraId="114BF318">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zh-CN" w:eastAsia="zh-CN"/>
              </w:rPr>
              <w:t>弱酸清洗</w:t>
            </w:r>
          </w:p>
          <w:p w14:paraId="364F82F4">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zh-CN" w:eastAsia="zh-CN"/>
              </w:rPr>
              <w:t>玻璃</w:t>
            </w:r>
            <w:r>
              <w:rPr>
                <w:rFonts w:hint="eastAsia" w:ascii="Times New Roman" w:hAnsi="Times New Roman" w:cs="Times New Roman"/>
                <w:color w:val="auto"/>
                <w:sz w:val="24"/>
                <w:szCs w:val="24"/>
                <w:highlight w:val="none"/>
                <w:lang w:val="zh-CN" w:eastAsia="zh-CN"/>
              </w:rPr>
              <w:t>原片</w:t>
            </w:r>
            <w:r>
              <w:rPr>
                <w:rFonts w:hint="default" w:ascii="Times New Roman" w:hAnsi="Times New Roman" w:cs="Times New Roman"/>
                <w:color w:val="auto"/>
                <w:sz w:val="24"/>
                <w:szCs w:val="24"/>
                <w:highlight w:val="none"/>
                <w:lang w:val="zh-CN" w:eastAsia="zh-CN"/>
              </w:rPr>
              <w:t>通过自动上片机将玻璃输送至</w:t>
            </w:r>
            <w:r>
              <w:rPr>
                <w:rFonts w:hint="eastAsia" w:ascii="Times New Roman" w:hAnsi="Times New Roman" w:cs="Times New Roman"/>
                <w:color w:val="auto"/>
                <w:sz w:val="24"/>
                <w:szCs w:val="24"/>
                <w:highlight w:val="none"/>
                <w:lang w:val="zh-CN" w:eastAsia="zh-CN"/>
              </w:rPr>
              <w:t>清洗</w:t>
            </w:r>
            <w:r>
              <w:rPr>
                <w:rFonts w:hint="default" w:ascii="Times New Roman" w:hAnsi="Times New Roman" w:cs="Times New Roman"/>
                <w:color w:val="auto"/>
                <w:sz w:val="24"/>
                <w:szCs w:val="24"/>
                <w:highlight w:val="none"/>
                <w:lang w:val="zh-CN" w:eastAsia="zh-CN"/>
              </w:rPr>
              <w:t>机内</w:t>
            </w:r>
            <w:r>
              <w:rPr>
                <w:rFonts w:hint="eastAsia" w:ascii="Times New Roman" w:hAnsi="Times New Roman" w:cs="Times New Roman"/>
                <w:color w:val="auto"/>
                <w:sz w:val="24"/>
                <w:szCs w:val="24"/>
                <w:highlight w:val="none"/>
                <w:lang w:val="zh-CN" w:eastAsia="zh-CN"/>
              </w:rPr>
              <w:t>进行弱酸清洗处理</w:t>
            </w:r>
            <w:r>
              <w:rPr>
                <w:rFonts w:hint="default" w:ascii="Times New Roman" w:hAnsi="Times New Roman" w:cs="Times New Roman"/>
                <w:color w:val="auto"/>
                <w:sz w:val="24"/>
                <w:szCs w:val="24"/>
                <w:highlight w:val="none"/>
                <w:lang w:val="zh-CN" w:eastAsia="zh-CN"/>
              </w:rPr>
              <w:t>，洗去玻璃表面的污物，确保产品的蒙砂质量及效果。</w:t>
            </w:r>
            <w:r>
              <w:rPr>
                <w:rFonts w:hint="eastAsia" w:ascii="Times New Roman" w:hAnsi="Times New Roman" w:cs="Times New Roman"/>
                <w:color w:val="auto"/>
                <w:sz w:val="24"/>
                <w:szCs w:val="24"/>
                <w:highlight w:val="none"/>
                <w:lang w:val="zh-CN" w:eastAsia="zh-CN"/>
              </w:rPr>
              <w:t>本工序所用的</w:t>
            </w:r>
            <w:r>
              <w:rPr>
                <w:rFonts w:hint="default" w:ascii="Times New Roman" w:hAnsi="Times New Roman" w:cs="Times New Roman"/>
                <w:color w:val="auto"/>
                <w:sz w:val="24"/>
                <w:szCs w:val="24"/>
                <w:highlight w:val="none"/>
                <w:lang w:val="zh-CN" w:eastAsia="zh-CN"/>
              </w:rPr>
              <w:t>弱酸</w:t>
            </w:r>
            <w:r>
              <w:rPr>
                <w:rFonts w:hint="eastAsia" w:ascii="Times New Roman" w:hAnsi="Times New Roman" w:cs="Times New Roman"/>
                <w:color w:val="auto"/>
                <w:sz w:val="24"/>
                <w:szCs w:val="24"/>
                <w:highlight w:val="none"/>
                <w:lang w:val="zh-CN" w:eastAsia="zh-CN"/>
              </w:rPr>
              <w:t>是由</w:t>
            </w:r>
            <w:r>
              <w:rPr>
                <w:rFonts w:hint="eastAsia" w:ascii="Times New Roman" w:hAnsi="Times New Roman" w:cs="Times New Roman"/>
                <w:color w:val="auto"/>
                <w:sz w:val="24"/>
                <w:szCs w:val="24"/>
                <w:highlight w:val="none"/>
                <w:lang w:val="en-US" w:eastAsia="zh-CN"/>
              </w:rPr>
              <w:t>98%硫酸与自来水按比例配制而成，</w:t>
            </w:r>
            <w:r>
              <w:rPr>
                <w:rFonts w:hint="eastAsia" w:cs="Times New Roman"/>
                <w:color w:val="auto"/>
                <w:sz w:val="24"/>
                <w:szCs w:val="24"/>
                <w:highlight w:val="none"/>
                <w:lang w:val="en-US" w:eastAsia="zh-CN"/>
              </w:rPr>
              <w:t>清洗机自带2个2.1m×1.2m×0.6m的循环水箱，分别用于弱酸清洗过程的弱酸液循环和预水洗过程的水循环</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人工直接将98%硫酸在弱酸液配制桶</w:t>
            </w:r>
            <w:r>
              <w:rPr>
                <w:rFonts w:hint="eastAsia" w:ascii="Times New Roman" w:hAnsi="Times New Roman" w:cs="Times New Roman"/>
                <w:color w:val="auto"/>
                <w:sz w:val="24"/>
                <w:szCs w:val="24"/>
                <w:highlight w:val="none"/>
                <w:lang w:val="zh-CN" w:eastAsia="zh-CN"/>
              </w:rPr>
              <w:t>内进行稀释，稀释至</w:t>
            </w:r>
            <w:r>
              <w:rPr>
                <w:rFonts w:hint="eastAsia" w:ascii="Times New Roman" w:hAnsi="Times New Roman" w:cs="Times New Roman"/>
                <w:color w:val="auto"/>
                <w:sz w:val="24"/>
                <w:szCs w:val="24"/>
                <w:highlight w:val="none"/>
                <w:lang w:val="en-US" w:eastAsia="zh-CN"/>
              </w:rPr>
              <w:t>1%稀硫酸</w:t>
            </w:r>
            <w:r>
              <w:rPr>
                <w:rFonts w:hint="eastAsia" w:ascii="Times New Roman" w:hAnsi="Times New Roman" w:cs="Times New Roman"/>
                <w:color w:val="auto"/>
                <w:sz w:val="24"/>
                <w:szCs w:val="24"/>
                <w:highlight w:val="none"/>
                <w:lang w:val="zh-CN" w:eastAsia="zh-CN"/>
              </w:rPr>
              <w:t>，再将配制好的稀硫酸倒入</w:t>
            </w:r>
            <w:r>
              <w:rPr>
                <w:rFonts w:hint="eastAsia" w:cs="Times New Roman"/>
                <w:color w:val="auto"/>
                <w:sz w:val="24"/>
                <w:szCs w:val="24"/>
                <w:highlight w:val="none"/>
                <w:lang w:val="en-US" w:eastAsia="zh-CN"/>
              </w:rPr>
              <w:t>弱酸循环水箱中。</w:t>
            </w:r>
            <w:r>
              <w:rPr>
                <w:rFonts w:hint="default" w:ascii="Times New Roman" w:hAnsi="Times New Roman" w:cs="Times New Roman"/>
                <w:color w:val="auto"/>
                <w:sz w:val="24"/>
                <w:szCs w:val="24"/>
                <w:highlight w:val="none"/>
                <w:lang w:val="zh-CN" w:eastAsia="zh-CN"/>
              </w:rPr>
              <w:t>弱酸清洗过程为喷淋洗，过程约</w:t>
            </w:r>
            <w:r>
              <w:rPr>
                <w:rFonts w:hint="eastAsia"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lang w:val="zh-CN" w:eastAsia="zh-CN"/>
              </w:rPr>
              <w:t>s。</w:t>
            </w:r>
            <w:r>
              <w:rPr>
                <w:rFonts w:hint="eastAsia" w:ascii="Times New Roman" w:hAnsi="Times New Roman" w:cs="Times New Roman"/>
                <w:color w:val="auto"/>
                <w:sz w:val="24"/>
                <w:szCs w:val="24"/>
                <w:highlight w:val="none"/>
                <w:lang w:val="zh-CN" w:eastAsia="zh-CN"/>
              </w:rPr>
              <w:t>清洗后的弱酸</w:t>
            </w:r>
            <w:r>
              <w:rPr>
                <w:rFonts w:hint="eastAsia" w:cs="Times New Roman"/>
                <w:color w:val="auto"/>
                <w:sz w:val="24"/>
                <w:szCs w:val="24"/>
                <w:highlight w:val="none"/>
                <w:lang w:val="en-US" w:eastAsia="zh-CN"/>
              </w:rPr>
              <w:t>经清洗机自带的循环水箱收集后循环使用</w:t>
            </w:r>
            <w:r>
              <w:rPr>
                <w:rFonts w:hint="eastAsia" w:ascii="Times New Roman" w:hAnsi="Times New Roman" w:cs="Times New Roman"/>
                <w:color w:val="auto"/>
                <w:sz w:val="24"/>
                <w:szCs w:val="24"/>
                <w:highlight w:val="none"/>
                <w:lang w:val="en-US" w:eastAsia="zh-CN"/>
              </w:rPr>
              <w:t>，</w:t>
            </w:r>
            <w:r>
              <w:rPr>
                <w:rFonts w:hint="eastAsia"/>
                <w:color w:val="auto"/>
                <w:sz w:val="24"/>
                <w:szCs w:val="24"/>
                <w:highlight w:val="none"/>
                <w:lang w:eastAsia="zh-CN"/>
              </w:rPr>
              <w:t>期间</w:t>
            </w:r>
            <w:r>
              <w:rPr>
                <w:rFonts w:ascii="Times New Roman" w:hAnsi="Times New Roman"/>
                <w:color w:val="auto"/>
                <w:sz w:val="24"/>
                <w:szCs w:val="24"/>
                <w:highlight w:val="none"/>
              </w:rPr>
              <w:t>有部分</w:t>
            </w:r>
            <w:r>
              <w:rPr>
                <w:rFonts w:hint="eastAsia"/>
                <w:color w:val="auto"/>
                <w:sz w:val="24"/>
                <w:szCs w:val="24"/>
                <w:highlight w:val="none"/>
                <w:lang w:eastAsia="zh-CN"/>
              </w:rPr>
              <w:t>弱酸液</w:t>
            </w:r>
            <w:r>
              <w:rPr>
                <w:rFonts w:ascii="Times New Roman" w:hAnsi="Times New Roman"/>
                <w:color w:val="auto"/>
                <w:sz w:val="24"/>
                <w:szCs w:val="24"/>
                <w:highlight w:val="none"/>
              </w:rPr>
              <w:t>被玻璃带走</w:t>
            </w:r>
            <w:r>
              <w:rPr>
                <w:rFonts w:hint="eastAsia"/>
                <w:color w:val="auto"/>
                <w:sz w:val="24"/>
                <w:szCs w:val="24"/>
                <w:highlight w:val="none"/>
                <w:lang w:eastAsia="zh-CN"/>
              </w:rPr>
              <w:t>和</w:t>
            </w:r>
            <w:r>
              <w:rPr>
                <w:rFonts w:ascii="Times New Roman" w:hAnsi="Times New Roman"/>
                <w:color w:val="auto"/>
                <w:sz w:val="24"/>
                <w:szCs w:val="24"/>
                <w:highlight w:val="none"/>
              </w:rPr>
              <w:t>蒸发损耗，</w:t>
            </w:r>
            <w:r>
              <w:rPr>
                <w:rFonts w:hint="eastAsia" w:cs="Times New Roman"/>
                <w:color w:val="auto"/>
                <w:sz w:val="24"/>
                <w:szCs w:val="24"/>
                <w:highlight w:val="none"/>
                <w:lang w:val="en-US" w:eastAsia="zh-CN"/>
              </w:rPr>
              <w:t>损耗的弱酸液定期添加补充，约1个月更换一次</w:t>
            </w:r>
            <w:r>
              <w:rPr>
                <w:rFonts w:hint="eastAsia" w:ascii="Times New Roman" w:hAnsi="Times New Roman" w:cs="Times New Roman"/>
                <w:color w:val="auto"/>
                <w:sz w:val="24"/>
                <w:szCs w:val="24"/>
                <w:highlight w:val="none"/>
                <w:lang w:val="zh-CN" w:eastAsia="zh-CN"/>
              </w:rPr>
              <w:t>。本工序使用硫酸产生的空硫酸桶，收集后暂存于危险废物暂存间，由原料厂家定期回收。</w:t>
            </w:r>
            <w:r>
              <w:rPr>
                <w:rFonts w:hint="eastAsia" w:ascii="Times New Roman" w:hAnsi="Times New Roman" w:cs="Times New Roman"/>
                <w:color w:val="auto"/>
                <w:sz w:val="24"/>
                <w:szCs w:val="24"/>
                <w:highlight w:val="none"/>
                <w:lang w:val="en-US" w:eastAsia="zh-CN"/>
              </w:rPr>
              <w:t>弱酸溶液配制过程中产生的硫酸挥发废气，污染因子为硫酸雾，</w:t>
            </w:r>
            <w:r>
              <w:rPr>
                <w:rFonts w:hint="default" w:ascii="Times New Roman" w:hAnsi="Times New Roman" w:cs="Times New Roman"/>
                <w:color w:val="auto"/>
                <w:sz w:val="24"/>
                <w:szCs w:val="24"/>
                <w:highlight w:val="none"/>
                <w:lang w:val="zh-CN" w:eastAsia="zh-CN"/>
              </w:rPr>
              <w:t>经</w:t>
            </w:r>
            <w:r>
              <w:rPr>
                <w:rFonts w:hint="eastAsia" w:ascii="Times New Roman" w:hAnsi="Times New Roman" w:cs="Times New Roman"/>
                <w:color w:val="auto"/>
                <w:sz w:val="24"/>
                <w:szCs w:val="24"/>
                <w:highlight w:val="none"/>
                <w:lang w:val="zh-CN" w:eastAsia="zh-CN"/>
              </w:rPr>
              <w:t>封</w:t>
            </w:r>
            <w:r>
              <w:rPr>
                <w:rFonts w:hint="default" w:ascii="Times New Roman" w:hAnsi="Times New Roman" w:cs="Times New Roman"/>
                <w:color w:val="auto"/>
                <w:sz w:val="24"/>
                <w:szCs w:val="24"/>
                <w:highlight w:val="none"/>
                <w:lang w:val="zh-CN" w:eastAsia="zh-CN"/>
              </w:rPr>
              <w:t>闭生产</w:t>
            </w:r>
            <w:r>
              <w:rPr>
                <w:rFonts w:hint="eastAsia" w:ascii="Times New Roman" w:hAnsi="Times New Roman" w:cs="Times New Roman"/>
                <w:color w:val="auto"/>
                <w:sz w:val="24"/>
                <w:szCs w:val="24"/>
                <w:highlight w:val="none"/>
                <w:lang w:val="zh-CN" w:eastAsia="zh-CN"/>
              </w:rPr>
              <w:t>车间</w:t>
            </w:r>
            <w:r>
              <w:rPr>
                <w:rFonts w:hint="default" w:ascii="Times New Roman" w:hAnsi="Times New Roman" w:cs="Times New Roman"/>
                <w:color w:val="auto"/>
                <w:sz w:val="24"/>
                <w:szCs w:val="24"/>
                <w:highlight w:val="none"/>
                <w:lang w:val="en-US" w:eastAsia="zh-CN"/>
              </w:rPr>
              <w:t>集气管道</w:t>
            </w:r>
            <w:r>
              <w:rPr>
                <w:rFonts w:hint="default" w:ascii="Times New Roman" w:hAnsi="Times New Roman" w:cs="Times New Roman"/>
                <w:color w:val="auto"/>
                <w:sz w:val="24"/>
                <w:szCs w:val="24"/>
                <w:highlight w:val="none"/>
                <w:lang w:val="zh-CN" w:eastAsia="zh-CN"/>
              </w:rPr>
              <w:t>收集后，</w:t>
            </w:r>
            <w:r>
              <w:rPr>
                <w:rFonts w:hint="eastAsia" w:ascii="Times New Roman" w:hAnsi="Times New Roman" w:cs="Times New Roman"/>
                <w:color w:val="auto"/>
                <w:sz w:val="24"/>
                <w:szCs w:val="24"/>
                <w:highlight w:val="none"/>
                <w:lang w:val="zh-CN" w:eastAsia="zh-CN"/>
              </w:rPr>
              <w:t>通过</w:t>
            </w:r>
            <w:r>
              <w:rPr>
                <w:rFonts w:hint="default" w:ascii="Times New Roman" w:hAnsi="Times New Roman" w:cs="Times New Roman"/>
                <w:color w:val="auto"/>
                <w:sz w:val="24"/>
                <w:szCs w:val="24"/>
                <w:highlight w:val="none"/>
                <w:lang w:val="zh-CN" w:eastAsia="zh-CN"/>
              </w:rPr>
              <w:t>一套碱液喷淋洗涤塔废气治理设施处理，</w:t>
            </w:r>
            <w:r>
              <w:rPr>
                <w:rFonts w:hint="eastAsia" w:ascii="Times New Roman" w:hAnsi="Times New Roman" w:cs="Times New Roman"/>
                <w:color w:val="auto"/>
                <w:sz w:val="24"/>
                <w:szCs w:val="24"/>
                <w:highlight w:val="none"/>
                <w:lang w:val="zh-CN" w:eastAsia="zh-CN"/>
              </w:rPr>
              <w:t>后</w:t>
            </w:r>
            <w:r>
              <w:rPr>
                <w:rFonts w:hint="default" w:ascii="Times New Roman" w:hAnsi="Times New Roman" w:cs="Times New Roman"/>
                <w:color w:val="auto"/>
                <w:sz w:val="24"/>
                <w:szCs w:val="24"/>
                <w:highlight w:val="none"/>
                <w:lang w:val="zh-CN" w:eastAsia="zh-CN"/>
              </w:rPr>
              <w:t>经15m高排气筒（</w:t>
            </w:r>
            <w:r>
              <w:rPr>
                <w:rFonts w:hint="default" w:ascii="Times New Roman" w:hAnsi="Times New Roman" w:cs="Times New Roman"/>
                <w:color w:val="auto"/>
                <w:sz w:val="24"/>
                <w:szCs w:val="24"/>
                <w:highlight w:val="none"/>
                <w:lang w:val="en-US" w:eastAsia="zh-CN"/>
              </w:rPr>
              <w:t>DA002</w:t>
            </w:r>
            <w:r>
              <w:rPr>
                <w:rFonts w:hint="default" w:ascii="Times New Roman" w:hAnsi="Times New Roman" w:cs="Times New Roman"/>
                <w:color w:val="auto"/>
                <w:sz w:val="24"/>
                <w:szCs w:val="24"/>
                <w:highlight w:val="none"/>
                <w:lang w:val="zh-CN" w:eastAsia="zh-CN"/>
              </w:rPr>
              <w:t>）排放</w:t>
            </w:r>
            <w:r>
              <w:rPr>
                <w:rFonts w:hint="eastAsia" w:ascii="Times New Roman" w:hAnsi="Times New Roman" w:cs="Times New Roman"/>
                <w:color w:val="auto"/>
                <w:sz w:val="24"/>
                <w:szCs w:val="24"/>
                <w:highlight w:val="none"/>
                <w:lang w:val="en-US" w:eastAsia="zh-CN"/>
              </w:rPr>
              <w:t>；清洗机运行时产生的噪声，采取基础减震、厂房隔声、距离衰减的降噪措施；</w:t>
            </w:r>
            <w:r>
              <w:rPr>
                <w:rFonts w:hint="eastAsia" w:ascii="Times New Roman" w:hAnsi="Times New Roman" w:cs="Times New Roman"/>
                <w:color w:val="auto"/>
                <w:sz w:val="24"/>
                <w:szCs w:val="24"/>
                <w:highlight w:val="none"/>
                <w:lang w:val="zh-CN" w:eastAsia="zh-CN"/>
              </w:rPr>
              <w:t>弱酸循环水箱定期更换的废液经收集后进入调节池、生产废水处理设施处理达标后回用于水洗补水，不外排</w:t>
            </w:r>
            <w:r>
              <w:rPr>
                <w:rFonts w:hint="eastAsia" w:ascii="Times New Roman" w:hAnsi="Times New Roman" w:cs="Times New Roman"/>
                <w:color w:val="auto"/>
                <w:sz w:val="24"/>
                <w:szCs w:val="24"/>
                <w:highlight w:val="none"/>
                <w:lang w:val="en-US" w:eastAsia="zh-CN"/>
              </w:rPr>
              <w:t>。</w:t>
            </w:r>
          </w:p>
          <w:p w14:paraId="424A74D5">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highlight w:val="none"/>
                <w:lang w:val="en-US" w:eastAsia="zh-CN"/>
              </w:rPr>
            </w:pPr>
            <w:r>
              <w:rPr>
                <w:rFonts w:hint="eastAsia" w:ascii="Times New Roman" w:hAnsi="Times New Roman" w:cs="Times New Roman"/>
                <w:color w:val="auto"/>
                <w:sz w:val="24"/>
                <w:szCs w:val="24"/>
                <w:highlight w:val="none"/>
                <w:lang w:val="en-US" w:eastAsia="zh-CN"/>
              </w:rPr>
              <w:t>注：外购的硫酸为桶装硫酸，硫酸使用过程中会产生空硫酸桶，根据《固体废物鉴别标准通则》（GB 34330-2017）中“6不作为固体废物管理的物质：任何不需要修复和加工即可用于其原始用途的物质，或者在生产点经过修复和加工后满足国家、地方制定或行业通行的产品质量标准并且用于其原始用途的物质”可知，因此，空硫酸桶可不作为固体废物管理，但其暂存、转运依然应按照危险废物进行管理，按危险废物进行暂存。空硫酸桶收集后暂存于危险废物暂存间，由原料厂家定期回收。</w:t>
            </w:r>
          </w:p>
          <w:p w14:paraId="29210582">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en-US" w:eastAsia="zh-CN"/>
              </w:rPr>
              <w:t>3）预</w:t>
            </w:r>
            <w:r>
              <w:rPr>
                <w:rFonts w:hint="default" w:ascii="Times New Roman" w:hAnsi="Times New Roman" w:cs="Times New Roman"/>
                <w:color w:val="auto"/>
                <w:sz w:val="24"/>
                <w:szCs w:val="24"/>
                <w:highlight w:val="none"/>
                <w:lang w:val="zh-CN" w:eastAsia="zh-CN"/>
              </w:rPr>
              <w:t>水洗</w:t>
            </w:r>
          </w:p>
          <w:p w14:paraId="66506756">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zh-CN" w:eastAsia="zh-CN"/>
              </w:rPr>
              <w:t>弱</w:t>
            </w:r>
            <w:r>
              <w:rPr>
                <w:rFonts w:hint="default" w:ascii="Times New Roman" w:hAnsi="Times New Roman" w:cs="Times New Roman"/>
                <w:color w:val="auto"/>
                <w:sz w:val="24"/>
                <w:szCs w:val="24"/>
                <w:highlight w:val="none"/>
                <w:lang w:val="zh-CN" w:eastAsia="zh-CN"/>
              </w:rPr>
              <w:t>酸清洗过后的玻璃</w:t>
            </w:r>
            <w:r>
              <w:rPr>
                <w:rFonts w:hint="eastAsia" w:ascii="Times New Roman" w:hAnsi="Times New Roman" w:cs="Times New Roman"/>
                <w:color w:val="auto"/>
                <w:sz w:val="24"/>
                <w:szCs w:val="24"/>
                <w:highlight w:val="none"/>
                <w:lang w:val="zh-CN" w:eastAsia="zh-CN"/>
              </w:rPr>
              <w:t>通过</w:t>
            </w:r>
            <w:r>
              <w:rPr>
                <w:rFonts w:hint="default" w:ascii="Times New Roman" w:hAnsi="Times New Roman" w:cs="Times New Roman"/>
                <w:color w:val="auto"/>
                <w:sz w:val="24"/>
                <w:szCs w:val="24"/>
                <w:highlight w:val="none"/>
                <w:lang w:val="zh-CN" w:eastAsia="zh-CN"/>
              </w:rPr>
              <w:t>机械自动输送进入</w:t>
            </w:r>
            <w:r>
              <w:rPr>
                <w:rFonts w:hint="eastAsia" w:ascii="Times New Roman" w:hAnsi="Times New Roman" w:cs="Times New Roman"/>
                <w:color w:val="auto"/>
                <w:sz w:val="24"/>
                <w:szCs w:val="24"/>
                <w:highlight w:val="none"/>
                <w:lang w:val="zh-CN" w:eastAsia="zh-CN"/>
              </w:rPr>
              <w:t>预</w:t>
            </w:r>
            <w:r>
              <w:rPr>
                <w:rFonts w:hint="default" w:ascii="Times New Roman" w:hAnsi="Times New Roman" w:cs="Times New Roman"/>
                <w:color w:val="auto"/>
                <w:sz w:val="24"/>
                <w:szCs w:val="24"/>
                <w:highlight w:val="none"/>
                <w:lang w:val="zh-CN" w:eastAsia="zh-CN"/>
              </w:rPr>
              <w:t>水洗</w:t>
            </w:r>
            <w:r>
              <w:rPr>
                <w:rFonts w:hint="eastAsia" w:ascii="Times New Roman" w:hAnsi="Times New Roman" w:cs="Times New Roman"/>
                <w:color w:val="auto"/>
                <w:sz w:val="24"/>
                <w:szCs w:val="24"/>
                <w:highlight w:val="none"/>
                <w:lang w:val="zh-CN" w:eastAsia="zh-CN"/>
              </w:rPr>
              <w:t>区</w:t>
            </w:r>
            <w:r>
              <w:rPr>
                <w:rFonts w:hint="default" w:ascii="Times New Roman" w:hAnsi="Times New Roman" w:cs="Times New Roman"/>
                <w:color w:val="auto"/>
                <w:sz w:val="24"/>
                <w:szCs w:val="24"/>
                <w:highlight w:val="none"/>
                <w:lang w:val="zh-CN" w:eastAsia="zh-CN"/>
              </w:rPr>
              <w:t>清洗</w:t>
            </w:r>
            <w:r>
              <w:rPr>
                <w:rFonts w:hint="eastAsia" w:ascii="Times New Roman" w:hAnsi="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zh-CN" w:eastAsia="zh-CN"/>
              </w:rPr>
              <w:t>水洗目的是去除普通玻璃上带有的酸液，便于后续工艺的处理。水洗过程为喷淋洗，过程约</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zh-CN" w:eastAsia="zh-CN"/>
              </w:rPr>
              <w:t>0s。</w:t>
            </w:r>
            <w:r>
              <w:rPr>
                <w:rFonts w:hint="eastAsia" w:cs="Times New Roman"/>
                <w:color w:val="auto"/>
                <w:sz w:val="24"/>
                <w:szCs w:val="24"/>
                <w:highlight w:val="none"/>
                <w:lang w:val="en-US" w:eastAsia="zh-CN"/>
              </w:rPr>
              <w:t>本工序与弱酸清洗过程共用1台清洗机，</w:t>
            </w:r>
            <w:r>
              <w:rPr>
                <w:rFonts w:hint="eastAsia" w:ascii="Times New Roman" w:hAnsi="Times New Roman" w:cs="Times New Roman"/>
                <w:color w:val="auto"/>
                <w:sz w:val="24"/>
                <w:szCs w:val="24"/>
                <w:highlight w:val="none"/>
                <w:lang w:val="zh-CN" w:eastAsia="zh-CN"/>
              </w:rPr>
              <w:t>喷淋废水经清洗机自带的循环水箱收集后</w:t>
            </w:r>
            <w:r>
              <w:rPr>
                <w:rFonts w:hint="eastAsia" w:ascii="Times New Roman" w:hAnsi="Times New Roman" w:cs="Times New Roman"/>
                <w:color w:val="auto"/>
                <w:sz w:val="24"/>
                <w:szCs w:val="24"/>
                <w:highlight w:val="none"/>
                <w:lang w:val="en-US" w:eastAsia="zh-CN"/>
              </w:rPr>
              <w:t>循环使用</w:t>
            </w:r>
            <w:r>
              <w:rPr>
                <w:rFonts w:hint="eastAsia" w:ascii="Times New Roman" w:hAnsi="Times New Roman" w:cs="Times New Roman"/>
                <w:color w:val="auto"/>
                <w:sz w:val="24"/>
                <w:szCs w:val="24"/>
                <w:highlight w:val="none"/>
                <w:lang w:val="zh-CN" w:eastAsia="zh-CN"/>
              </w:rPr>
              <w:t>，</w:t>
            </w:r>
            <w:r>
              <w:rPr>
                <w:rFonts w:hint="eastAsia"/>
                <w:color w:val="auto"/>
                <w:sz w:val="24"/>
                <w:szCs w:val="24"/>
                <w:highlight w:val="none"/>
                <w:lang w:eastAsia="zh-CN"/>
              </w:rPr>
              <w:t>期间</w:t>
            </w:r>
            <w:r>
              <w:rPr>
                <w:rFonts w:ascii="Times New Roman" w:hAnsi="Times New Roman"/>
                <w:color w:val="auto"/>
                <w:sz w:val="24"/>
                <w:szCs w:val="24"/>
                <w:highlight w:val="none"/>
              </w:rPr>
              <w:t>有部分</w:t>
            </w:r>
            <w:r>
              <w:rPr>
                <w:rFonts w:hint="eastAsia"/>
                <w:color w:val="auto"/>
                <w:sz w:val="24"/>
                <w:szCs w:val="24"/>
                <w:highlight w:val="none"/>
                <w:lang w:eastAsia="zh-CN"/>
              </w:rPr>
              <w:t>水分</w:t>
            </w:r>
            <w:r>
              <w:rPr>
                <w:rFonts w:ascii="Times New Roman" w:hAnsi="Times New Roman"/>
                <w:color w:val="auto"/>
                <w:sz w:val="24"/>
                <w:szCs w:val="24"/>
                <w:highlight w:val="none"/>
              </w:rPr>
              <w:t>被玻璃带走</w:t>
            </w:r>
            <w:r>
              <w:rPr>
                <w:rFonts w:hint="eastAsia"/>
                <w:color w:val="auto"/>
                <w:sz w:val="24"/>
                <w:szCs w:val="24"/>
                <w:highlight w:val="none"/>
                <w:lang w:eastAsia="zh-CN"/>
              </w:rPr>
              <w:t>和</w:t>
            </w:r>
            <w:r>
              <w:rPr>
                <w:rFonts w:ascii="Times New Roman" w:hAnsi="Times New Roman"/>
                <w:color w:val="auto"/>
                <w:sz w:val="24"/>
                <w:szCs w:val="24"/>
                <w:highlight w:val="none"/>
              </w:rPr>
              <w:t>蒸发损耗，</w:t>
            </w:r>
            <w:r>
              <w:rPr>
                <w:rFonts w:hint="eastAsia" w:cs="Times New Roman"/>
                <w:color w:val="auto"/>
                <w:sz w:val="24"/>
                <w:szCs w:val="24"/>
                <w:highlight w:val="none"/>
                <w:lang w:val="en-US" w:eastAsia="zh-CN"/>
              </w:rPr>
              <w:t>损耗的弱酸液定期添加补充，约1个月更换一次</w:t>
            </w:r>
            <w:r>
              <w:rPr>
                <w:rFonts w:hint="eastAsia" w:ascii="Times New Roman" w:hAnsi="Times New Roman" w:cs="Times New Roman"/>
                <w:color w:val="auto"/>
                <w:sz w:val="24"/>
                <w:szCs w:val="24"/>
                <w:highlight w:val="none"/>
                <w:lang w:val="zh-CN" w:eastAsia="zh-CN"/>
              </w:rPr>
              <w:t>。该过程清洗机运行时会产生噪声，</w:t>
            </w:r>
            <w:r>
              <w:rPr>
                <w:rFonts w:hint="eastAsia" w:ascii="Times New Roman" w:hAnsi="Times New Roman" w:cs="Times New Roman"/>
                <w:color w:val="auto"/>
                <w:sz w:val="24"/>
                <w:szCs w:val="24"/>
                <w:highlight w:val="none"/>
                <w:lang w:val="en-US" w:eastAsia="zh-CN"/>
              </w:rPr>
              <w:t>采取基础减震、厂房隔声、距离衰减的降噪措施；</w:t>
            </w:r>
            <w:r>
              <w:rPr>
                <w:rFonts w:hint="eastAsia" w:ascii="Times New Roman" w:hAnsi="Times New Roman" w:cs="Times New Roman"/>
                <w:color w:val="auto"/>
                <w:sz w:val="24"/>
                <w:szCs w:val="24"/>
                <w:highlight w:val="none"/>
                <w:lang w:val="zh-CN" w:eastAsia="zh-CN"/>
              </w:rPr>
              <w:t>循环水箱定期更换的废水经收集后进入调节池、生产废水处理设施处理达标后回用于水洗补水，不外排</w:t>
            </w:r>
            <w:r>
              <w:rPr>
                <w:rFonts w:hint="eastAsia" w:ascii="Times New Roman" w:hAnsi="Times New Roman" w:cs="Times New Roman"/>
                <w:color w:val="auto"/>
                <w:sz w:val="24"/>
                <w:szCs w:val="24"/>
                <w:highlight w:val="none"/>
                <w:lang w:val="en-US" w:eastAsia="zh-CN"/>
              </w:rPr>
              <w:t>。</w:t>
            </w:r>
          </w:p>
          <w:p w14:paraId="6E9B8B40">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zh-CN" w:eastAsia="zh-CN"/>
              </w:rPr>
              <w:t>蒙砂</w:t>
            </w:r>
          </w:p>
          <w:p w14:paraId="20F949D8">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zh-CN" w:eastAsia="zh-CN"/>
              </w:rPr>
              <w:t>经过弱酸洗和</w:t>
            </w:r>
            <w:r>
              <w:rPr>
                <w:rFonts w:hint="eastAsia" w:ascii="Times New Roman" w:hAnsi="Times New Roman" w:cs="Times New Roman"/>
                <w:color w:val="auto"/>
                <w:sz w:val="24"/>
                <w:szCs w:val="24"/>
                <w:highlight w:val="none"/>
                <w:lang w:val="zh-CN" w:eastAsia="zh-CN"/>
              </w:rPr>
              <w:t>预水洗</w:t>
            </w:r>
            <w:r>
              <w:rPr>
                <w:rFonts w:hint="default" w:ascii="Times New Roman" w:hAnsi="Times New Roman" w:cs="Times New Roman"/>
                <w:color w:val="auto"/>
                <w:sz w:val="24"/>
                <w:szCs w:val="24"/>
                <w:highlight w:val="none"/>
                <w:lang w:val="zh-CN" w:eastAsia="zh-CN"/>
              </w:rPr>
              <w:t>后的玻璃原片</w:t>
            </w:r>
            <w:r>
              <w:rPr>
                <w:rFonts w:hint="eastAsia" w:ascii="Times New Roman" w:hAnsi="Times New Roman" w:cs="Times New Roman"/>
                <w:color w:val="auto"/>
                <w:sz w:val="24"/>
                <w:szCs w:val="24"/>
                <w:highlight w:val="none"/>
                <w:lang w:val="zh-CN" w:eastAsia="zh-CN"/>
              </w:rPr>
              <w:t>经传送带输送至蒙砂</w:t>
            </w:r>
            <w:r>
              <w:rPr>
                <w:rFonts w:hint="eastAsia" w:ascii="Times New Roman" w:hAnsi="Times New Roman" w:cs="Times New Roman"/>
                <w:color w:val="auto"/>
                <w:sz w:val="24"/>
                <w:szCs w:val="24"/>
                <w:highlight w:val="none"/>
                <w:lang w:val="en-US" w:eastAsia="zh-CN"/>
              </w:rPr>
              <w:t>自动</w:t>
            </w:r>
            <w:r>
              <w:rPr>
                <w:rFonts w:hint="eastAsia" w:ascii="Times New Roman" w:hAnsi="Times New Roman" w:cs="Times New Roman"/>
                <w:color w:val="auto"/>
                <w:sz w:val="24"/>
                <w:szCs w:val="24"/>
                <w:highlight w:val="none"/>
                <w:lang w:val="zh-CN" w:eastAsia="zh-CN"/>
              </w:rPr>
              <w:t>生产线自带的蒙砂槽内进行</w:t>
            </w:r>
            <w:r>
              <w:rPr>
                <w:rFonts w:hint="default" w:ascii="Times New Roman" w:hAnsi="Times New Roman" w:cs="Times New Roman"/>
                <w:color w:val="auto"/>
                <w:sz w:val="24"/>
                <w:szCs w:val="24"/>
                <w:highlight w:val="none"/>
                <w:lang w:val="zh-CN" w:eastAsia="zh-CN"/>
              </w:rPr>
              <w:t>蒙砂</w:t>
            </w:r>
            <w:r>
              <w:rPr>
                <w:rFonts w:hint="eastAsia" w:ascii="Times New Roman" w:hAnsi="Times New Roman" w:cs="Times New Roman"/>
                <w:color w:val="auto"/>
                <w:sz w:val="24"/>
                <w:szCs w:val="24"/>
                <w:highlight w:val="none"/>
                <w:lang w:val="zh-CN" w:eastAsia="zh-CN"/>
              </w:rPr>
              <w:t>处理，</w:t>
            </w:r>
            <w:r>
              <w:rPr>
                <w:rFonts w:hint="eastAsia" w:ascii="Times New Roman" w:hAnsi="Times New Roman" w:cs="Times New Roman"/>
                <w:color w:val="auto"/>
                <w:sz w:val="24"/>
                <w:szCs w:val="24"/>
                <w:highlight w:val="none"/>
                <w:lang w:val="en-US" w:eastAsia="zh-CN"/>
              </w:rPr>
              <w:t>该蒙砂工序为封闭状态，</w:t>
            </w:r>
            <w:r>
              <w:rPr>
                <w:rFonts w:hint="eastAsia" w:ascii="Times New Roman" w:hAnsi="Times New Roman" w:cs="Times New Roman"/>
                <w:color w:val="auto"/>
                <w:sz w:val="24"/>
                <w:szCs w:val="24"/>
                <w:highlight w:val="none"/>
                <w:lang w:val="zh-CN" w:eastAsia="zh-CN"/>
              </w:rPr>
              <w:t>蒙砂过程约</w:t>
            </w:r>
            <w:r>
              <w:rPr>
                <w:rFonts w:hint="eastAsia" w:ascii="Times New Roman" w:hAnsi="Times New Roman" w:cs="Times New Roman"/>
                <w:color w:val="auto"/>
                <w:sz w:val="24"/>
                <w:szCs w:val="24"/>
                <w:highlight w:val="none"/>
                <w:lang w:val="en-US" w:eastAsia="zh-CN"/>
              </w:rPr>
              <w:t>4min</w:t>
            </w:r>
            <w:r>
              <w:rPr>
                <w:rFonts w:hint="default" w:ascii="Times New Roman" w:hAnsi="Times New Roman" w:cs="Times New Roman"/>
                <w:color w:val="auto"/>
                <w:sz w:val="24"/>
                <w:szCs w:val="24"/>
                <w:highlight w:val="none"/>
                <w:lang w:val="zh-CN" w:eastAsia="zh-CN"/>
              </w:rPr>
              <w:t>，此过程只有玻璃外表面与蒙砂液接触，蒙砂后的玻璃自动进入</w:t>
            </w:r>
            <w:r>
              <w:rPr>
                <w:rFonts w:hint="eastAsia" w:ascii="Times New Roman" w:hAnsi="Times New Roman" w:cs="Times New Roman"/>
                <w:color w:val="auto"/>
                <w:sz w:val="24"/>
                <w:szCs w:val="24"/>
                <w:highlight w:val="none"/>
                <w:lang w:val="zh-CN" w:eastAsia="zh-CN"/>
              </w:rPr>
              <w:t>一</w:t>
            </w:r>
            <w:r>
              <w:rPr>
                <w:rFonts w:hint="default" w:ascii="Times New Roman" w:hAnsi="Times New Roman" w:cs="Times New Roman"/>
                <w:color w:val="auto"/>
                <w:sz w:val="24"/>
                <w:szCs w:val="24"/>
                <w:highlight w:val="none"/>
                <w:lang w:val="zh-CN" w:eastAsia="zh-CN"/>
              </w:rPr>
              <w:t>次喷淋水洗区。本项目采用的蒙砂液为企业自制，企业每次将外购回来的</w:t>
            </w:r>
            <w:r>
              <w:rPr>
                <w:rFonts w:hint="eastAsia" w:ascii="Times New Roman" w:hAnsi="Times New Roman" w:cs="Times New Roman"/>
                <w:color w:val="auto"/>
                <w:sz w:val="24"/>
                <w:szCs w:val="24"/>
                <w:highlight w:val="none"/>
                <w:lang w:val="zh-CN" w:eastAsia="zh-CN"/>
              </w:rPr>
              <w:t>氟化氢</w:t>
            </w:r>
            <w:r>
              <w:rPr>
                <w:rFonts w:hint="default" w:ascii="Times New Roman" w:hAnsi="Times New Roman" w:cs="Times New Roman"/>
                <w:color w:val="auto"/>
                <w:sz w:val="24"/>
                <w:szCs w:val="24"/>
                <w:highlight w:val="none"/>
                <w:lang w:val="zh-CN" w:eastAsia="zh-CN"/>
              </w:rPr>
              <w:t>铵</w:t>
            </w:r>
            <w:r>
              <w:rPr>
                <w:rFonts w:hint="eastAsia" w:ascii="Times New Roman" w:hAnsi="Times New Roman" w:cs="Times New Roman"/>
                <w:color w:val="auto"/>
                <w:sz w:val="24"/>
                <w:szCs w:val="24"/>
                <w:highlight w:val="none"/>
                <w:lang w:val="zh-CN" w:eastAsia="zh-CN"/>
              </w:rPr>
              <w:t>和</w:t>
            </w:r>
            <w:r>
              <w:rPr>
                <w:rFonts w:hint="eastAsia" w:ascii="Times New Roman" w:hAnsi="Times New Roman" w:cs="Times New Roman"/>
                <w:color w:val="auto"/>
                <w:sz w:val="24"/>
                <w:szCs w:val="24"/>
                <w:highlight w:val="none"/>
                <w:lang w:val="en-US" w:eastAsia="zh-CN"/>
              </w:rPr>
              <w:t>98%硫酸</w:t>
            </w:r>
            <w:r>
              <w:rPr>
                <w:rFonts w:hint="eastAsia" w:ascii="Times New Roman" w:hAnsi="Times New Roman" w:cs="Times New Roman"/>
                <w:color w:val="auto"/>
                <w:sz w:val="24"/>
                <w:szCs w:val="24"/>
                <w:highlight w:val="none"/>
                <w:lang w:val="zh-CN" w:eastAsia="zh-CN"/>
              </w:rPr>
              <w:t>（或</w:t>
            </w:r>
            <w:r>
              <w:rPr>
                <w:rFonts w:hint="eastAsia" w:ascii="Times New Roman" w:hAnsi="Times New Roman" w:cs="Times New Roman"/>
                <w:color w:val="auto"/>
                <w:sz w:val="24"/>
                <w:szCs w:val="24"/>
                <w:highlight w:val="none"/>
                <w:lang w:val="en-US" w:eastAsia="zh-CN"/>
              </w:rPr>
              <w:t>37%盐酸</w:t>
            </w:r>
            <w:r>
              <w:rPr>
                <w:rFonts w:hint="eastAsia" w:ascii="Times New Roman" w:hAnsi="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zh-CN" w:eastAsia="zh-CN"/>
              </w:rPr>
              <w:t>按</w:t>
            </w:r>
            <w:r>
              <w:rPr>
                <w:rFonts w:hint="eastAsia" w:ascii="Times New Roman" w:hAnsi="Times New Roman" w:cs="Times New Roman"/>
                <w:color w:val="auto"/>
                <w:sz w:val="24"/>
                <w:szCs w:val="24"/>
                <w:highlight w:val="none"/>
                <w:lang w:val="en-US" w:eastAsia="zh-CN"/>
              </w:rPr>
              <w:t>2.5:1的</w:t>
            </w:r>
            <w:r>
              <w:rPr>
                <w:rFonts w:hint="default" w:ascii="Times New Roman" w:hAnsi="Times New Roman" w:cs="Times New Roman"/>
                <w:color w:val="auto"/>
                <w:sz w:val="24"/>
                <w:szCs w:val="24"/>
                <w:highlight w:val="none"/>
                <w:lang w:val="zh-CN" w:eastAsia="zh-CN"/>
              </w:rPr>
              <w:t>比例</w:t>
            </w:r>
            <w:r>
              <w:rPr>
                <w:rFonts w:hint="eastAsia" w:ascii="Times New Roman" w:hAnsi="Times New Roman" w:cs="Times New Roman"/>
                <w:color w:val="auto"/>
                <w:sz w:val="24"/>
                <w:szCs w:val="24"/>
                <w:highlight w:val="none"/>
                <w:lang w:val="zh-CN" w:eastAsia="zh-CN"/>
              </w:rPr>
              <w:t>配制</w:t>
            </w:r>
            <w:r>
              <w:rPr>
                <w:rFonts w:hint="default" w:ascii="Times New Roman" w:hAnsi="Times New Roman" w:cs="Times New Roman"/>
                <w:color w:val="auto"/>
                <w:sz w:val="24"/>
                <w:szCs w:val="24"/>
                <w:highlight w:val="none"/>
                <w:lang w:val="zh-CN" w:eastAsia="zh-CN"/>
              </w:rPr>
              <w:t>成自制蒙砂液</w:t>
            </w:r>
            <w:r>
              <w:rPr>
                <w:rFonts w:hint="eastAsia" w:ascii="Times New Roman" w:hAnsi="Times New Roman" w:cs="Times New Roman"/>
                <w:b/>
                <w:bCs/>
                <w:color w:val="auto"/>
                <w:sz w:val="24"/>
                <w:szCs w:val="24"/>
                <w:highlight w:val="none"/>
                <w:lang w:val="zh-CN" w:eastAsia="zh-CN"/>
              </w:rPr>
              <w:t>（硫酸和盐酸不同时使用，二者使用时间分别各占一半，且使用过程中无需更换蒙砂液）</w:t>
            </w:r>
            <w:r>
              <w:rPr>
                <w:rFonts w:hint="eastAsia" w:ascii="Times New Roman" w:hAnsi="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zh-CN" w:eastAsia="zh-CN"/>
              </w:rPr>
              <w:t>待生产时</w:t>
            </w:r>
            <w:r>
              <w:rPr>
                <w:rFonts w:hint="eastAsia" w:ascii="Times New Roman" w:hAnsi="Times New Roman" w:cs="Times New Roman"/>
                <w:color w:val="auto"/>
                <w:sz w:val="24"/>
                <w:szCs w:val="24"/>
                <w:highlight w:val="none"/>
                <w:lang w:val="zh-CN" w:eastAsia="zh-CN"/>
              </w:rPr>
              <w:t>将配制好的蒙砂液倒</w:t>
            </w:r>
            <w:r>
              <w:rPr>
                <w:rFonts w:hint="default" w:ascii="Times New Roman" w:hAnsi="Times New Roman" w:cs="Times New Roman"/>
                <w:color w:val="auto"/>
                <w:sz w:val="24"/>
                <w:szCs w:val="24"/>
                <w:highlight w:val="none"/>
                <w:lang w:val="zh-CN" w:eastAsia="zh-CN"/>
              </w:rPr>
              <w:t>入</w:t>
            </w:r>
            <w:r>
              <w:rPr>
                <w:rFonts w:hint="eastAsia" w:ascii="Times New Roman" w:hAnsi="Times New Roman" w:cs="Times New Roman"/>
                <w:color w:val="auto"/>
                <w:sz w:val="24"/>
                <w:szCs w:val="24"/>
                <w:highlight w:val="none"/>
                <w:lang w:val="zh-CN" w:eastAsia="zh-CN"/>
              </w:rPr>
              <w:t>蒙</w:t>
            </w:r>
            <w:r>
              <w:rPr>
                <w:rFonts w:hint="default" w:ascii="Times New Roman" w:hAnsi="Times New Roman" w:cs="Times New Roman"/>
                <w:color w:val="auto"/>
                <w:sz w:val="24"/>
                <w:szCs w:val="24"/>
                <w:highlight w:val="none"/>
                <w:lang w:val="zh-CN" w:eastAsia="zh-CN"/>
              </w:rPr>
              <w:t>砂</w:t>
            </w:r>
            <w:r>
              <w:rPr>
                <w:rFonts w:hint="eastAsia" w:ascii="Times New Roman" w:hAnsi="Times New Roman" w:cs="Times New Roman"/>
                <w:color w:val="auto"/>
                <w:sz w:val="24"/>
                <w:szCs w:val="24"/>
                <w:highlight w:val="none"/>
                <w:lang w:val="zh-CN" w:eastAsia="zh-CN"/>
              </w:rPr>
              <w:t>槽</w:t>
            </w:r>
            <w:r>
              <w:rPr>
                <w:rFonts w:hint="default" w:ascii="Times New Roman" w:hAnsi="Times New Roman" w:cs="Times New Roman"/>
                <w:color w:val="auto"/>
                <w:sz w:val="24"/>
                <w:szCs w:val="24"/>
                <w:highlight w:val="none"/>
                <w:lang w:val="zh-CN" w:eastAsia="zh-CN"/>
              </w:rPr>
              <w:t>中。</w:t>
            </w:r>
            <w:r>
              <w:rPr>
                <w:rFonts w:hint="eastAsia" w:ascii="Times New Roman" w:hAnsi="Times New Roman" w:cs="Times New Roman"/>
                <w:color w:val="auto"/>
                <w:sz w:val="24"/>
                <w:szCs w:val="24"/>
                <w:highlight w:val="none"/>
                <w:lang w:val="zh-CN" w:eastAsia="zh-CN"/>
              </w:rPr>
              <w:t>玻璃进入下一道工序会带走槽内的蒙砂液，产生损耗，槽内的蒙砂液循环使用，定期添加补充，不外排。此工序使用硫酸和盐酸产生的空硫酸桶、空盐酸桶，</w:t>
            </w:r>
            <w:r>
              <w:rPr>
                <w:rFonts w:hint="eastAsia" w:ascii="Times New Roman" w:hAnsi="Times New Roman" w:cs="Times New Roman"/>
                <w:color w:val="auto"/>
                <w:sz w:val="24"/>
                <w:szCs w:val="24"/>
                <w:highlight w:val="none"/>
                <w:lang w:val="en-US" w:eastAsia="zh-CN"/>
              </w:rPr>
              <w:t>收集后分类暂存于危险废物暂存间，由原料厂家定期回收。配制蒙砂液过程会产生配料废气，污染因子为颗粒物、氟化物、硫酸雾或</w:t>
            </w:r>
            <w:r>
              <w:rPr>
                <w:rFonts w:hint="eastAsia" w:cs="Times New Roman"/>
                <w:color w:val="auto"/>
                <w:sz w:val="24"/>
                <w:highlight w:val="none"/>
                <w:lang w:val="zh-CN" w:eastAsia="zh-CN"/>
              </w:rPr>
              <w:t>氯化氢</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zh-CN" w:eastAsia="zh-CN"/>
              </w:rPr>
              <w:t>经</w:t>
            </w:r>
            <w:r>
              <w:rPr>
                <w:rFonts w:hint="eastAsia" w:ascii="Times New Roman" w:hAnsi="Times New Roman" w:cs="Times New Roman"/>
                <w:color w:val="auto"/>
                <w:sz w:val="24"/>
                <w:szCs w:val="24"/>
                <w:highlight w:val="none"/>
                <w:lang w:val="zh-CN" w:eastAsia="zh-CN"/>
              </w:rPr>
              <w:t>封</w:t>
            </w:r>
            <w:r>
              <w:rPr>
                <w:rFonts w:hint="default" w:ascii="Times New Roman" w:hAnsi="Times New Roman" w:cs="Times New Roman"/>
                <w:color w:val="auto"/>
                <w:sz w:val="24"/>
                <w:szCs w:val="24"/>
                <w:highlight w:val="none"/>
                <w:lang w:val="zh-CN" w:eastAsia="zh-CN"/>
              </w:rPr>
              <w:t>闭生产</w:t>
            </w:r>
            <w:r>
              <w:rPr>
                <w:rFonts w:hint="eastAsia" w:ascii="Times New Roman" w:hAnsi="Times New Roman" w:cs="Times New Roman"/>
                <w:color w:val="auto"/>
                <w:sz w:val="24"/>
                <w:szCs w:val="24"/>
                <w:highlight w:val="none"/>
                <w:lang w:val="zh-CN" w:eastAsia="zh-CN"/>
              </w:rPr>
              <w:t>车间</w:t>
            </w:r>
            <w:r>
              <w:rPr>
                <w:rFonts w:hint="default" w:ascii="Times New Roman" w:hAnsi="Times New Roman" w:cs="Times New Roman"/>
                <w:color w:val="auto"/>
                <w:sz w:val="24"/>
                <w:szCs w:val="24"/>
                <w:highlight w:val="none"/>
                <w:lang w:val="en-US" w:eastAsia="zh-CN"/>
              </w:rPr>
              <w:t>集气管道</w:t>
            </w:r>
            <w:r>
              <w:rPr>
                <w:rFonts w:hint="default" w:ascii="Times New Roman" w:hAnsi="Times New Roman" w:cs="Times New Roman"/>
                <w:color w:val="auto"/>
                <w:sz w:val="24"/>
                <w:szCs w:val="24"/>
                <w:highlight w:val="none"/>
                <w:lang w:val="zh-CN" w:eastAsia="zh-CN"/>
              </w:rPr>
              <w:t>收集后，</w:t>
            </w:r>
            <w:r>
              <w:rPr>
                <w:rFonts w:hint="eastAsia" w:ascii="Times New Roman" w:hAnsi="Times New Roman" w:cs="Times New Roman"/>
                <w:color w:val="auto"/>
                <w:sz w:val="24"/>
                <w:szCs w:val="24"/>
                <w:highlight w:val="none"/>
                <w:lang w:val="zh-CN" w:eastAsia="zh-CN"/>
              </w:rPr>
              <w:t>通过</w:t>
            </w:r>
            <w:r>
              <w:rPr>
                <w:rFonts w:hint="default" w:ascii="Times New Roman" w:hAnsi="Times New Roman" w:cs="Times New Roman"/>
                <w:color w:val="auto"/>
                <w:sz w:val="24"/>
                <w:szCs w:val="24"/>
                <w:highlight w:val="none"/>
                <w:lang w:val="zh-CN" w:eastAsia="zh-CN"/>
              </w:rPr>
              <w:t>一套碱液喷淋洗涤塔废气治理设施处理，</w:t>
            </w:r>
            <w:r>
              <w:rPr>
                <w:rFonts w:hint="eastAsia" w:ascii="Times New Roman" w:hAnsi="Times New Roman" w:cs="Times New Roman"/>
                <w:color w:val="auto"/>
                <w:sz w:val="24"/>
                <w:szCs w:val="24"/>
                <w:highlight w:val="none"/>
                <w:lang w:val="zh-CN" w:eastAsia="zh-CN"/>
              </w:rPr>
              <w:t>后</w:t>
            </w:r>
            <w:r>
              <w:rPr>
                <w:rFonts w:hint="default" w:ascii="Times New Roman" w:hAnsi="Times New Roman" w:cs="Times New Roman"/>
                <w:color w:val="auto"/>
                <w:sz w:val="24"/>
                <w:szCs w:val="24"/>
                <w:highlight w:val="none"/>
                <w:lang w:val="zh-CN" w:eastAsia="zh-CN"/>
              </w:rPr>
              <w:t>经15m高排气筒（</w:t>
            </w:r>
            <w:r>
              <w:rPr>
                <w:rFonts w:hint="default" w:ascii="Times New Roman" w:hAnsi="Times New Roman" w:cs="Times New Roman"/>
                <w:color w:val="auto"/>
                <w:sz w:val="24"/>
                <w:szCs w:val="24"/>
                <w:highlight w:val="none"/>
                <w:lang w:val="en-US" w:eastAsia="zh-CN"/>
              </w:rPr>
              <w:t>DA002</w:t>
            </w:r>
            <w:r>
              <w:rPr>
                <w:rFonts w:hint="default" w:ascii="Times New Roman" w:hAnsi="Times New Roman" w:cs="Times New Roman"/>
                <w:color w:val="auto"/>
                <w:sz w:val="24"/>
                <w:szCs w:val="24"/>
                <w:highlight w:val="none"/>
                <w:lang w:val="zh-CN" w:eastAsia="zh-CN"/>
              </w:rPr>
              <w:t>）排放</w:t>
            </w:r>
            <w:r>
              <w:rPr>
                <w:rFonts w:hint="eastAsia" w:ascii="Times New Roman" w:hAnsi="Times New Roman" w:cs="Times New Roman"/>
                <w:color w:val="auto"/>
                <w:sz w:val="24"/>
                <w:szCs w:val="24"/>
                <w:highlight w:val="none"/>
                <w:lang w:val="en-US" w:eastAsia="zh-CN"/>
              </w:rPr>
              <w:t>（与硫酸挥发废气共用一套废气治理措施）；蒙砂过程产生的蒙砂废气，主要污染因子为氟化物，</w:t>
            </w:r>
            <w:r>
              <w:rPr>
                <w:rFonts w:hint="default" w:ascii="Times New Roman" w:hAnsi="Times New Roman" w:cs="Times New Roman"/>
                <w:color w:val="auto"/>
                <w:sz w:val="24"/>
                <w:szCs w:val="24"/>
                <w:highlight w:val="none"/>
                <w:lang w:val="zh-CN" w:eastAsia="zh-CN"/>
              </w:rPr>
              <w:t>经封闭</w:t>
            </w:r>
            <w:r>
              <w:rPr>
                <w:rFonts w:hint="eastAsia" w:ascii="Times New Roman" w:hAnsi="Times New Roman" w:cs="Times New Roman"/>
                <w:color w:val="auto"/>
                <w:sz w:val="24"/>
                <w:szCs w:val="24"/>
                <w:highlight w:val="none"/>
                <w:lang w:val="zh-CN" w:eastAsia="zh-CN"/>
              </w:rPr>
              <w:t>生产车间集气管道</w:t>
            </w:r>
            <w:r>
              <w:rPr>
                <w:rFonts w:hint="default" w:ascii="Times New Roman" w:hAnsi="Times New Roman" w:cs="Times New Roman"/>
                <w:color w:val="auto"/>
                <w:sz w:val="24"/>
                <w:szCs w:val="24"/>
                <w:highlight w:val="none"/>
                <w:lang w:val="zh-CN" w:eastAsia="zh-CN"/>
              </w:rPr>
              <w:t>收集后进入碱液喷淋洗涤塔净化处理</w:t>
            </w:r>
            <w:r>
              <w:rPr>
                <w:rFonts w:hint="eastAsia" w:ascii="Times New Roman" w:hAnsi="Times New Roman" w:cs="Times New Roman"/>
                <w:color w:val="auto"/>
                <w:sz w:val="24"/>
                <w:szCs w:val="24"/>
                <w:highlight w:val="none"/>
                <w:lang w:val="en-US" w:eastAsia="zh-CN"/>
              </w:rPr>
              <w:t>后，通过15m高排气筒排放（与硫酸挥发废气和配料废气共用一套废气治理措施）；蒙砂生产线运行时产生的噪声，采取基础减震、厂房隔声、距离衰减的降噪措施；使用袋装氟化氢铵会产生废氟化氢铵包装袋，收集后暂存于一般固废暂存处，定期外售废品收购站。</w:t>
            </w:r>
          </w:p>
          <w:p w14:paraId="3507A240">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蒙砂工艺原理</w:t>
            </w:r>
            <w:r>
              <w:rPr>
                <w:rFonts w:hint="eastAsia" w:ascii="Times New Roman" w:hAnsi="Times New Roman" w:cs="Times New Roman"/>
                <w:color w:val="auto"/>
                <w:sz w:val="24"/>
                <w:szCs w:val="24"/>
                <w:highlight w:val="none"/>
                <w:lang w:val="zh-CN" w:eastAsia="zh-CN"/>
              </w:rPr>
              <w:t>简述</w:t>
            </w:r>
            <w:r>
              <w:rPr>
                <w:rFonts w:hint="default" w:ascii="Times New Roman" w:hAnsi="Times New Roman" w:cs="Times New Roman"/>
                <w:color w:val="auto"/>
                <w:sz w:val="24"/>
                <w:szCs w:val="24"/>
                <w:highlight w:val="none"/>
                <w:lang w:val="zh-CN" w:eastAsia="zh-CN"/>
              </w:rPr>
              <w:t xml:space="preserve">： </w:t>
            </w:r>
          </w:p>
          <w:p w14:paraId="6025A4DC">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highlight w:val="none"/>
                <w:lang w:val="zh-CN" w:eastAsia="zh-CN"/>
              </w:rPr>
            </w:pPr>
            <w:r>
              <w:rPr>
                <w:rFonts w:hint="default" w:ascii="Times New Roman" w:hAnsi="Times New Roman" w:cs="Times New Roman"/>
                <w:color w:val="auto"/>
                <w:sz w:val="24"/>
                <w:szCs w:val="24"/>
                <w:highlight w:val="none"/>
                <w:lang w:val="zh-CN" w:eastAsia="zh-CN"/>
              </w:rPr>
              <w:t>本项目所采用的蒙砂工艺是以氢氟酸</w:t>
            </w:r>
            <w:r>
              <w:rPr>
                <w:rFonts w:hint="eastAsia" w:ascii="Times New Roman" w:hAnsi="Times New Roman" w:cs="Times New Roman"/>
                <w:color w:val="auto"/>
                <w:sz w:val="24"/>
                <w:szCs w:val="24"/>
                <w:highlight w:val="none"/>
                <w:lang w:val="zh-CN" w:eastAsia="zh-CN"/>
              </w:rPr>
              <w:t>溶液溶解</w:t>
            </w:r>
            <w:r>
              <w:rPr>
                <w:rFonts w:hint="default" w:ascii="Times New Roman" w:hAnsi="Times New Roman" w:cs="Times New Roman"/>
                <w:color w:val="auto"/>
                <w:sz w:val="24"/>
                <w:szCs w:val="24"/>
                <w:highlight w:val="none"/>
                <w:lang w:val="zh-CN" w:eastAsia="zh-CN"/>
              </w:rPr>
              <w:t>玻璃表面层上部分硅氧，破坏表面的硅氧化合物的表面网状结构，残留的金属碱性氧化物进</w:t>
            </w:r>
            <w:r>
              <w:rPr>
                <w:rFonts w:hint="eastAsia" w:ascii="Times New Roman" w:hAnsi="Times New Roman" w:cs="Times New Roman"/>
                <w:color w:val="auto"/>
                <w:sz w:val="24"/>
                <w:szCs w:val="24"/>
                <w:highlight w:val="none"/>
                <w:lang w:val="zh-CN" w:eastAsia="zh-CN"/>
              </w:rPr>
              <w:t>一</w:t>
            </w:r>
            <w:r>
              <w:rPr>
                <w:rFonts w:hint="default" w:ascii="Times New Roman" w:hAnsi="Times New Roman" w:cs="Times New Roman"/>
                <w:color w:val="auto"/>
                <w:sz w:val="24"/>
                <w:szCs w:val="24"/>
                <w:highlight w:val="none"/>
                <w:lang w:val="zh-CN" w:eastAsia="zh-CN"/>
              </w:rPr>
              <w:t>步与氢氟酸起化学反应，生成</w:t>
            </w:r>
            <w:r>
              <w:rPr>
                <w:rFonts w:hint="eastAsia" w:ascii="Times New Roman" w:hAnsi="Times New Roman" w:cs="Times New Roman"/>
                <w:color w:val="auto"/>
                <w:sz w:val="24"/>
                <w:szCs w:val="24"/>
                <w:highlight w:val="none"/>
                <w:lang w:val="zh-CN" w:eastAsia="zh-CN"/>
              </w:rPr>
              <w:t>氟化氢</w:t>
            </w:r>
            <w:r>
              <w:rPr>
                <w:rFonts w:hint="default" w:ascii="Times New Roman" w:hAnsi="Times New Roman" w:cs="Times New Roman"/>
                <w:color w:val="auto"/>
                <w:sz w:val="24"/>
                <w:szCs w:val="24"/>
                <w:highlight w:val="none"/>
                <w:lang w:val="zh-CN" w:eastAsia="zh-CN"/>
              </w:rPr>
              <w:t>及氟化硅等物质，从而破坏玻璃表面的平整、光滑度，使玻璃表面产生散光效应，改变原有的透光性</w:t>
            </w:r>
            <w:r>
              <w:rPr>
                <w:rFonts w:hint="eastAsia" w:ascii="Times New Roman" w:hAnsi="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zh-CN" w:eastAsia="zh-CN"/>
              </w:rPr>
              <w:t>俗称玻璃蒙砂。</w:t>
            </w:r>
          </w:p>
          <w:p w14:paraId="169F4E64">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a.蒙砂液配制</w:t>
            </w:r>
          </w:p>
          <w:p w14:paraId="071B3422">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将</w:t>
            </w:r>
            <w:r>
              <w:rPr>
                <w:rFonts w:hint="eastAsia" w:ascii="Times New Roman" w:hAnsi="Times New Roman" w:cs="Times New Roman"/>
                <w:color w:val="auto"/>
                <w:sz w:val="24"/>
                <w:szCs w:val="24"/>
                <w:highlight w:val="none"/>
                <w:lang w:val="zh-CN" w:eastAsia="zh-CN"/>
              </w:rPr>
              <w:t>氟化氢铵、</w:t>
            </w:r>
            <w:r>
              <w:rPr>
                <w:rFonts w:hint="default" w:ascii="Times New Roman" w:hAnsi="Times New Roman" w:cs="Times New Roman"/>
                <w:color w:val="auto"/>
                <w:sz w:val="24"/>
                <w:szCs w:val="24"/>
                <w:highlight w:val="none"/>
                <w:lang w:val="zh-CN" w:eastAsia="zh-CN"/>
              </w:rPr>
              <w:t>98%硫酸</w:t>
            </w:r>
            <w:r>
              <w:rPr>
                <w:rFonts w:hint="eastAsia" w:ascii="Times New Roman" w:hAnsi="Times New Roman" w:cs="Times New Roman"/>
                <w:color w:val="auto"/>
                <w:sz w:val="24"/>
                <w:szCs w:val="24"/>
                <w:highlight w:val="none"/>
                <w:lang w:val="zh-CN" w:eastAsia="zh-CN"/>
              </w:rPr>
              <w:t>（或</w:t>
            </w:r>
            <w:r>
              <w:rPr>
                <w:rFonts w:hint="eastAsia" w:ascii="Times New Roman" w:hAnsi="Times New Roman" w:cs="Times New Roman"/>
                <w:color w:val="auto"/>
                <w:sz w:val="24"/>
                <w:szCs w:val="24"/>
                <w:highlight w:val="none"/>
                <w:lang w:val="en-US" w:eastAsia="zh-CN"/>
              </w:rPr>
              <w:t>37%盐酸</w:t>
            </w:r>
            <w:r>
              <w:rPr>
                <w:rFonts w:hint="eastAsia" w:ascii="Times New Roman" w:hAnsi="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zh-CN" w:eastAsia="zh-CN"/>
              </w:rPr>
              <w:t>按</w:t>
            </w:r>
            <w:r>
              <w:rPr>
                <w:rFonts w:hint="eastAsia" w:ascii="Times New Roman" w:hAnsi="Times New Roman" w:cs="Times New Roman"/>
                <w:color w:val="auto"/>
                <w:sz w:val="24"/>
                <w:szCs w:val="24"/>
                <w:highlight w:val="none"/>
                <w:lang w:val="en-US" w:eastAsia="zh-CN"/>
              </w:rPr>
              <w:t>2.5:1</w:t>
            </w:r>
            <w:r>
              <w:rPr>
                <w:rFonts w:hint="default" w:ascii="Times New Roman" w:hAnsi="Times New Roman" w:cs="Times New Roman"/>
                <w:color w:val="auto"/>
                <w:sz w:val="24"/>
                <w:szCs w:val="24"/>
                <w:highlight w:val="none"/>
                <w:lang w:val="zh-CN" w:eastAsia="zh-CN"/>
              </w:rPr>
              <w:t>比例顺序放入蒙砂液</w:t>
            </w:r>
            <w:r>
              <w:rPr>
                <w:rFonts w:hint="eastAsia" w:ascii="Times New Roman" w:hAnsi="Times New Roman" w:cs="Times New Roman"/>
                <w:color w:val="auto"/>
                <w:sz w:val="24"/>
                <w:szCs w:val="24"/>
                <w:highlight w:val="none"/>
                <w:lang w:val="zh-CN" w:eastAsia="zh-CN"/>
              </w:rPr>
              <w:t>配制桶</w:t>
            </w:r>
            <w:r>
              <w:rPr>
                <w:rFonts w:hint="default" w:ascii="Times New Roman" w:hAnsi="Times New Roman" w:cs="Times New Roman"/>
                <w:color w:val="auto"/>
                <w:sz w:val="24"/>
                <w:szCs w:val="24"/>
                <w:highlight w:val="none"/>
                <w:lang w:val="zh-CN" w:eastAsia="zh-CN"/>
              </w:rPr>
              <w:t>内，用塑料棒（或竹、木棒）充分搅拌至均匀</w:t>
            </w:r>
            <w:r>
              <w:rPr>
                <w:rFonts w:hint="eastAsia" w:ascii="Times New Roman" w:hAnsi="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zh-CN" w:eastAsia="zh-CN"/>
              </w:rPr>
              <w:t>配</w:t>
            </w:r>
            <w:r>
              <w:rPr>
                <w:rFonts w:hint="eastAsia" w:ascii="Times New Roman" w:hAnsi="Times New Roman" w:cs="Times New Roman"/>
                <w:color w:val="auto"/>
                <w:sz w:val="24"/>
                <w:szCs w:val="24"/>
                <w:highlight w:val="none"/>
                <w:lang w:val="zh-CN" w:eastAsia="zh-CN"/>
              </w:rPr>
              <w:t>制</w:t>
            </w:r>
            <w:r>
              <w:rPr>
                <w:rFonts w:hint="default" w:ascii="Times New Roman" w:hAnsi="Times New Roman" w:cs="Times New Roman"/>
                <w:color w:val="auto"/>
                <w:sz w:val="24"/>
                <w:szCs w:val="24"/>
                <w:highlight w:val="none"/>
                <w:lang w:val="zh-CN" w:eastAsia="zh-CN"/>
              </w:rPr>
              <w:t>过程加盖密闭搅拌</w:t>
            </w:r>
            <w:r>
              <w:rPr>
                <w:rFonts w:hint="eastAsia" w:ascii="Times New Roman" w:hAnsi="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zh-CN" w:eastAsia="zh-CN"/>
              </w:rPr>
              <w:t>使蒙砂液充分反应，待生产时</w:t>
            </w:r>
            <w:r>
              <w:rPr>
                <w:rFonts w:hint="eastAsia" w:ascii="Times New Roman" w:hAnsi="Times New Roman" w:cs="Times New Roman"/>
                <w:color w:val="auto"/>
                <w:sz w:val="24"/>
                <w:szCs w:val="24"/>
                <w:highlight w:val="none"/>
                <w:lang w:val="zh-CN" w:eastAsia="zh-CN"/>
              </w:rPr>
              <w:t>将配制好的蒙砂液倒</w:t>
            </w:r>
            <w:r>
              <w:rPr>
                <w:rFonts w:hint="default" w:ascii="Times New Roman" w:hAnsi="Times New Roman" w:cs="Times New Roman"/>
                <w:color w:val="auto"/>
                <w:sz w:val="24"/>
                <w:szCs w:val="24"/>
                <w:highlight w:val="none"/>
                <w:lang w:val="zh-CN" w:eastAsia="zh-CN"/>
              </w:rPr>
              <w:t>入</w:t>
            </w:r>
            <w:r>
              <w:rPr>
                <w:rFonts w:hint="eastAsia" w:ascii="Times New Roman" w:hAnsi="Times New Roman" w:cs="Times New Roman"/>
                <w:color w:val="auto"/>
                <w:sz w:val="24"/>
                <w:szCs w:val="24"/>
                <w:highlight w:val="none"/>
                <w:lang w:val="zh-CN" w:eastAsia="zh-CN"/>
              </w:rPr>
              <w:t>蒙</w:t>
            </w:r>
            <w:r>
              <w:rPr>
                <w:rFonts w:hint="default" w:ascii="Times New Roman" w:hAnsi="Times New Roman" w:cs="Times New Roman"/>
                <w:color w:val="auto"/>
                <w:sz w:val="24"/>
                <w:szCs w:val="24"/>
                <w:highlight w:val="none"/>
                <w:lang w:val="zh-CN" w:eastAsia="zh-CN"/>
              </w:rPr>
              <w:t>砂</w:t>
            </w:r>
            <w:r>
              <w:rPr>
                <w:rFonts w:hint="eastAsia" w:ascii="Times New Roman" w:hAnsi="Times New Roman" w:cs="Times New Roman"/>
                <w:color w:val="auto"/>
                <w:sz w:val="24"/>
                <w:szCs w:val="24"/>
                <w:highlight w:val="none"/>
                <w:lang w:val="zh-CN" w:eastAsia="zh-CN"/>
              </w:rPr>
              <w:t>槽</w:t>
            </w:r>
            <w:r>
              <w:rPr>
                <w:rFonts w:hint="default" w:ascii="Times New Roman" w:hAnsi="Times New Roman" w:cs="Times New Roman"/>
                <w:color w:val="auto"/>
                <w:sz w:val="24"/>
                <w:szCs w:val="24"/>
                <w:highlight w:val="none"/>
                <w:lang w:val="zh-CN" w:eastAsia="zh-CN"/>
              </w:rPr>
              <w:t>中。</w:t>
            </w:r>
            <w:r>
              <w:rPr>
                <w:rFonts w:hint="eastAsia" w:ascii="Times New Roman" w:hAnsi="Times New Roman" w:cs="Times New Roman"/>
                <w:color w:val="auto"/>
                <w:sz w:val="24"/>
                <w:szCs w:val="24"/>
                <w:highlight w:val="none"/>
                <w:lang w:val="zh-CN" w:eastAsia="zh-CN"/>
              </w:rPr>
              <w:t>本项目拟将蒙砂液配制与硫酸稀释、蒙砂过程共同置于封闭生产车间内，生产车间保持负压状态，并在上方设置集气管道，</w:t>
            </w:r>
            <w:r>
              <w:rPr>
                <w:rFonts w:hint="default" w:ascii="Times New Roman" w:hAnsi="Times New Roman" w:cs="Times New Roman"/>
                <w:color w:val="auto"/>
                <w:sz w:val="24"/>
                <w:szCs w:val="24"/>
                <w:highlight w:val="none"/>
                <w:lang w:val="zh-CN" w:eastAsia="zh-CN"/>
              </w:rPr>
              <w:t>蒙砂液配制时产生的酸雾和少量粉尘经</w:t>
            </w:r>
            <w:r>
              <w:rPr>
                <w:rFonts w:hint="eastAsia" w:ascii="Times New Roman" w:hAnsi="Times New Roman" w:cs="Times New Roman"/>
                <w:color w:val="auto"/>
                <w:sz w:val="24"/>
                <w:szCs w:val="24"/>
                <w:highlight w:val="none"/>
                <w:lang w:val="zh-CN" w:eastAsia="zh-CN"/>
              </w:rPr>
              <w:t>封</w:t>
            </w:r>
            <w:r>
              <w:rPr>
                <w:rFonts w:hint="default" w:ascii="Times New Roman" w:hAnsi="Times New Roman" w:cs="Times New Roman"/>
                <w:color w:val="auto"/>
                <w:sz w:val="24"/>
                <w:szCs w:val="24"/>
                <w:highlight w:val="none"/>
                <w:lang w:val="zh-CN" w:eastAsia="zh-CN"/>
              </w:rPr>
              <w:t>闭生产</w:t>
            </w:r>
            <w:r>
              <w:rPr>
                <w:rFonts w:hint="eastAsia" w:ascii="Times New Roman" w:hAnsi="Times New Roman" w:cs="Times New Roman"/>
                <w:color w:val="auto"/>
                <w:sz w:val="24"/>
                <w:szCs w:val="24"/>
                <w:highlight w:val="none"/>
                <w:lang w:val="zh-CN" w:eastAsia="zh-CN"/>
              </w:rPr>
              <w:t>车间</w:t>
            </w:r>
            <w:r>
              <w:rPr>
                <w:rFonts w:hint="default" w:ascii="Times New Roman" w:hAnsi="Times New Roman" w:cs="Times New Roman"/>
                <w:color w:val="auto"/>
                <w:sz w:val="24"/>
                <w:szCs w:val="24"/>
                <w:highlight w:val="none"/>
                <w:lang w:val="en-US" w:eastAsia="zh-CN"/>
              </w:rPr>
              <w:t>集气管道</w:t>
            </w:r>
            <w:r>
              <w:rPr>
                <w:rFonts w:hint="default" w:ascii="Times New Roman" w:hAnsi="Times New Roman" w:cs="Times New Roman"/>
                <w:color w:val="auto"/>
                <w:sz w:val="24"/>
                <w:szCs w:val="24"/>
                <w:highlight w:val="none"/>
                <w:lang w:val="zh-CN" w:eastAsia="zh-CN"/>
              </w:rPr>
              <w:t>收集后，</w:t>
            </w:r>
            <w:r>
              <w:rPr>
                <w:rFonts w:hint="eastAsia" w:ascii="Times New Roman" w:hAnsi="Times New Roman" w:cs="Times New Roman"/>
                <w:color w:val="auto"/>
                <w:sz w:val="24"/>
                <w:szCs w:val="24"/>
                <w:highlight w:val="none"/>
                <w:lang w:val="zh-CN" w:eastAsia="zh-CN"/>
              </w:rPr>
              <w:t>通过</w:t>
            </w:r>
            <w:r>
              <w:rPr>
                <w:rFonts w:hint="default" w:ascii="Times New Roman" w:hAnsi="Times New Roman" w:cs="Times New Roman"/>
                <w:color w:val="auto"/>
                <w:sz w:val="24"/>
                <w:szCs w:val="24"/>
                <w:highlight w:val="none"/>
                <w:lang w:val="zh-CN" w:eastAsia="zh-CN"/>
              </w:rPr>
              <w:t>一套碱液喷淋洗涤塔废气治理设施处理，</w:t>
            </w:r>
            <w:r>
              <w:rPr>
                <w:rFonts w:hint="eastAsia" w:ascii="Times New Roman" w:hAnsi="Times New Roman" w:cs="Times New Roman"/>
                <w:color w:val="auto"/>
                <w:sz w:val="24"/>
                <w:szCs w:val="24"/>
                <w:highlight w:val="none"/>
                <w:lang w:val="zh-CN" w:eastAsia="zh-CN"/>
              </w:rPr>
              <w:t>后</w:t>
            </w:r>
            <w:r>
              <w:rPr>
                <w:rFonts w:hint="default" w:ascii="Times New Roman" w:hAnsi="Times New Roman" w:cs="Times New Roman"/>
                <w:color w:val="auto"/>
                <w:sz w:val="24"/>
                <w:szCs w:val="24"/>
                <w:highlight w:val="none"/>
                <w:lang w:val="zh-CN" w:eastAsia="zh-CN"/>
              </w:rPr>
              <w:t>经15m高排气筒（</w:t>
            </w:r>
            <w:r>
              <w:rPr>
                <w:rFonts w:hint="default" w:ascii="Times New Roman" w:hAnsi="Times New Roman" w:cs="Times New Roman"/>
                <w:color w:val="auto"/>
                <w:sz w:val="24"/>
                <w:szCs w:val="24"/>
                <w:highlight w:val="none"/>
                <w:lang w:val="en-US" w:eastAsia="zh-CN"/>
              </w:rPr>
              <w:t>DA002</w:t>
            </w:r>
            <w:r>
              <w:rPr>
                <w:rFonts w:hint="default" w:ascii="Times New Roman" w:hAnsi="Times New Roman" w:cs="Times New Roman"/>
                <w:color w:val="auto"/>
                <w:sz w:val="24"/>
                <w:szCs w:val="24"/>
                <w:highlight w:val="none"/>
                <w:lang w:val="zh-CN" w:eastAsia="zh-CN"/>
              </w:rPr>
              <w:t>）排放。</w:t>
            </w:r>
          </w:p>
          <w:p w14:paraId="01391E66">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蒙砂液配制过程中主要</w:t>
            </w:r>
            <w:r>
              <w:rPr>
                <w:rFonts w:hint="eastAsia" w:ascii="Times New Roman" w:hAnsi="Times New Roman" w:cs="Times New Roman"/>
                <w:color w:val="auto"/>
                <w:sz w:val="24"/>
                <w:szCs w:val="24"/>
                <w:highlight w:val="none"/>
                <w:lang w:val="zh-CN" w:eastAsia="zh-CN"/>
              </w:rPr>
              <w:t>进行</w:t>
            </w:r>
            <w:r>
              <w:rPr>
                <w:rFonts w:hint="default" w:ascii="Times New Roman" w:hAnsi="Times New Roman" w:cs="Times New Roman"/>
                <w:color w:val="auto"/>
                <w:sz w:val="24"/>
                <w:szCs w:val="24"/>
                <w:highlight w:val="none"/>
                <w:lang w:val="zh-CN" w:eastAsia="zh-CN"/>
              </w:rPr>
              <w:t>的化学反应如下：</w:t>
            </w:r>
          </w:p>
          <w:p w14:paraId="393F732C">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object>
                <v:shape id="_x0000_i1030" o:spt="75" type="#_x0000_t75" style="height:31.15pt;width:228.95pt;" o:ole="t" filled="f" o:preferrelative="t" stroked="f" coordsize="21600,21600">
                  <v:path/>
                  <v:fill on="f" focussize="0,0"/>
                  <v:stroke on="f"/>
                  <v:imagedata r:id="rId20" o:title=""/>
                  <o:lock v:ext="edit" aspectratio="f"/>
                  <w10:wrap type="none"/>
                  <w10:anchorlock/>
                </v:shape>
                <o:OLEObject Type="Embed" ProgID="Visio.Drawing.15" ShapeID="_x0000_i1030" DrawAspect="Content" ObjectID="_1468075730" r:id="rId19">
                  <o:LockedField>false</o:LockedField>
                </o:OLEObject>
              </w:object>
            </w:r>
          </w:p>
          <w:p w14:paraId="37F71F5E">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其中配制后的蒙砂液中HF有较强的挥发性。</w:t>
            </w:r>
          </w:p>
          <w:p w14:paraId="1C16584E">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b.蒙砂工艺</w:t>
            </w:r>
          </w:p>
          <w:p w14:paraId="0296D000">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蒙砂生产过程中主要的化学反应如下：</w:t>
            </w:r>
          </w:p>
          <w:p w14:paraId="601569C8">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SiO</w:t>
            </w:r>
            <w:r>
              <w:rPr>
                <w:rFonts w:hint="default" w:ascii="Times New Roman" w:hAnsi="Times New Roman" w:cs="Times New Roman"/>
                <w:color w:val="auto"/>
                <w:sz w:val="24"/>
                <w:szCs w:val="24"/>
                <w:highlight w:val="none"/>
                <w:vertAlign w:val="subscript"/>
                <w:lang w:val="zh-CN" w:eastAsia="zh-CN"/>
              </w:rPr>
              <w:t>2</w:t>
            </w:r>
            <w:r>
              <w:rPr>
                <w:rFonts w:hint="eastAsia" w:ascii="Times New Roman" w:hAnsi="Times New Roman" w:cs="Times New Roman"/>
                <w:color w:val="auto"/>
                <w:sz w:val="24"/>
                <w:szCs w:val="24"/>
                <w:highlight w:val="none"/>
                <w:vertAlign w:val="subscript"/>
                <w:lang w:val="en-US" w:eastAsia="zh-CN"/>
              </w:rPr>
              <w:t xml:space="preserve"> </w:t>
            </w:r>
            <w:r>
              <w:rPr>
                <w:rFonts w:hint="default" w:ascii="Times New Roman" w:hAnsi="Times New Roman"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zh-CN" w:eastAsia="zh-CN"/>
              </w:rPr>
              <w:t>4H</w:t>
            </w:r>
            <w:r>
              <w:rPr>
                <w:rFonts w:hint="eastAsia" w:ascii="Times New Roman" w:hAnsi="Times New Roman" w:cs="Times New Roman"/>
                <w:color w:val="auto"/>
                <w:sz w:val="24"/>
                <w:szCs w:val="24"/>
                <w:highlight w:val="none"/>
                <w:vertAlign w:val="superscript"/>
                <w:lang w:val="en-US" w:eastAsia="zh-CN"/>
              </w:rPr>
              <w:t xml:space="preserve">+ </w:t>
            </w:r>
            <w:r>
              <w:rPr>
                <w:rFonts w:hint="default" w:ascii="Times New Roman" w:hAnsi="Times New Roman"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zh-CN" w:eastAsia="zh-CN"/>
              </w:rPr>
              <w:t>4F</w:t>
            </w:r>
            <w:r>
              <w:rPr>
                <w:rFonts w:hint="eastAsia" w:ascii="Times New Roman" w:hAnsi="Times New Roman" w:cs="Times New Roman"/>
                <w:color w:val="auto"/>
                <w:sz w:val="24"/>
                <w:szCs w:val="24"/>
                <w:highlight w:val="none"/>
                <w:vertAlign w:val="superscript"/>
                <w:lang w:val="en-US" w:eastAsia="zh-CN"/>
              </w:rPr>
              <w:t xml:space="preserve">- </w:t>
            </w:r>
            <w:r>
              <w:rPr>
                <w:rFonts w:hint="default" w:ascii="Times New Roman" w:hAnsi="Times New Roman"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zh-CN" w:eastAsia="zh-CN"/>
              </w:rPr>
              <w:t>SiF</w:t>
            </w:r>
            <w:r>
              <w:rPr>
                <w:rFonts w:hint="default" w:ascii="Times New Roman" w:hAnsi="Times New Roman" w:cs="Times New Roman"/>
                <w:color w:val="auto"/>
                <w:sz w:val="24"/>
                <w:szCs w:val="24"/>
                <w:highlight w:val="none"/>
                <w:vertAlign w:val="subscript"/>
                <w:lang w:val="zh-CN" w:eastAsia="zh-CN"/>
              </w:rPr>
              <w:t>4</w:t>
            </w:r>
            <w:r>
              <w:rPr>
                <w:rFonts w:hint="eastAsia" w:ascii="Times New Roman" w:hAnsi="Times New Roman" w:cs="Times New Roman"/>
                <w:color w:val="auto"/>
                <w:sz w:val="24"/>
                <w:szCs w:val="24"/>
                <w:highlight w:val="none"/>
                <w:vertAlign w:val="subscript"/>
                <w:lang w:val="en-US" w:eastAsia="zh-CN"/>
              </w:rPr>
              <w:t xml:space="preserve"> </w:t>
            </w:r>
            <w:r>
              <w:rPr>
                <w:rFonts w:hint="default" w:ascii="Times New Roman" w:hAnsi="Times New Roman"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zh-CN" w:eastAsia="zh-CN"/>
              </w:rPr>
              <w:t>2H</w:t>
            </w:r>
            <w:r>
              <w:rPr>
                <w:rFonts w:hint="default" w:ascii="Times New Roman" w:hAnsi="Times New Roman" w:cs="Times New Roman"/>
                <w:color w:val="auto"/>
                <w:sz w:val="24"/>
                <w:szCs w:val="24"/>
                <w:highlight w:val="none"/>
                <w:vertAlign w:val="subscript"/>
                <w:lang w:val="zh-CN" w:eastAsia="zh-CN"/>
              </w:rPr>
              <w:t>2</w:t>
            </w:r>
            <w:r>
              <w:rPr>
                <w:rFonts w:hint="default" w:ascii="Times New Roman" w:hAnsi="Times New Roman" w:cs="Times New Roman"/>
                <w:color w:val="auto"/>
                <w:sz w:val="24"/>
                <w:szCs w:val="24"/>
                <w:highlight w:val="none"/>
                <w:lang w:val="zh-CN" w:eastAsia="zh-CN"/>
              </w:rPr>
              <w:t>O</w:t>
            </w:r>
          </w:p>
          <w:p w14:paraId="5EA545F8">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通过查阅相关的论文《高效玻璃蒙砂剂的制备》由江西省科学院袁菊如、徐国良、陈全庚等出版在江西化工2009年第3期，其中对生产过程中的废气专门进行分析，现摘录如下：</w:t>
            </w:r>
          </w:p>
          <w:p w14:paraId="633C0A7B">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SiF</w:t>
            </w:r>
            <w:r>
              <w:rPr>
                <w:rFonts w:hint="default" w:ascii="Times New Roman" w:hAnsi="Times New Roman" w:cs="Times New Roman"/>
                <w:color w:val="auto"/>
                <w:sz w:val="24"/>
                <w:szCs w:val="24"/>
                <w:highlight w:val="none"/>
                <w:vertAlign w:val="subscript"/>
                <w:lang w:val="zh-CN" w:eastAsia="zh-CN"/>
              </w:rPr>
              <w:t>4</w:t>
            </w:r>
            <w:r>
              <w:rPr>
                <w:rFonts w:hint="default" w:ascii="Times New Roman" w:hAnsi="Times New Roman" w:cs="Times New Roman"/>
                <w:color w:val="auto"/>
                <w:sz w:val="24"/>
                <w:szCs w:val="24"/>
                <w:highlight w:val="none"/>
                <w:lang w:val="zh-CN" w:eastAsia="zh-CN"/>
              </w:rPr>
              <w:t>在一般情况下是气态，但在溶液中，尚未挥发之前就会进一步酸解。反应式如下：</w:t>
            </w:r>
          </w:p>
          <w:p w14:paraId="672FC94B">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SiF</w:t>
            </w:r>
            <w:r>
              <w:rPr>
                <w:rFonts w:hint="default" w:ascii="Times New Roman" w:hAnsi="Times New Roman" w:cs="Times New Roman"/>
                <w:color w:val="auto"/>
                <w:sz w:val="24"/>
                <w:szCs w:val="24"/>
                <w:highlight w:val="none"/>
                <w:vertAlign w:val="subscript"/>
                <w:lang w:val="zh-CN" w:eastAsia="zh-CN"/>
              </w:rPr>
              <w:t>4</w:t>
            </w:r>
            <w:r>
              <w:rPr>
                <w:rFonts w:hint="eastAsia" w:ascii="Times New Roman" w:hAnsi="Times New Roman" w:cs="Times New Roman"/>
                <w:color w:val="auto"/>
                <w:sz w:val="24"/>
                <w:szCs w:val="24"/>
                <w:highlight w:val="none"/>
                <w:vertAlign w:val="subscript"/>
                <w:lang w:val="en-US" w:eastAsia="zh-CN"/>
              </w:rPr>
              <w:t xml:space="preserve"> </w:t>
            </w:r>
            <w:r>
              <w:rPr>
                <w:rFonts w:hint="default" w:ascii="Times New Roman" w:hAnsi="Times New Roman"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zh-CN" w:eastAsia="zh-CN"/>
              </w:rPr>
              <w:t>2H</w:t>
            </w:r>
            <w:r>
              <w:rPr>
                <w:rFonts w:hint="eastAsia" w:ascii="Times New Roman" w:hAnsi="Times New Roman" w:cs="Times New Roman"/>
                <w:color w:val="auto"/>
                <w:sz w:val="24"/>
                <w:szCs w:val="24"/>
                <w:highlight w:val="none"/>
                <w:vertAlign w:val="superscript"/>
                <w:lang w:val="en-US" w:eastAsia="zh-CN"/>
              </w:rPr>
              <w:t xml:space="preserve">+ </w:t>
            </w:r>
            <w:r>
              <w:rPr>
                <w:rFonts w:hint="eastAsia" w:ascii="Times New Roman" w:hAnsi="Times New Roman" w:cs="Times New Roman"/>
                <w:color w:val="auto"/>
                <w:sz w:val="24"/>
                <w:szCs w:val="24"/>
                <w:highlight w:val="none"/>
                <w:lang w:val="en-US" w:eastAsia="zh-CN"/>
              </w:rPr>
              <w:t>+ 2</w:t>
            </w:r>
            <w:r>
              <w:rPr>
                <w:rFonts w:hint="default" w:ascii="Times New Roman" w:hAnsi="Times New Roman" w:cs="Times New Roman"/>
                <w:color w:val="auto"/>
                <w:sz w:val="24"/>
                <w:szCs w:val="24"/>
                <w:highlight w:val="none"/>
                <w:lang w:val="zh-CN" w:eastAsia="zh-CN"/>
              </w:rPr>
              <w:t>F</w:t>
            </w:r>
            <w:r>
              <w:rPr>
                <w:rFonts w:hint="eastAsia" w:ascii="Times New Roman" w:hAnsi="Times New Roman" w:cs="Times New Roman"/>
                <w:color w:val="auto"/>
                <w:sz w:val="24"/>
                <w:szCs w:val="24"/>
                <w:highlight w:val="none"/>
                <w:vertAlign w:val="superscript"/>
                <w:lang w:val="en-US" w:eastAsia="zh-CN"/>
              </w:rPr>
              <w:t xml:space="preserve">- </w:t>
            </w:r>
            <w:r>
              <w:rPr>
                <w:rFonts w:hint="default" w:ascii="Times New Roman" w:hAnsi="Times New Roman"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zh-CN" w:eastAsia="zh-CN"/>
              </w:rPr>
              <w:t>H</w:t>
            </w:r>
            <w:r>
              <w:rPr>
                <w:rFonts w:hint="default" w:ascii="Times New Roman" w:hAnsi="Times New Roman" w:cs="Times New Roman"/>
                <w:color w:val="auto"/>
                <w:sz w:val="24"/>
                <w:szCs w:val="24"/>
                <w:highlight w:val="none"/>
                <w:vertAlign w:val="subscript"/>
                <w:lang w:val="zh-CN" w:eastAsia="zh-CN"/>
              </w:rPr>
              <w:t>2</w:t>
            </w:r>
            <w:r>
              <w:rPr>
                <w:rFonts w:hint="default" w:ascii="Times New Roman" w:hAnsi="Times New Roman" w:cs="Times New Roman"/>
                <w:color w:val="auto"/>
                <w:sz w:val="24"/>
                <w:szCs w:val="24"/>
                <w:highlight w:val="none"/>
                <w:lang w:val="zh-CN" w:eastAsia="zh-CN"/>
              </w:rPr>
              <w:t>SiF</w:t>
            </w:r>
            <w:r>
              <w:rPr>
                <w:rFonts w:hint="default" w:ascii="Times New Roman" w:hAnsi="Times New Roman" w:cs="Times New Roman"/>
                <w:color w:val="auto"/>
                <w:sz w:val="24"/>
                <w:szCs w:val="24"/>
                <w:highlight w:val="none"/>
                <w:vertAlign w:val="subscript"/>
                <w:lang w:val="zh-CN" w:eastAsia="zh-CN"/>
              </w:rPr>
              <w:t>6</w:t>
            </w:r>
          </w:p>
          <w:p w14:paraId="34B21A16">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zh-CN" w:eastAsia="zh-CN"/>
              </w:rPr>
              <w:t>即为玻璃的蒙砂过程。</w:t>
            </w:r>
          </w:p>
          <w:p w14:paraId="471CEDC6">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zh-CN" w:eastAsia="zh-CN"/>
              </w:rPr>
              <w:t>二</w:t>
            </w:r>
            <w:r>
              <w:rPr>
                <w:rFonts w:hint="default" w:ascii="Times New Roman" w:hAnsi="Times New Roman" w:cs="Times New Roman"/>
                <w:color w:val="auto"/>
                <w:sz w:val="24"/>
                <w:szCs w:val="24"/>
                <w:highlight w:val="none"/>
                <w:lang w:val="zh-CN" w:eastAsia="zh-CN"/>
              </w:rPr>
              <w:t>次</w:t>
            </w:r>
            <w:r>
              <w:rPr>
                <w:rFonts w:hint="eastAsia" w:ascii="Times New Roman" w:hAnsi="Times New Roman" w:cs="Times New Roman"/>
                <w:color w:val="auto"/>
                <w:sz w:val="24"/>
                <w:szCs w:val="24"/>
                <w:highlight w:val="none"/>
                <w:lang w:val="zh-CN" w:eastAsia="zh-CN"/>
              </w:rPr>
              <w:t>清</w:t>
            </w:r>
            <w:r>
              <w:rPr>
                <w:rFonts w:hint="default" w:ascii="Times New Roman" w:hAnsi="Times New Roman" w:cs="Times New Roman"/>
                <w:color w:val="auto"/>
                <w:sz w:val="24"/>
                <w:szCs w:val="24"/>
                <w:highlight w:val="none"/>
                <w:lang w:val="zh-CN" w:eastAsia="zh-CN"/>
              </w:rPr>
              <w:t>洗</w:t>
            </w:r>
          </w:p>
          <w:p w14:paraId="5952FDB7">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zh-CN" w:eastAsia="zh-CN"/>
              </w:rPr>
              <w:t>蒙砂后的玻璃经输送带进入</w:t>
            </w:r>
            <w:r>
              <w:rPr>
                <w:rFonts w:hint="eastAsia" w:ascii="Times New Roman" w:hAnsi="Times New Roman" w:cs="Times New Roman"/>
                <w:color w:val="auto"/>
                <w:sz w:val="24"/>
                <w:szCs w:val="24"/>
                <w:highlight w:val="none"/>
                <w:lang w:val="zh-CN" w:eastAsia="zh-CN"/>
              </w:rPr>
              <w:t>清洗机</w:t>
            </w:r>
            <w:r>
              <w:rPr>
                <w:rFonts w:hint="default" w:ascii="Times New Roman" w:hAnsi="Times New Roman" w:cs="Times New Roman"/>
                <w:color w:val="auto"/>
                <w:sz w:val="24"/>
                <w:szCs w:val="24"/>
                <w:highlight w:val="none"/>
                <w:lang w:val="zh-CN" w:eastAsia="zh-CN"/>
              </w:rPr>
              <w:t>进行</w:t>
            </w:r>
            <w:r>
              <w:rPr>
                <w:rFonts w:hint="eastAsia" w:ascii="Times New Roman" w:hAnsi="Times New Roman" w:cs="Times New Roman"/>
                <w:color w:val="auto"/>
                <w:sz w:val="24"/>
                <w:szCs w:val="24"/>
                <w:highlight w:val="none"/>
                <w:lang w:val="zh-CN" w:eastAsia="zh-CN"/>
              </w:rPr>
              <w:t>清洗，清洗方式为喷淋洗，洗</w:t>
            </w:r>
            <w:r>
              <w:rPr>
                <w:rFonts w:hint="default" w:ascii="Times New Roman" w:hAnsi="Times New Roman" w:cs="Times New Roman"/>
                <w:color w:val="auto"/>
                <w:sz w:val="24"/>
                <w:szCs w:val="24"/>
                <w:highlight w:val="none"/>
                <w:lang w:val="zh-CN" w:eastAsia="zh-CN"/>
              </w:rPr>
              <w:t>去玻璃表面附着的蒙砂液，确保产品的蒙砂质量及效果。</w:t>
            </w:r>
            <w:r>
              <w:rPr>
                <w:rFonts w:hint="eastAsia" w:cs="Times New Roman"/>
                <w:color w:val="auto"/>
                <w:sz w:val="24"/>
                <w:szCs w:val="24"/>
                <w:highlight w:val="none"/>
                <w:lang w:val="en-US" w:eastAsia="zh-CN"/>
              </w:rPr>
              <w:t>清洗机自带</w:t>
            </w:r>
            <w:r>
              <w:rPr>
                <w:rFonts w:hint="default" w:ascii="Times New Roman" w:hAnsi="Times New Roman" w:cs="Times New Roman"/>
                <w:color w:val="auto"/>
                <w:sz w:val="24"/>
                <w:szCs w:val="24"/>
                <w:highlight w:val="none"/>
                <w:lang w:val="en-US" w:eastAsia="zh-CN"/>
              </w:rPr>
              <w:t>2个2.1m×1.2m×0.6m</w:t>
            </w:r>
            <w:r>
              <w:rPr>
                <w:rFonts w:hint="eastAsia" w:cs="Times New Roman"/>
                <w:color w:val="auto"/>
                <w:sz w:val="24"/>
                <w:szCs w:val="24"/>
                <w:highlight w:val="none"/>
                <w:lang w:val="en-US" w:eastAsia="zh-CN"/>
              </w:rPr>
              <w:t>的循环水箱，分别用于第一次清洗过程的水循环和第二次清洗过程的水循环</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zh-CN" w:eastAsia="zh-CN"/>
              </w:rPr>
              <w:t>喷淋废水经清洗机自带的循环水箱收集后</w:t>
            </w:r>
            <w:r>
              <w:rPr>
                <w:rFonts w:hint="eastAsia" w:ascii="Times New Roman" w:hAnsi="Times New Roman" w:cs="Times New Roman"/>
                <w:color w:val="auto"/>
                <w:sz w:val="24"/>
                <w:szCs w:val="24"/>
                <w:highlight w:val="none"/>
                <w:lang w:val="en-US" w:eastAsia="zh-CN"/>
              </w:rPr>
              <w:t>循环使用</w:t>
            </w:r>
            <w:r>
              <w:rPr>
                <w:rFonts w:hint="eastAsia" w:ascii="Times New Roman" w:hAnsi="Times New Roman" w:cs="Times New Roman"/>
                <w:color w:val="auto"/>
                <w:sz w:val="24"/>
                <w:szCs w:val="24"/>
                <w:highlight w:val="none"/>
                <w:lang w:val="zh-CN" w:eastAsia="zh-CN"/>
              </w:rPr>
              <w:t>，</w:t>
            </w:r>
            <w:r>
              <w:rPr>
                <w:rFonts w:hint="eastAsia"/>
                <w:color w:val="auto"/>
                <w:sz w:val="24"/>
                <w:szCs w:val="24"/>
                <w:highlight w:val="none"/>
                <w:lang w:eastAsia="zh-CN"/>
              </w:rPr>
              <w:t>期间</w:t>
            </w:r>
            <w:r>
              <w:rPr>
                <w:rFonts w:ascii="Times New Roman" w:hAnsi="Times New Roman"/>
                <w:color w:val="auto"/>
                <w:sz w:val="24"/>
                <w:szCs w:val="24"/>
                <w:highlight w:val="none"/>
              </w:rPr>
              <w:t>有部分</w:t>
            </w:r>
            <w:r>
              <w:rPr>
                <w:rFonts w:hint="eastAsia"/>
                <w:color w:val="auto"/>
                <w:sz w:val="24"/>
                <w:szCs w:val="24"/>
                <w:highlight w:val="none"/>
                <w:lang w:eastAsia="zh-CN"/>
              </w:rPr>
              <w:t>水分</w:t>
            </w:r>
            <w:r>
              <w:rPr>
                <w:rFonts w:ascii="Times New Roman" w:hAnsi="Times New Roman"/>
                <w:color w:val="auto"/>
                <w:sz w:val="24"/>
                <w:szCs w:val="24"/>
                <w:highlight w:val="none"/>
              </w:rPr>
              <w:t>被玻璃带走</w:t>
            </w:r>
            <w:r>
              <w:rPr>
                <w:rFonts w:hint="eastAsia"/>
                <w:color w:val="auto"/>
                <w:sz w:val="24"/>
                <w:szCs w:val="24"/>
                <w:highlight w:val="none"/>
                <w:lang w:eastAsia="zh-CN"/>
              </w:rPr>
              <w:t>和</w:t>
            </w:r>
            <w:r>
              <w:rPr>
                <w:rFonts w:ascii="Times New Roman" w:hAnsi="Times New Roman"/>
                <w:color w:val="auto"/>
                <w:sz w:val="24"/>
                <w:szCs w:val="24"/>
                <w:highlight w:val="none"/>
              </w:rPr>
              <w:t>蒸发损耗，</w:t>
            </w:r>
            <w:r>
              <w:rPr>
                <w:rFonts w:hint="eastAsia" w:cs="Times New Roman"/>
                <w:color w:val="auto"/>
                <w:sz w:val="24"/>
                <w:szCs w:val="24"/>
                <w:highlight w:val="none"/>
                <w:lang w:val="en-US" w:eastAsia="zh-CN"/>
              </w:rPr>
              <w:t>损耗的弱酸液定期添加补充，约</w:t>
            </w:r>
            <w:r>
              <w:rPr>
                <w:rFonts w:hint="default" w:ascii="Times New Roman" w:hAnsi="Times New Roman" w:eastAsia="仿宋" w:cs="Times New Roman"/>
                <w:color w:val="auto"/>
                <w:sz w:val="24"/>
                <w:szCs w:val="24"/>
                <w:highlight w:val="none"/>
                <w:lang w:val="en-US" w:eastAsia="zh-CN"/>
              </w:rPr>
              <w:t>1</w:t>
            </w:r>
            <w:r>
              <w:rPr>
                <w:rFonts w:hint="eastAsia" w:cs="Times New Roman"/>
                <w:color w:val="auto"/>
                <w:sz w:val="24"/>
                <w:szCs w:val="24"/>
                <w:highlight w:val="none"/>
                <w:lang w:val="en-US" w:eastAsia="zh-CN"/>
              </w:rPr>
              <w:t>个月更换一次</w:t>
            </w:r>
            <w:r>
              <w:rPr>
                <w:rFonts w:hint="eastAsia" w:ascii="Times New Roman" w:hAnsi="Times New Roman" w:cs="Times New Roman"/>
                <w:color w:val="auto"/>
                <w:sz w:val="24"/>
                <w:szCs w:val="24"/>
                <w:highlight w:val="none"/>
                <w:lang w:val="zh-CN" w:eastAsia="zh-CN"/>
              </w:rPr>
              <w:t>。此工序清洗机运行时会产生噪声，</w:t>
            </w:r>
            <w:r>
              <w:rPr>
                <w:rFonts w:hint="eastAsia" w:ascii="Times New Roman" w:hAnsi="Times New Roman" w:cs="Times New Roman"/>
                <w:color w:val="auto"/>
                <w:sz w:val="24"/>
                <w:szCs w:val="24"/>
                <w:highlight w:val="none"/>
                <w:lang w:val="en-US" w:eastAsia="zh-CN"/>
              </w:rPr>
              <w:t>采取基础减震、厂房隔声、距离衰减的降噪措施；</w:t>
            </w:r>
            <w:r>
              <w:rPr>
                <w:rFonts w:hint="eastAsia" w:ascii="Times New Roman" w:hAnsi="Times New Roman" w:cs="Times New Roman"/>
                <w:color w:val="auto"/>
                <w:sz w:val="24"/>
                <w:szCs w:val="24"/>
                <w:highlight w:val="none"/>
                <w:lang w:val="zh-CN" w:eastAsia="zh-CN"/>
              </w:rPr>
              <w:t>循环水箱定期更换的废水经统一收集进入调节池、生产废水处理设施处理达标后回用于水洗补水，不外排</w:t>
            </w:r>
            <w:r>
              <w:rPr>
                <w:rFonts w:hint="eastAsia" w:ascii="Times New Roman" w:hAnsi="Times New Roman" w:cs="Times New Roman"/>
                <w:color w:val="auto"/>
                <w:sz w:val="24"/>
                <w:szCs w:val="24"/>
                <w:highlight w:val="none"/>
                <w:lang w:val="en-US" w:eastAsia="zh-CN"/>
              </w:rPr>
              <w:t>。</w:t>
            </w:r>
          </w:p>
          <w:p w14:paraId="772060D0">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zh-CN" w:eastAsia="zh-CN"/>
              </w:rPr>
              <w:t>烘干</w:t>
            </w:r>
          </w:p>
          <w:p w14:paraId="2277857C">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将水洗后的玻璃通过传送带输送至烘干部分，烘干部分为清洗机上自带功能，烘干为电加热，通过电吹风将玻璃表面上的水分蒸发带走，便于后续工艺处</w:t>
            </w:r>
            <w:r>
              <w:rPr>
                <w:rFonts w:hint="eastAsia" w:ascii="Times New Roman" w:hAnsi="Times New Roman" w:cs="Times New Roman"/>
                <w:color w:val="auto"/>
                <w:sz w:val="24"/>
                <w:szCs w:val="24"/>
                <w:highlight w:val="none"/>
                <w:lang w:val="zh-CN" w:eastAsia="zh-CN"/>
              </w:rPr>
              <w:t>理。此工序清洗机运行时会产生噪声，</w:t>
            </w:r>
            <w:r>
              <w:rPr>
                <w:rFonts w:hint="eastAsia" w:ascii="Times New Roman" w:hAnsi="Times New Roman" w:cs="Times New Roman"/>
                <w:color w:val="auto"/>
                <w:sz w:val="24"/>
                <w:szCs w:val="24"/>
                <w:highlight w:val="none"/>
                <w:lang w:val="en-US" w:eastAsia="zh-CN"/>
              </w:rPr>
              <w:t>采取基础减震、厂房隔声、距离衰减的降噪措施。</w:t>
            </w:r>
          </w:p>
          <w:p w14:paraId="2BD39042">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zh-CN" w:eastAsia="zh-CN"/>
              </w:rPr>
              <w:t>灯检、包装</w:t>
            </w:r>
          </w:p>
          <w:p w14:paraId="246C9193">
            <w:pPr>
              <w:pStyle w:val="15"/>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zh-CN" w:eastAsia="zh-CN"/>
              </w:rPr>
              <w:t>烘干后的玻璃经传送带输送至灯检处，进行检验。灯检后的玻璃通过自动下片机脱离清洗机后，将合格产品进行包装上架，入库待售</w:t>
            </w:r>
            <w:r>
              <w:rPr>
                <w:rFonts w:hint="default" w:ascii="Times New Roman" w:hAnsi="Times New Roman"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zh-CN" w:eastAsia="zh-CN"/>
              </w:rPr>
              <w:t>灯检过程会产生不合格产品，</w:t>
            </w:r>
            <w:r>
              <w:rPr>
                <w:rFonts w:hint="default" w:ascii="Times New Roman" w:hAnsi="Times New Roman" w:eastAsia="宋体" w:cs="Times New Roman"/>
                <w:b w:val="0"/>
                <w:bCs/>
                <w:color w:val="auto"/>
                <w:kern w:val="0"/>
                <w:sz w:val="24"/>
                <w:szCs w:val="24"/>
                <w:highlight w:val="none"/>
                <w:lang w:val="en-US" w:eastAsia="zh-CN" w:bidi="ar"/>
              </w:rPr>
              <w:t>经收集后全部暂存于一般固废暂存处，后定期出售给废玻璃回收商</w:t>
            </w:r>
            <w:r>
              <w:rPr>
                <w:rFonts w:hint="eastAsia" w:ascii="Times New Roman" w:hAnsi="Times New Roman" w:cs="Times New Roman"/>
                <w:color w:val="auto"/>
                <w:sz w:val="24"/>
                <w:szCs w:val="24"/>
                <w:highlight w:val="none"/>
                <w:lang w:val="zh-CN" w:eastAsia="zh-CN"/>
              </w:rPr>
              <w:t>；包装过程会产生废包装材料，废包装材料收集后暂存于一般固废暂存处，定期外售</w:t>
            </w:r>
            <w:r>
              <w:rPr>
                <w:rFonts w:hint="default" w:ascii="Times New Roman" w:hAnsi="Times New Roman" w:eastAsia="宋体" w:cs="Times New Roman"/>
                <w:b w:val="0"/>
                <w:bCs/>
                <w:color w:val="auto"/>
                <w:sz w:val="24"/>
                <w:szCs w:val="24"/>
                <w:highlight w:val="none"/>
                <w:lang w:val="en-US" w:eastAsia="zh-CN"/>
              </w:rPr>
              <w:t>废品收购站</w:t>
            </w:r>
            <w:r>
              <w:rPr>
                <w:rFonts w:hint="eastAsia" w:ascii="Times New Roman" w:hAnsi="Times New Roman" w:cs="Times New Roman"/>
                <w:color w:val="auto"/>
                <w:sz w:val="24"/>
                <w:szCs w:val="24"/>
                <w:highlight w:val="none"/>
                <w:lang w:val="zh-CN" w:eastAsia="zh-CN"/>
              </w:rPr>
              <w:t>。</w:t>
            </w:r>
          </w:p>
          <w:p w14:paraId="61E904BF">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color w:val="auto"/>
                <w:sz w:val="24"/>
                <w:szCs w:val="24"/>
                <w:highlight w:val="none"/>
                <w:lang w:val="en-US" w:eastAsia="zh-CN"/>
              </w:rPr>
              <w:t>（2）钢化玻璃生产工艺流程及产污节点图</w:t>
            </w:r>
          </w:p>
          <w:p w14:paraId="51C3D4AA">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object>
                <v:shape id="_x0000_i1031" o:spt="75" type="#_x0000_t75" style="height:148.55pt;width:189.8pt;" o:ole="t" filled="f" o:preferrelative="t" stroked="f" coordsize="21600,21600">
                  <v:path/>
                  <v:fill on="f" focussize="0,0"/>
                  <v:stroke on="f"/>
                  <v:imagedata r:id="rId22" o:title=""/>
                  <o:lock v:ext="edit" aspectratio="f"/>
                  <w10:wrap type="none"/>
                  <w10:anchorlock/>
                </v:shape>
                <o:OLEObject Type="Embed" ProgID="Visio.Drawing.15" ShapeID="_x0000_i1031" DrawAspect="Content" ObjectID="_1468075731" r:id="rId21">
                  <o:LockedField>false</o:LockedField>
                </o:OLEObject>
              </w:object>
            </w:r>
          </w:p>
          <w:p w14:paraId="09DF3530">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图2-7  钢化玻璃生产工艺流程及产污节点图</w:t>
            </w:r>
          </w:p>
          <w:p w14:paraId="5F3A279F">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工艺流程描述：</w:t>
            </w:r>
          </w:p>
          <w:p w14:paraId="74B05896">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本项目</w:t>
            </w:r>
            <w:r>
              <w:rPr>
                <w:rFonts w:hint="eastAsia" w:ascii="Times New Roman" w:hAnsi="Times New Roman" w:cs="Times New Roman"/>
                <w:color w:val="auto"/>
                <w:sz w:val="24"/>
                <w:szCs w:val="24"/>
                <w:highlight w:val="none"/>
                <w:lang w:val="en-US" w:eastAsia="zh-CN"/>
              </w:rPr>
              <w:t>钢化玻璃</w:t>
            </w:r>
            <w:r>
              <w:rPr>
                <w:rFonts w:hint="default" w:ascii="Times New Roman" w:hAnsi="Times New Roman" w:cs="Times New Roman"/>
                <w:color w:val="auto"/>
                <w:sz w:val="24"/>
                <w:szCs w:val="24"/>
                <w:highlight w:val="none"/>
                <w:lang w:val="zh-CN" w:eastAsia="zh-CN"/>
              </w:rPr>
              <w:t>生产工艺包括</w:t>
            </w:r>
            <w:r>
              <w:rPr>
                <w:rFonts w:hint="eastAsia" w:ascii="Times New Roman" w:hAnsi="Times New Roman" w:cs="Times New Roman"/>
                <w:color w:val="auto"/>
                <w:sz w:val="24"/>
                <w:szCs w:val="24"/>
                <w:highlight w:val="none"/>
                <w:lang w:val="en-US" w:eastAsia="zh-CN"/>
              </w:rPr>
              <w:t>切割、磨边清洗、玻璃钢化加热、风机降温</w:t>
            </w:r>
            <w:r>
              <w:rPr>
                <w:rFonts w:hint="default" w:ascii="Times New Roman" w:hAnsi="Times New Roman" w:cs="Times New Roman"/>
                <w:color w:val="auto"/>
                <w:sz w:val="24"/>
                <w:szCs w:val="24"/>
                <w:highlight w:val="none"/>
                <w:lang w:val="zh-CN" w:eastAsia="zh-CN"/>
              </w:rPr>
              <w:t>。</w:t>
            </w:r>
          </w:p>
          <w:p w14:paraId="0A9D1471">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1）切割</w:t>
            </w:r>
          </w:p>
          <w:p w14:paraId="71A527C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将玻璃原片运输至自动切割床，使用玻璃刀在玻璃表面制造划痕，造成应力集中，然后两端施加外力，从而裂片。此过程主要产生噪声、废弃玻璃和边角料，废弃玻璃和边角料</w:t>
            </w:r>
            <w:r>
              <w:rPr>
                <w:rFonts w:hint="default" w:ascii="Times New Roman" w:hAnsi="Times New Roman" w:eastAsia="宋体" w:cs="Times New Roman"/>
                <w:b w:val="0"/>
                <w:bCs/>
                <w:color w:val="auto"/>
                <w:kern w:val="0"/>
                <w:sz w:val="24"/>
                <w:szCs w:val="24"/>
                <w:highlight w:val="none"/>
                <w:lang w:val="en-US" w:eastAsia="zh-CN" w:bidi="ar"/>
              </w:rPr>
              <w:t>经碎玻璃收集箱收集后全部暂存于一般固废暂存处，后定期出售给废玻璃回收商。</w:t>
            </w:r>
          </w:p>
          <w:p w14:paraId="14E0127B">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2）磨边清洗</w:t>
            </w:r>
          </w:p>
          <w:p w14:paraId="1281485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切割后需对玻璃四周进行打磨，以保证产品的使用要求，打磨过程中为了防止砂轮过热，需要用水对砂轮进行直接冷却，建设方采购的磨边机在砂轮上方设置有自动淋水口，当磨边设备正在生产时，自动淋水口将一定流量的水沿砂轮移动杆流入砂轮与玻璃接触部位进行降温，同时也可减小磨边粉尘的产生量，磨边后的玻璃将通过磨边机自带的清洗设备进行清洗，清洗过程中无需使用清洗剂，主要为用清水冲洗掉玻璃表面的玻璃粉尘。磨边清洗过程中产生的生产废水经</w:t>
            </w:r>
            <w:r>
              <w:rPr>
                <w:rFonts w:ascii="Times New Roman" w:hAnsi="Times New Roman"/>
                <w:color w:val="auto"/>
                <w:sz w:val="24"/>
                <w:szCs w:val="24"/>
                <w:highlight w:val="none"/>
              </w:rPr>
              <w:t>沉淀</w:t>
            </w:r>
            <w:r>
              <w:rPr>
                <w:rFonts w:hint="eastAsia" w:ascii="Times New Roman" w:hAnsi="Times New Roman" w:eastAsia="宋体" w:cs="Times New Roman"/>
                <w:color w:val="auto"/>
                <w:sz w:val="24"/>
                <w:szCs w:val="24"/>
                <w:highlight w:val="none"/>
                <w:lang w:val="en-US" w:eastAsia="zh-CN"/>
              </w:rPr>
              <w:t>循环系统沉淀后回用。该过程会产生噪声和沉淀池中的沉淀物（主要为玻璃碎屑），沉淀后的玻璃碎屑定期打捞，经碎玻璃收集箱收集后暂存于一般固废暂存处，后定期外售废品收购站</w:t>
            </w:r>
            <w:r>
              <w:rPr>
                <w:rFonts w:hint="eastAsia" w:cs="Times New Roman"/>
                <w:color w:val="auto"/>
                <w:sz w:val="24"/>
                <w:szCs w:val="24"/>
                <w:highlight w:val="none"/>
                <w:lang w:val="en-US" w:eastAsia="zh-CN"/>
              </w:rPr>
              <w:t>。</w:t>
            </w:r>
          </w:p>
          <w:p w14:paraId="1A367E8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3）钢化加热、冷风处理</w:t>
            </w:r>
          </w:p>
          <w:p w14:paraId="1D025B27">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玻璃钢化工序由电加热和快速冷却两部分组成。根据工艺，将清洗后的玻璃 送至钢化炉进行加热钢化处理，从而能提高玻璃的强度，承载能力，增强玻璃自身抗风压性、寒暑性、冲击性等。钢化炉工作原理为：通过对玻璃原片进行加热、而后再急冷的技术处理，使冷却后的玻璃表层形成</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"https://baike.baidu.com/item/%E5%8E%8B%E5%BA%94%E5%8A%9B"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压应力</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，玻璃内部形成</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"https://baike.baidu.com/item/%E5%BC%A0%E5%BA%94%E5%8A%9B"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张应力</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 从而达到提高玻璃强度，使普通</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"https://baike.baidu.com/item/%E9%80%80%E7%81%AB%E7%8E%BB%E7%92%83"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退火玻璃</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成为</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"https://baike.baidu.com/item/%E9%92%A2%E5%8C%96%E7%8E%BB%E7%92%83"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钢化玻璃</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。根据玻璃的厚度控制加热钢化的时间，采用电加热至700℃，刚好到玻璃软化点，加热时间一般为2～5 分钟，然后出炉经多头喷嘴向玻璃两面喷吹空气，使之迅速地、均匀地冷却，当冷却至室温时，就形成了高强度的钢化玻璃。钢化工序属于物理反应，无化学反应产生，该过程采用电加热，不会产生废气污染物，此过程主要产生噪声。</w:t>
            </w:r>
          </w:p>
          <w:p w14:paraId="1E1BACCC">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4）成品包装</w:t>
            </w:r>
          </w:p>
          <w:p w14:paraId="4D587D13">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将制造完成的钢化玻璃</w:t>
            </w:r>
            <w:r>
              <w:rPr>
                <w:rFonts w:hint="eastAsia" w:ascii="Times New Roman" w:hAnsi="Times New Roman" w:cs="Times New Roman"/>
                <w:color w:val="auto"/>
                <w:sz w:val="24"/>
                <w:szCs w:val="24"/>
                <w:highlight w:val="none"/>
                <w:lang w:val="zh-CN" w:eastAsia="zh-CN"/>
              </w:rPr>
              <w:t>进行包装上架，入库待售</w:t>
            </w:r>
            <w:r>
              <w:rPr>
                <w:rFonts w:hint="default" w:ascii="Times New Roman" w:hAnsi="Times New Roman"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zh-CN" w:eastAsia="zh-CN"/>
              </w:rPr>
              <w:t>此包装过程会产生废包装材料，废包装材料</w:t>
            </w:r>
            <w:r>
              <w:rPr>
                <w:rFonts w:hint="default" w:ascii="Times New Roman" w:hAnsi="Times New Roman" w:eastAsia="宋体" w:cs="Times New Roman"/>
                <w:b w:val="0"/>
                <w:bCs/>
                <w:color w:val="auto"/>
                <w:sz w:val="24"/>
                <w:szCs w:val="24"/>
                <w:highlight w:val="none"/>
                <w:lang w:val="en-US" w:eastAsia="zh-CN"/>
              </w:rPr>
              <w:t>收集后暂存于一般固废暂存处，定期外售废品收购站。</w:t>
            </w:r>
          </w:p>
          <w:p w14:paraId="1A451238">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color w:val="auto"/>
                <w:sz w:val="24"/>
                <w:szCs w:val="24"/>
                <w:highlight w:val="none"/>
                <w:lang w:val="en-US" w:eastAsia="zh-CN"/>
              </w:rPr>
              <w:t>（3）防火玻璃生产工艺流程及产污节点图</w:t>
            </w:r>
          </w:p>
          <w:p w14:paraId="2E168CBA">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object>
                <v:shape id="_x0000_i1032" o:spt="75" type="#_x0000_t75" style="height:195.8pt;width:207pt;" o:ole="t" filled="f" o:preferrelative="t" stroked="f" coordsize="21600,21600">
                  <v:path/>
                  <v:fill on="f" focussize="0,0"/>
                  <v:stroke on="f"/>
                  <v:imagedata r:id="rId24" o:title=""/>
                  <o:lock v:ext="edit" aspectratio="f"/>
                  <w10:wrap type="none"/>
                  <w10:anchorlock/>
                </v:shape>
                <o:OLEObject Type="Embed" ProgID="Visio.Drawing.15" ShapeID="_x0000_i1032" DrawAspect="Content" ObjectID="_1468075732" r:id="rId23">
                  <o:LockedField>false</o:LockedField>
                </o:OLEObject>
              </w:object>
            </w:r>
          </w:p>
          <w:p w14:paraId="0B3738A3">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图2-8  防火玻璃生产工艺流程及产污节点图</w:t>
            </w:r>
          </w:p>
          <w:p w14:paraId="57793B4B">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工艺流程描述：</w:t>
            </w:r>
          </w:p>
          <w:p w14:paraId="764294AF">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本项目</w:t>
            </w:r>
            <w:r>
              <w:rPr>
                <w:rFonts w:hint="eastAsia" w:ascii="Times New Roman" w:hAnsi="Times New Roman" w:cs="Times New Roman"/>
                <w:color w:val="auto"/>
                <w:sz w:val="24"/>
                <w:szCs w:val="24"/>
                <w:highlight w:val="none"/>
                <w:lang w:val="en-US" w:eastAsia="zh-CN"/>
              </w:rPr>
              <w:t>防火玻璃</w:t>
            </w:r>
            <w:r>
              <w:rPr>
                <w:rFonts w:hint="default" w:ascii="Times New Roman" w:hAnsi="Times New Roman" w:cs="Times New Roman"/>
                <w:color w:val="auto"/>
                <w:sz w:val="24"/>
                <w:szCs w:val="24"/>
                <w:highlight w:val="none"/>
                <w:lang w:val="zh-CN" w:eastAsia="zh-CN"/>
              </w:rPr>
              <w:t>生产工艺包括</w:t>
            </w:r>
            <w:r>
              <w:rPr>
                <w:rFonts w:hint="eastAsia" w:ascii="Times New Roman" w:hAnsi="Times New Roman" w:cs="Times New Roman"/>
                <w:color w:val="auto"/>
                <w:sz w:val="24"/>
                <w:szCs w:val="24"/>
                <w:highlight w:val="none"/>
                <w:lang w:val="en-US" w:eastAsia="zh-CN"/>
              </w:rPr>
              <w:t>切割、磨边清洗、烘干、喷防火液、玻璃钢化加热、风机降温</w:t>
            </w:r>
            <w:r>
              <w:rPr>
                <w:rFonts w:hint="default" w:ascii="Times New Roman" w:hAnsi="Times New Roman" w:cs="Times New Roman"/>
                <w:color w:val="auto"/>
                <w:sz w:val="24"/>
                <w:szCs w:val="24"/>
                <w:highlight w:val="none"/>
                <w:lang w:val="zh-CN" w:eastAsia="zh-CN"/>
              </w:rPr>
              <w:t>。</w:t>
            </w:r>
          </w:p>
          <w:bookmarkEnd w:id="22"/>
          <w:p w14:paraId="7C14C742">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1）切割</w:t>
            </w:r>
          </w:p>
          <w:p w14:paraId="7D58621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将玻璃原片运输至自动切割床，使用玻璃刀在玻璃表面制造划痕，造成应力集中，然后两端施加外力，从而裂片。此过程主要产生噪声、废弃玻璃和边角料，废弃玻璃和边角料</w:t>
            </w:r>
            <w:r>
              <w:rPr>
                <w:rFonts w:hint="default" w:ascii="Times New Roman" w:hAnsi="Times New Roman" w:eastAsia="宋体" w:cs="Times New Roman"/>
                <w:b w:val="0"/>
                <w:bCs/>
                <w:color w:val="auto"/>
                <w:kern w:val="0"/>
                <w:sz w:val="24"/>
                <w:szCs w:val="24"/>
                <w:highlight w:val="none"/>
                <w:lang w:val="en-US" w:eastAsia="zh-CN" w:bidi="ar"/>
              </w:rPr>
              <w:t>经碎玻璃收集箱收集后全部暂存于一般固废暂存处，后定期出售给废玻璃回收商。</w:t>
            </w:r>
          </w:p>
          <w:p w14:paraId="7C7D33D9">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2）磨边清洗</w:t>
            </w:r>
          </w:p>
          <w:p w14:paraId="1AC204B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zh-CN" w:eastAsia="zh-CN" w:bidi="ar"/>
              </w:rPr>
            </w:pPr>
            <w:r>
              <w:rPr>
                <w:rFonts w:hint="eastAsia" w:ascii="Times New Roman" w:hAnsi="Times New Roman" w:cs="Times New Roman"/>
                <w:color w:val="auto"/>
                <w:sz w:val="24"/>
                <w:szCs w:val="24"/>
                <w:highlight w:val="none"/>
                <w:lang w:val="en-US" w:eastAsia="zh-CN"/>
              </w:rPr>
              <w:t>切割后需对玻璃四周进行打磨，以保证产品的使用要求，打磨过程中为了防止砂轮过热，需要用水对砂轮进行直接冷却，建设方采购的磨边机在砂轮上方设置有自动淋水口，当磨边设备正在生产时，自动淋水口将一定流量的水沿砂轮移动杆流入砂轮与玻璃接触部位进行降温，同时也可减小磨边粉尘的产生量，磨边后的玻璃将通过磨边机自带的清洗设备进行清洗，清洗过程中无需使用清洗剂，主要为用清水冲洗掉玻璃表面的玻璃粉尘。磨边清洗过程中产生的生产废水经</w:t>
            </w:r>
            <w:r>
              <w:rPr>
                <w:rFonts w:ascii="Times New Roman" w:hAnsi="Times New Roman"/>
                <w:color w:val="auto"/>
                <w:sz w:val="24"/>
                <w:szCs w:val="24"/>
                <w:highlight w:val="none"/>
              </w:rPr>
              <w:t>沉淀循环系统</w:t>
            </w:r>
            <w:r>
              <w:rPr>
                <w:rFonts w:hint="eastAsia" w:ascii="Times New Roman" w:hAnsi="Times New Roman" w:cs="Times New Roman"/>
                <w:color w:val="auto"/>
                <w:sz w:val="24"/>
                <w:szCs w:val="24"/>
                <w:highlight w:val="none"/>
                <w:lang w:val="en-US" w:eastAsia="zh-CN"/>
              </w:rPr>
              <w:t>沉淀后回用。该过程会产生噪声和沉淀池中的沉淀物（主要为玻璃碎屑），</w:t>
            </w:r>
            <w:r>
              <w:rPr>
                <w:rFonts w:hint="eastAsia" w:ascii="Times New Roman" w:hAnsi="Times New Roman" w:eastAsia="宋体" w:cs="Times New Roman"/>
                <w:color w:val="auto"/>
                <w:sz w:val="24"/>
                <w:szCs w:val="24"/>
                <w:highlight w:val="none"/>
                <w:lang w:val="en-US" w:eastAsia="zh-CN"/>
              </w:rPr>
              <w:t>沉淀后的玻璃碎屑定期打捞，经碎玻璃收集箱收集后暂存于一般固废暂存处，后定期外售废品收购站</w:t>
            </w:r>
            <w:r>
              <w:rPr>
                <w:rFonts w:hint="eastAsia" w:cs="Times New Roman"/>
                <w:color w:val="auto"/>
                <w:sz w:val="24"/>
                <w:szCs w:val="24"/>
                <w:highlight w:val="none"/>
                <w:lang w:val="en-US" w:eastAsia="zh-CN"/>
              </w:rPr>
              <w:t>。</w:t>
            </w:r>
          </w:p>
          <w:p w14:paraId="2C270600">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 3）烘干</w:t>
            </w:r>
          </w:p>
          <w:p w14:paraId="42A1ADF6">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zh-CN" w:eastAsia="zh-CN"/>
              </w:rPr>
              <w:t>将</w:t>
            </w:r>
            <w:r>
              <w:rPr>
                <w:rFonts w:hint="default" w:ascii="Times New Roman" w:hAnsi="Times New Roman" w:cs="Times New Roman"/>
                <w:color w:val="auto"/>
                <w:sz w:val="24"/>
                <w:szCs w:val="24"/>
                <w:highlight w:val="none"/>
                <w:lang w:val="zh-CN" w:eastAsia="zh-CN"/>
              </w:rPr>
              <w:t>清洗干净的玻璃经风干机烘干玻璃表面水分</w:t>
            </w:r>
            <w:r>
              <w:rPr>
                <w:rFonts w:hint="eastAsia" w:ascii="Times New Roman" w:hAnsi="Times New Roman" w:cs="Times New Roman"/>
                <w:color w:val="auto"/>
                <w:sz w:val="24"/>
                <w:szCs w:val="24"/>
                <w:highlight w:val="none"/>
                <w:lang w:val="zh-CN" w:eastAsia="zh-CN"/>
              </w:rPr>
              <w:t>。该烘干过程会产生噪声。</w:t>
            </w:r>
          </w:p>
          <w:p w14:paraId="0FFB08E7">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zh-CN" w:eastAsia="zh-CN"/>
              </w:rPr>
              <w:t>）喷防火液</w:t>
            </w:r>
          </w:p>
          <w:p w14:paraId="7D46AEE0">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zh-CN" w:eastAsia="zh-CN"/>
              </w:rPr>
              <w:t>将玻璃竖立在玻璃架上，对玻璃进行喷防火液（防</w:t>
            </w:r>
            <w:r>
              <w:rPr>
                <w:rFonts w:hint="eastAsia" w:ascii="Times New Roman" w:hAnsi="Times New Roman" w:cs="Times New Roman"/>
                <w:color w:val="auto"/>
                <w:sz w:val="24"/>
                <w:szCs w:val="24"/>
                <w:highlight w:val="none"/>
                <w:lang w:val="zh-CN" w:eastAsia="zh-CN"/>
              </w:rPr>
              <w:t>火</w:t>
            </w:r>
            <w:r>
              <w:rPr>
                <w:rFonts w:hint="default" w:ascii="Times New Roman" w:hAnsi="Times New Roman" w:cs="Times New Roman"/>
                <w:color w:val="auto"/>
                <w:sz w:val="24"/>
                <w:szCs w:val="24"/>
                <w:highlight w:val="none"/>
                <w:lang w:val="zh-CN" w:eastAsia="zh-CN"/>
              </w:rPr>
              <w:t>液喷壶选塑料喷壶），喷到表面呈均雾状即可。喷完一片玻璃后，在玻璃四个角放软木垫隔开，依次喷防火液。将喷好防火液的玻璃放置40分钟</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zh-CN" w:eastAsia="zh-CN"/>
              </w:rPr>
              <w:t>1.5个小时</w:t>
            </w:r>
            <w:r>
              <w:rPr>
                <w:rFonts w:hint="eastAsia" w:ascii="Times New Roman" w:hAnsi="Times New Roman" w:cs="Times New Roman"/>
                <w:color w:val="auto"/>
                <w:sz w:val="24"/>
                <w:szCs w:val="24"/>
                <w:highlight w:val="none"/>
                <w:lang w:val="zh-CN" w:eastAsia="zh-CN"/>
              </w:rPr>
              <w:t>进行自然固化</w:t>
            </w:r>
            <w:r>
              <w:rPr>
                <w:rFonts w:hint="default" w:ascii="Times New Roman" w:hAnsi="Times New Roman" w:cs="Times New Roman"/>
                <w:color w:val="auto"/>
                <w:sz w:val="24"/>
                <w:szCs w:val="24"/>
                <w:highlight w:val="none"/>
                <w:lang w:val="zh-CN" w:eastAsia="zh-CN"/>
              </w:rPr>
              <w:t>，目的在于</w:t>
            </w:r>
            <w:r>
              <w:rPr>
                <w:rFonts w:hint="default" w:ascii="Times New Roman" w:hAnsi="Times New Roman" w:eastAsia="宋体" w:cs="Times New Roman"/>
                <w:color w:val="auto"/>
                <w:sz w:val="24"/>
                <w:szCs w:val="24"/>
                <w:highlight w:val="none"/>
                <w:lang w:val="zh-CN" w:eastAsia="zh-CN"/>
              </w:rPr>
              <w:t>降低玻璃表面膨胀系数。</w:t>
            </w:r>
            <w:r>
              <w:rPr>
                <w:rFonts w:hint="eastAsia" w:ascii="Times New Roman" w:hAnsi="Times New Roman" w:cs="Times New Roman"/>
                <w:color w:val="auto"/>
                <w:sz w:val="24"/>
                <w:szCs w:val="24"/>
                <w:highlight w:val="none"/>
                <w:lang w:val="zh-CN" w:eastAsia="zh-CN"/>
              </w:rPr>
              <w:t>此过程使用</w:t>
            </w:r>
            <w:r>
              <w:rPr>
                <w:rFonts w:hint="eastAsia" w:ascii="Times New Roman" w:hAnsi="Times New Roman" w:eastAsia="宋体" w:cs="Times New Roman"/>
                <w:color w:val="auto"/>
                <w:sz w:val="24"/>
                <w:szCs w:val="24"/>
                <w:highlight w:val="none"/>
                <w:lang w:val="zh-CN" w:eastAsia="zh-CN"/>
              </w:rPr>
              <w:t>的防火液为企业外购</w:t>
            </w:r>
            <w:r>
              <w:rPr>
                <w:rFonts w:hint="eastAsia" w:ascii="Times New Roman" w:hAnsi="Times New Roman" w:cs="Times New Roman"/>
                <w:color w:val="auto"/>
                <w:sz w:val="24"/>
                <w:szCs w:val="24"/>
                <w:highlight w:val="none"/>
                <w:lang w:val="zh-CN" w:eastAsia="zh-CN"/>
              </w:rPr>
              <w:t>于北京虹升玻璃技术有限公司，因防火液为配方产品，主</w:t>
            </w:r>
            <w:r>
              <w:rPr>
                <w:rFonts w:hint="eastAsia" w:ascii="Times New Roman" w:hAnsi="Times New Roman" w:eastAsia="宋体" w:cs="Times New Roman"/>
                <w:color w:val="auto"/>
                <w:sz w:val="24"/>
                <w:szCs w:val="24"/>
                <w:highlight w:val="none"/>
                <w:lang w:val="zh-CN" w:eastAsia="zh-CN"/>
              </w:rPr>
              <w:t>要成分</w:t>
            </w:r>
            <w:r>
              <w:rPr>
                <w:rFonts w:hint="eastAsia" w:ascii="Times New Roman" w:hAnsi="Times New Roman" w:cs="Times New Roman"/>
                <w:color w:val="auto"/>
                <w:sz w:val="24"/>
                <w:szCs w:val="24"/>
                <w:highlight w:val="none"/>
                <w:lang w:val="zh-CN" w:eastAsia="zh-CN"/>
              </w:rPr>
              <w:t>涉密，相关技术报告及主要成分供货商不予提供，但供货商明确了该</w:t>
            </w:r>
            <w:r>
              <w:rPr>
                <w:rFonts w:hint="eastAsia" w:ascii="Times New Roman" w:hAnsi="Times New Roman" w:eastAsia="宋体" w:cs="Times New Roman"/>
                <w:color w:val="auto"/>
                <w:sz w:val="24"/>
                <w:highlight w:val="none"/>
                <w:lang w:val="en-US" w:eastAsia="zh-CN"/>
              </w:rPr>
              <w:t>防火液为无机产品，不含有</w:t>
            </w:r>
            <w:r>
              <w:rPr>
                <w:rFonts w:hint="default" w:ascii="Times New Roman" w:hAnsi="Times New Roman" w:eastAsia="宋体" w:cs="Times New Roman"/>
                <w:color w:val="auto"/>
                <w:sz w:val="24"/>
                <w:highlight w:val="none"/>
                <w:lang w:val="en-US" w:eastAsia="zh-CN"/>
              </w:rPr>
              <w:t>有机溶剂</w:t>
            </w:r>
            <w:r>
              <w:rPr>
                <w:rFonts w:hint="eastAsia" w:ascii="Times New Roman" w:hAnsi="Times New Roman" w:cs="Times New Roman"/>
                <w:color w:val="auto"/>
                <w:sz w:val="24"/>
                <w:highlight w:val="none"/>
                <w:lang w:val="en-US" w:eastAsia="zh-CN"/>
              </w:rPr>
              <w:t>及树脂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zh-CN" w:eastAsia="zh-CN"/>
              </w:rPr>
              <w:t>故此过程无相关的废气产生，仅产生少量的噪声</w:t>
            </w:r>
            <w:r>
              <w:rPr>
                <w:rFonts w:hint="eastAsia" w:ascii="Times New Roman" w:hAnsi="Times New Roman" w:eastAsia="宋体" w:cs="Times New Roman"/>
                <w:color w:val="auto"/>
                <w:sz w:val="24"/>
                <w:szCs w:val="24"/>
                <w:highlight w:val="none"/>
                <w:lang w:val="zh-CN" w:eastAsia="zh-CN"/>
              </w:rPr>
              <w:t>和</w:t>
            </w:r>
            <w:r>
              <w:rPr>
                <w:rFonts w:hint="eastAsia" w:ascii="Times New Roman" w:hAnsi="Times New Roman" w:cs="Times New Roman"/>
                <w:color w:val="auto"/>
                <w:sz w:val="24"/>
                <w:szCs w:val="24"/>
                <w:highlight w:val="none"/>
                <w:lang w:val="zh-CN" w:eastAsia="zh-CN"/>
              </w:rPr>
              <w:t>空</w:t>
            </w:r>
            <w:r>
              <w:rPr>
                <w:rFonts w:hint="eastAsia" w:ascii="Times New Roman" w:hAnsi="Times New Roman" w:eastAsia="宋体" w:cs="Times New Roman"/>
                <w:color w:val="auto"/>
                <w:sz w:val="24"/>
                <w:szCs w:val="24"/>
                <w:highlight w:val="none"/>
                <w:lang w:val="zh-CN" w:eastAsia="zh-CN"/>
              </w:rPr>
              <w:t>防火液桶。使用防火液产生的</w:t>
            </w:r>
            <w:r>
              <w:rPr>
                <w:rFonts w:hint="eastAsia" w:ascii="Times New Roman" w:hAnsi="Times New Roman" w:cs="Times New Roman"/>
                <w:color w:val="auto"/>
                <w:sz w:val="24"/>
                <w:szCs w:val="24"/>
                <w:highlight w:val="none"/>
                <w:lang w:val="zh-CN" w:eastAsia="zh-CN"/>
              </w:rPr>
              <w:t>空防火液</w:t>
            </w:r>
            <w:r>
              <w:rPr>
                <w:rFonts w:hint="eastAsia" w:ascii="Times New Roman" w:hAnsi="Times New Roman" w:eastAsia="宋体" w:cs="Times New Roman"/>
                <w:color w:val="auto"/>
                <w:sz w:val="24"/>
                <w:szCs w:val="24"/>
                <w:highlight w:val="none"/>
                <w:lang w:val="zh-CN" w:eastAsia="zh-CN"/>
              </w:rPr>
              <w:t>桶</w:t>
            </w:r>
            <w:r>
              <w:rPr>
                <w:rFonts w:hint="eastAsia" w:ascii="Times New Roman" w:hAnsi="Times New Roman" w:cs="Times New Roman"/>
                <w:color w:val="auto"/>
                <w:sz w:val="24"/>
                <w:szCs w:val="24"/>
                <w:highlight w:val="none"/>
                <w:lang w:val="en-US" w:eastAsia="zh-CN"/>
              </w:rPr>
              <w:t>为危险废物，收集后暂存于危险废物暂存间，由原料厂家定期回收。</w:t>
            </w:r>
          </w:p>
          <w:p w14:paraId="5DF8A1F2">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zh-CN" w:eastAsia="zh-CN"/>
              </w:rPr>
            </w:pPr>
            <w:r>
              <w:rPr>
                <w:rFonts w:hint="eastAsia" w:ascii="Times New Roman" w:hAnsi="Times New Roman" w:cs="Times New Roman"/>
                <w:color w:val="auto"/>
                <w:sz w:val="24"/>
                <w:szCs w:val="24"/>
                <w:highlight w:val="none"/>
                <w:lang w:val="en-US" w:eastAsia="zh-CN"/>
              </w:rPr>
              <w:t>5）钢化加热、冷风处理</w:t>
            </w:r>
          </w:p>
          <w:p w14:paraId="6E100867">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将喷涂后的玻璃送至钢化炉进行加热钢化处理，从而提高玻璃的强度，承载能力，增强玻璃自身抗风压性、寒暑性、冲击性等。该过程需</w:t>
            </w:r>
            <w:r>
              <w:rPr>
                <w:rFonts w:hint="eastAsia" w:ascii="Times New Roman" w:hAnsi="Times New Roman" w:cs="Times New Roman"/>
                <w:color w:val="auto"/>
                <w:sz w:val="24"/>
                <w:szCs w:val="24"/>
                <w:highlight w:val="none"/>
                <w:lang w:val="zh-CN" w:eastAsia="zh-CN"/>
              </w:rPr>
              <w:t>将玻璃</w:t>
            </w:r>
            <w:r>
              <w:rPr>
                <w:rFonts w:hint="default" w:ascii="Times New Roman" w:hAnsi="Times New Roman" w:cs="Times New Roman"/>
                <w:color w:val="auto"/>
                <w:sz w:val="24"/>
                <w:szCs w:val="24"/>
                <w:highlight w:val="none"/>
                <w:lang w:val="zh-CN" w:eastAsia="zh-CN"/>
              </w:rPr>
              <w:t>防火面朝上，风压加大60-100％（薄板，厚板），确保钢化玻璃表面颗粒度比普通玻璃小</w:t>
            </w:r>
            <w:r>
              <w:rPr>
                <w:rFonts w:hint="eastAsia" w:ascii="Times New Roman" w:hAnsi="Times New Roman" w:cs="Times New Roman"/>
                <w:color w:val="auto"/>
                <w:sz w:val="24"/>
                <w:szCs w:val="24"/>
                <w:highlight w:val="none"/>
                <w:lang w:val="en-US" w:eastAsia="zh-CN"/>
              </w:rPr>
              <w:t>。该钢化工序与钢化玻璃的一致，属于物理反应，无化学反应产生，该过程采用电加热，不会产生废气污染物，此过程主要产生噪声。</w:t>
            </w:r>
          </w:p>
          <w:p w14:paraId="52F4DB50">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4）成品包装</w:t>
            </w:r>
          </w:p>
          <w:p w14:paraId="3A8D4ECD">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将制造完成的防火玻璃</w:t>
            </w:r>
            <w:r>
              <w:rPr>
                <w:rFonts w:hint="eastAsia" w:ascii="Times New Roman" w:hAnsi="Times New Roman" w:cs="Times New Roman"/>
                <w:color w:val="auto"/>
                <w:sz w:val="24"/>
                <w:szCs w:val="24"/>
                <w:highlight w:val="none"/>
                <w:lang w:val="zh-CN" w:eastAsia="zh-CN"/>
              </w:rPr>
              <w:t>进行包装上架，入库待售</w:t>
            </w:r>
            <w:r>
              <w:rPr>
                <w:rFonts w:hint="default" w:ascii="Times New Roman" w:hAnsi="Times New Roman"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zh-CN" w:eastAsia="zh-CN"/>
              </w:rPr>
              <w:t>此包装过程会产生废包装材料，废包装材料</w:t>
            </w:r>
            <w:r>
              <w:rPr>
                <w:rFonts w:hint="default" w:ascii="Times New Roman" w:hAnsi="Times New Roman" w:eastAsia="宋体" w:cs="Times New Roman"/>
                <w:b w:val="0"/>
                <w:bCs/>
                <w:color w:val="auto"/>
                <w:sz w:val="24"/>
                <w:szCs w:val="24"/>
                <w:highlight w:val="none"/>
                <w:lang w:val="en-US" w:eastAsia="zh-CN"/>
              </w:rPr>
              <w:t>收集后暂存于一般固废暂存处，定期外售废品收购站。</w:t>
            </w:r>
          </w:p>
          <w:p w14:paraId="2295481E">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（4）全厂扩建完成后废气收集、处理工艺图</w:t>
            </w:r>
          </w:p>
          <w:p w14:paraId="3AB589E1">
            <w:pPr>
              <w:pStyle w:val="15"/>
              <w:keepNext w:val="0"/>
              <w:keepLines w:val="0"/>
              <w:pageBreakBefore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object>
                <v:shape id="_x0000_i1033" o:spt="75" type="#_x0000_t75" style="height:205.35pt;width:415.7pt;" o:ole="t" filled="f" o:preferrelative="t" stroked="f" coordsize="21600,21600">
                  <v:path/>
                  <v:fill on="f" focussize="0,0"/>
                  <v:stroke on="f"/>
                  <v:imagedata r:id="rId26" o:title=""/>
                  <o:lock v:ext="edit" aspectratio="f"/>
                  <w10:wrap type="none"/>
                  <w10:anchorlock/>
                </v:shape>
                <o:OLEObject Type="Embed" ProgID="Visio.Drawing.15" ShapeID="_x0000_i1033" DrawAspect="Content" ObjectID="_1468075733" r:id="rId25">
                  <o:LockedField>false</o:LockedField>
                </o:OLEObject>
              </w:object>
            </w:r>
          </w:p>
          <w:p w14:paraId="7D9CD0C6">
            <w:pPr>
              <w:pStyle w:val="15"/>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图2-9  全厂废气收集、处理工艺图</w:t>
            </w:r>
          </w:p>
          <w:p w14:paraId="49A1BD67">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2、运营期主要污染工序</w:t>
            </w:r>
          </w:p>
          <w:p w14:paraId="023D3C0E">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废气：有组织包括硫酸稀释过程产生的硫酸挥发废气、蒙砂液配制过程产生的配料废气、蒙砂过程产生的蒙砂废气；无组织包括未被封闭车间集气管道收集的硫酸挥发废气、配料废气和蒙砂废气。</w:t>
            </w:r>
          </w:p>
          <w:p w14:paraId="66F56021">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cs="Times New Roman"/>
                <w:color w:val="auto"/>
                <w:sz w:val="24"/>
                <w:szCs w:val="24"/>
                <w:highlight w:val="none"/>
                <w:lang w:val="en-US" w:eastAsia="zh-CN"/>
              </w:rPr>
              <w:t>废水：</w:t>
            </w:r>
            <w:r>
              <w:rPr>
                <w:rFonts w:hint="default" w:ascii="Times New Roman" w:hAnsi="Times New Roman" w:eastAsia="宋体" w:cs="Times New Roman"/>
                <w:color w:val="auto"/>
                <w:sz w:val="24"/>
                <w:highlight w:val="none"/>
                <w:lang w:val="en-US" w:eastAsia="zh-CN"/>
              </w:rPr>
              <w:t>食堂废水经隔油池处理后与</w:t>
            </w:r>
            <w:r>
              <w:rPr>
                <w:rFonts w:hint="eastAsia" w:cs="Times New Roman"/>
                <w:color w:val="auto"/>
                <w:sz w:val="24"/>
                <w:highlight w:val="none"/>
                <w:lang w:val="en-US" w:eastAsia="zh-CN"/>
              </w:rPr>
              <w:t>其他</w:t>
            </w:r>
            <w:r>
              <w:rPr>
                <w:rFonts w:hint="default" w:ascii="Times New Roman" w:hAnsi="Times New Roman" w:eastAsia="宋体" w:cs="Times New Roman"/>
                <w:color w:val="auto"/>
                <w:sz w:val="24"/>
                <w:highlight w:val="none"/>
                <w:lang w:val="en-US" w:eastAsia="zh-CN"/>
              </w:rPr>
              <w:t>生活污水</w:t>
            </w:r>
            <w:r>
              <w:rPr>
                <w:rFonts w:hint="eastAsia" w:cs="Times New Roman"/>
                <w:color w:val="auto"/>
                <w:sz w:val="24"/>
                <w:highlight w:val="none"/>
                <w:lang w:val="en-US" w:eastAsia="zh-CN"/>
              </w:rPr>
              <w:t>一并进入</w:t>
            </w:r>
            <w:r>
              <w:rPr>
                <w:rFonts w:hint="default" w:ascii="Times New Roman" w:hAnsi="Times New Roman" w:eastAsia="宋体" w:cs="Times New Roman"/>
                <w:color w:val="auto"/>
                <w:sz w:val="24"/>
                <w:highlight w:val="none"/>
                <w:lang w:val="en-US" w:eastAsia="zh-CN"/>
              </w:rPr>
              <w:t>化粪池预处理后，再进入</w:t>
            </w:r>
            <w:r>
              <w:rPr>
                <w:rFonts w:hint="eastAsia" w:cs="Times New Roman"/>
                <w:color w:val="auto"/>
                <w:sz w:val="24"/>
                <w:highlight w:val="none"/>
                <w:lang w:val="en-US" w:eastAsia="zh-CN"/>
              </w:rPr>
              <w:t>生活</w:t>
            </w:r>
            <w:r>
              <w:rPr>
                <w:rFonts w:hint="default" w:ascii="Times New Roman" w:hAnsi="Times New Roman" w:eastAsia="宋体" w:cs="Times New Roman"/>
                <w:color w:val="auto"/>
                <w:sz w:val="24"/>
                <w:highlight w:val="none"/>
                <w:lang w:val="en-US" w:eastAsia="zh-CN"/>
              </w:rPr>
              <w:t>污水处理</w:t>
            </w:r>
            <w:r>
              <w:rPr>
                <w:rFonts w:hint="eastAsia" w:cs="Times New Roman"/>
                <w:color w:val="auto"/>
                <w:sz w:val="24"/>
                <w:highlight w:val="none"/>
                <w:lang w:val="en-US" w:eastAsia="zh-CN"/>
              </w:rPr>
              <w:t>设施</w:t>
            </w:r>
            <w:r>
              <w:rPr>
                <w:rFonts w:hint="default" w:ascii="Times New Roman" w:hAnsi="Times New Roman" w:eastAsia="宋体" w:cs="Times New Roman"/>
                <w:color w:val="auto"/>
                <w:sz w:val="24"/>
                <w:highlight w:val="none"/>
                <w:lang w:val="en-US" w:eastAsia="zh-CN"/>
              </w:rPr>
              <w:t>处理</w:t>
            </w:r>
            <w:r>
              <w:rPr>
                <w:rFonts w:hint="eastAsia" w:cs="Times New Roman"/>
                <w:color w:val="auto"/>
                <w:sz w:val="24"/>
                <w:highlight w:val="none"/>
                <w:lang w:val="en-US" w:eastAsia="zh-CN"/>
              </w:rPr>
              <w:t>达</w:t>
            </w:r>
            <w:r>
              <w:rPr>
                <w:rFonts w:hint="eastAsia"/>
                <w:color w:val="auto"/>
                <w:sz w:val="24"/>
                <w:szCs w:val="24"/>
                <w:highlight w:val="none"/>
                <w:lang w:val="en-US" w:eastAsia="zh-CN"/>
              </w:rPr>
              <w:t>《城市污水再生利</w:t>
            </w:r>
            <w:r>
              <w:rPr>
                <w:rFonts w:hint="eastAsia" w:ascii="Times New Roman" w:hAnsi="Times New Roman" w:eastAsia="宋体" w:cs="Times New Roman"/>
                <w:color w:val="auto"/>
                <w:sz w:val="24"/>
                <w:szCs w:val="24"/>
                <w:highlight w:val="none"/>
                <w:lang w:val="en-US" w:eastAsia="zh-CN"/>
              </w:rPr>
              <w:t>用 城市杂用水水质》</w:t>
            </w:r>
            <w:r>
              <w:rPr>
                <w:rFonts w:hint="default" w:ascii="Times New Roman" w:hAnsi="Times New Roman" w:eastAsia="宋体" w:cs="Times New Roman"/>
                <w:color w:val="auto"/>
                <w:sz w:val="24"/>
                <w:szCs w:val="24"/>
                <w:highlight w:val="none"/>
                <w:lang w:val="en-US" w:eastAsia="zh-CN"/>
              </w:rPr>
              <w:t>（GB/T18920-2020）</w:t>
            </w:r>
            <w:r>
              <w:rPr>
                <w:rFonts w:hint="eastAsia" w:ascii="Times New Roman" w:hAnsi="Times New Roman" w:eastAsia="宋体" w:cs="Times New Roman"/>
                <w:color w:val="auto"/>
                <w:sz w:val="24"/>
                <w:szCs w:val="24"/>
                <w:highlight w:val="none"/>
                <w:lang w:val="en-US" w:eastAsia="zh-CN"/>
              </w:rPr>
              <w:t>中城市绿化、</w:t>
            </w:r>
            <w:r>
              <w:rPr>
                <w:rFonts w:hint="eastAsia" w:cs="Times New Roman"/>
                <w:color w:val="auto"/>
                <w:sz w:val="24"/>
                <w:szCs w:val="24"/>
                <w:highlight w:val="none"/>
                <w:lang w:val="en-US" w:eastAsia="zh-CN"/>
              </w:rPr>
              <w:t>道路广场浇洒</w:t>
            </w:r>
            <w:r>
              <w:rPr>
                <w:rFonts w:hint="eastAsia" w:ascii="Times New Roman" w:hAnsi="Times New Roman" w:eastAsia="宋体" w:cs="Times New Roman"/>
                <w:color w:val="auto"/>
                <w:sz w:val="24"/>
                <w:szCs w:val="24"/>
                <w:highlight w:val="none"/>
                <w:lang w:val="en-US" w:eastAsia="zh-CN"/>
              </w:rPr>
              <w:t>、消防、建筑施工标准后</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回</w:t>
            </w:r>
            <w:r>
              <w:rPr>
                <w:rFonts w:hint="eastAsia" w:ascii="Times New Roman" w:hAnsi="Times New Roman" w:eastAsia="宋体" w:cs="Times New Roman"/>
                <w:color w:val="auto"/>
                <w:sz w:val="24"/>
                <w:szCs w:val="24"/>
                <w:highlight w:val="none"/>
                <w:lang w:val="en-US" w:eastAsia="zh-CN"/>
              </w:rPr>
              <w:t>用于项目区绿化</w:t>
            </w:r>
            <w:r>
              <w:rPr>
                <w:rFonts w:hint="eastAsia" w:cs="Times New Roman"/>
                <w:color w:val="auto"/>
                <w:sz w:val="24"/>
                <w:szCs w:val="24"/>
                <w:highlight w:val="none"/>
                <w:lang w:val="en-US" w:eastAsia="zh-CN"/>
              </w:rPr>
              <w:t>和</w:t>
            </w:r>
            <w:r>
              <w:rPr>
                <w:rFonts w:hint="eastAsia" w:cs="Times New Roman"/>
                <w:bCs/>
                <w:color w:val="auto"/>
                <w:sz w:val="24"/>
                <w:szCs w:val="24"/>
                <w:highlight w:val="none"/>
                <w:lang w:val="en-US" w:eastAsia="zh-CN"/>
              </w:rPr>
              <w:t>道路广场浇洒</w:t>
            </w:r>
            <w:r>
              <w:rPr>
                <w:rFonts w:hint="eastAsia" w:ascii="Times New Roman" w:hAnsi="Times New Roman" w:eastAsia="宋体" w:cs="Times New Roman"/>
                <w:color w:val="auto"/>
                <w:sz w:val="24"/>
                <w:szCs w:val="24"/>
                <w:highlight w:val="none"/>
                <w:lang w:val="en-US" w:eastAsia="zh-CN"/>
              </w:rPr>
              <w:t>，不外排；</w:t>
            </w:r>
            <w:r>
              <w:rPr>
                <w:rFonts w:hint="default" w:ascii="Times New Roman" w:hAnsi="Times New Roman" w:eastAsia="宋体" w:cs="Times New Roman"/>
                <w:color w:val="auto"/>
                <w:sz w:val="24"/>
                <w:highlight w:val="none"/>
              </w:rPr>
              <w:t>生产过程</w:t>
            </w:r>
            <w:r>
              <w:rPr>
                <w:rFonts w:hint="eastAsia" w:cs="Times New Roman"/>
                <w:color w:val="auto"/>
                <w:sz w:val="24"/>
                <w:highlight w:val="none"/>
                <w:lang w:eastAsia="zh-CN"/>
              </w:rPr>
              <w:t>产生的弱酸清洗废液、预水洗废水、二次清洗废水、碱液喷淋洗涤废水</w:t>
            </w:r>
            <w:r>
              <w:rPr>
                <w:rFonts w:hint="default" w:ascii="Times New Roman" w:hAnsi="Times New Roman" w:eastAsia="宋体" w:cs="Times New Roman"/>
                <w:color w:val="auto"/>
                <w:sz w:val="24"/>
                <w:highlight w:val="none"/>
              </w:rPr>
              <w:t>经</w:t>
            </w:r>
            <w:r>
              <w:rPr>
                <w:rFonts w:hint="eastAsia" w:cs="Times New Roman"/>
                <w:color w:val="auto"/>
                <w:sz w:val="24"/>
                <w:highlight w:val="none"/>
                <w:lang w:eastAsia="zh-CN"/>
              </w:rPr>
              <w:t>收集后统一进入调节、池</w:t>
            </w:r>
            <w:r>
              <w:rPr>
                <w:rFonts w:hint="default" w:ascii="Times New Roman" w:hAnsi="Times New Roman" w:eastAsia="宋体" w:cs="Times New Roman"/>
                <w:color w:val="auto"/>
                <w:sz w:val="24"/>
                <w:highlight w:val="none"/>
              </w:rPr>
              <w:t>生产废水处理设施处理</w:t>
            </w:r>
            <w:r>
              <w:rPr>
                <w:rFonts w:hint="default" w:ascii="Times New Roman" w:hAnsi="Times New Roman" w:eastAsia="宋体" w:cs="Times New Roman"/>
                <w:color w:val="auto"/>
                <w:sz w:val="24"/>
                <w:highlight w:val="none"/>
                <w:lang w:val="en-US" w:eastAsia="zh-CN"/>
              </w:rPr>
              <w:t>达《城市污水再生利用 工业用水水质》（GB/T 19923-2005）</w:t>
            </w:r>
            <w:r>
              <w:rPr>
                <w:rFonts w:hint="eastAsia" w:ascii="Times New Roman" w:hAnsi="Times New Roman" w:cs="Times New Roman"/>
                <w:color w:val="auto"/>
                <w:sz w:val="24"/>
                <w:highlight w:val="none"/>
                <w:lang w:val="en-US" w:eastAsia="zh-CN"/>
              </w:rPr>
              <w:t>中的洗涤用水标准</w:t>
            </w:r>
            <w:r>
              <w:rPr>
                <w:rFonts w:hint="default" w:ascii="Times New Roman" w:hAnsi="Times New Roman" w:eastAsia="宋体" w:cs="Times New Roman"/>
                <w:color w:val="auto"/>
                <w:sz w:val="24"/>
                <w:highlight w:val="none"/>
              </w:rPr>
              <w:t>后回用</w:t>
            </w:r>
            <w:r>
              <w:rPr>
                <w:rFonts w:hint="eastAsia" w:ascii="Times New Roman" w:hAnsi="Times New Roman" w:cs="Times New Roman"/>
                <w:color w:val="auto"/>
                <w:sz w:val="24"/>
                <w:highlight w:val="none"/>
                <w:lang w:eastAsia="zh-CN"/>
              </w:rPr>
              <w:t>于水洗补水</w:t>
            </w:r>
            <w:r>
              <w:rPr>
                <w:rFonts w:hint="default" w:ascii="Times New Roman" w:hAnsi="Times New Roman" w:eastAsia="宋体" w:cs="Times New Roman"/>
                <w:color w:val="auto"/>
                <w:sz w:val="24"/>
                <w:highlight w:val="none"/>
              </w:rPr>
              <w:t>，不外排</w:t>
            </w:r>
            <w:r>
              <w:rPr>
                <w:rFonts w:hint="default" w:ascii="Times New Roman" w:hAnsi="Times New Roman" w:eastAsia="宋体" w:cs="Times New Roman"/>
                <w:color w:val="auto"/>
                <w:sz w:val="24"/>
                <w:highlight w:val="none"/>
                <w:lang w:eastAsia="zh-CN"/>
              </w:rPr>
              <w:t>。</w:t>
            </w:r>
          </w:p>
          <w:p w14:paraId="6CAA30FD">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噪声：主要为生产设备运行过程中产生的噪声，噪声值为75-90dB（A）。</w:t>
            </w:r>
          </w:p>
          <w:p w14:paraId="0D2DCE85">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固体废物：包括硫酸稀释过程产生的空硫酸桶，蒙砂液配制过程产生的空硫酸桶、空盐酸桶和废氟化氢铵包装袋，碱液喷淋洗涤过程产生的废火碱包装袋，灯检过程产生的不合格品，包装过程产生的废包装材料，切割过程产生的废弃玻璃和边角料，磨边清洗过程产生的磨边废水沉淀池沉渣（玻璃碎屑），喷防火液过程产生的空防火液桶，员工生活过程产生的生活垃圾，食堂烹饪过程产生的食堂泔水和隔油池废油脂，化粪池和生活污水处理设施运行过程产生的污泥、机修过程产生的废机油以及生产废水处理设施运行过程产生的污泥。</w:t>
            </w:r>
          </w:p>
          <w:p w14:paraId="04160BB7">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highlight w:val="none"/>
                <w:lang w:val="en-US" w:eastAsia="zh-CN"/>
              </w:rPr>
            </w:pPr>
            <w:r>
              <w:rPr>
                <w:rFonts w:hint="eastAsia" w:ascii="Times New Roman" w:hAnsi="Times New Roman" w:cs="Times New Roman"/>
                <w:color w:val="auto"/>
                <w:sz w:val="24"/>
                <w:szCs w:val="24"/>
                <w:highlight w:val="none"/>
                <w:lang w:val="en-US" w:eastAsia="zh-CN"/>
              </w:rPr>
              <w:t>项目产污环节见表2-9所示。</w:t>
            </w:r>
          </w:p>
          <w:p w14:paraId="565FFD9D">
            <w:pPr>
              <w:pStyle w:val="23"/>
              <w:spacing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运营期主要污染工序一览表</w:t>
            </w:r>
          </w:p>
          <w:tbl>
            <w:tblPr>
              <w:tblStyle w:val="25"/>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512"/>
              <w:gridCol w:w="1560"/>
              <w:gridCol w:w="3885"/>
              <w:gridCol w:w="659"/>
            </w:tblGrid>
            <w:tr w14:paraId="09D2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tcBorders>
                    <w:tl2br w:val="nil"/>
                    <w:tr2bl w:val="nil"/>
                  </w:tcBorders>
                  <w:vAlign w:val="center"/>
                </w:tcPr>
                <w:p w14:paraId="0A5086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1512" w:type="dxa"/>
                  <w:tcBorders>
                    <w:tl2br w:val="nil"/>
                    <w:tr2bl w:val="nil"/>
                  </w:tcBorders>
                  <w:vAlign w:val="center"/>
                </w:tcPr>
                <w:p w14:paraId="775A02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1560" w:type="dxa"/>
                  <w:tcBorders>
                    <w:tl2br w:val="nil"/>
                    <w:tr2bl w:val="nil"/>
                  </w:tcBorders>
                  <w:vAlign w:val="center"/>
                </w:tcPr>
                <w:p w14:paraId="57ED76E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3885" w:type="dxa"/>
                  <w:tcBorders>
                    <w:tl2br w:val="nil"/>
                    <w:tr2bl w:val="nil"/>
                  </w:tcBorders>
                  <w:vAlign w:val="center"/>
                </w:tcPr>
                <w:p w14:paraId="29DF154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659" w:type="dxa"/>
                  <w:tcBorders>
                    <w:tl2br w:val="nil"/>
                    <w:tr2bl w:val="nil"/>
                  </w:tcBorders>
                  <w:vAlign w:val="center"/>
                </w:tcPr>
                <w:p w14:paraId="2DC74ED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14:paraId="29AE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82" w:type="dxa"/>
                  <w:vMerge w:val="restart"/>
                  <w:tcBorders>
                    <w:tl2br w:val="nil"/>
                    <w:tr2bl w:val="nil"/>
                  </w:tcBorders>
                  <w:vAlign w:val="center"/>
                </w:tcPr>
                <w:p w14:paraId="1F045E8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w:t>
                  </w:r>
                </w:p>
              </w:tc>
              <w:tc>
                <w:tcPr>
                  <w:tcW w:w="1512" w:type="dxa"/>
                  <w:tcBorders>
                    <w:tl2br w:val="nil"/>
                    <w:tr2bl w:val="nil"/>
                  </w:tcBorders>
                  <w:vAlign w:val="center"/>
                </w:tcPr>
                <w:p w14:paraId="77072BD1">
                  <w:pPr>
                    <w:pStyle w:val="23"/>
                    <w:spacing w:after="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硫酸稀释</w:t>
                  </w:r>
                </w:p>
              </w:tc>
              <w:tc>
                <w:tcPr>
                  <w:tcW w:w="1560" w:type="dxa"/>
                  <w:tcBorders>
                    <w:tl2br w:val="nil"/>
                    <w:tr2bl w:val="nil"/>
                  </w:tcBorders>
                  <w:vAlign w:val="center"/>
                </w:tcPr>
                <w:p w14:paraId="776ABFCC">
                  <w:pPr>
                    <w:pStyle w:val="23"/>
                    <w:spacing w:after="0"/>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硫酸雾</w:t>
                  </w:r>
                </w:p>
              </w:tc>
              <w:tc>
                <w:tcPr>
                  <w:tcW w:w="3885" w:type="dxa"/>
                  <w:vMerge w:val="restart"/>
                  <w:tcBorders>
                    <w:tl2br w:val="nil"/>
                    <w:tr2bl w:val="nil"/>
                  </w:tcBorders>
                  <w:vAlign w:val="center"/>
                </w:tcPr>
                <w:p w14:paraId="05F5846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zh-CN" w:eastAsia="zh-CN"/>
                    </w:rPr>
                    <w:t>硫酸稀释、蒙砂液配制与蒙砂过程共同置于封闭生产车间内，生产车间保持负压状态，并在上方设置集气管道，</w:t>
                  </w:r>
                  <w:r>
                    <w:rPr>
                      <w:rFonts w:hint="default" w:ascii="Times New Roman" w:hAnsi="Times New Roman" w:cs="Times New Roman"/>
                      <w:color w:val="auto"/>
                      <w:sz w:val="21"/>
                      <w:szCs w:val="21"/>
                      <w:highlight w:val="none"/>
                      <w:lang w:val="zh-CN" w:eastAsia="zh-CN"/>
                    </w:rPr>
                    <w:t>硫酸挥发废气、配料废气</w:t>
                  </w:r>
                  <w:r>
                    <w:rPr>
                      <w:rFonts w:hint="eastAsia" w:cs="Times New Roman"/>
                      <w:color w:val="auto"/>
                      <w:sz w:val="21"/>
                      <w:szCs w:val="21"/>
                      <w:highlight w:val="none"/>
                      <w:lang w:val="zh-CN" w:eastAsia="zh-CN"/>
                    </w:rPr>
                    <w:t>和蒙砂</w:t>
                  </w:r>
                  <w:r>
                    <w:rPr>
                      <w:rFonts w:hint="default" w:ascii="Times New Roman" w:hAnsi="Times New Roman" w:cs="Times New Roman"/>
                      <w:color w:val="auto"/>
                      <w:sz w:val="21"/>
                      <w:szCs w:val="21"/>
                      <w:highlight w:val="none"/>
                      <w:lang w:val="zh-CN" w:eastAsia="zh-CN"/>
                    </w:rPr>
                    <w:t>废气由</w:t>
                  </w:r>
                  <w:r>
                    <w:rPr>
                      <w:rFonts w:hint="eastAsia" w:cs="Times New Roman"/>
                      <w:color w:val="auto"/>
                      <w:sz w:val="21"/>
                      <w:szCs w:val="21"/>
                      <w:highlight w:val="none"/>
                      <w:lang w:val="zh-CN" w:eastAsia="zh-CN"/>
                    </w:rPr>
                    <w:t>封</w:t>
                  </w:r>
                  <w:r>
                    <w:rPr>
                      <w:rFonts w:hint="default" w:ascii="Times New Roman" w:hAnsi="Times New Roman" w:cs="Times New Roman"/>
                      <w:color w:val="auto"/>
                      <w:sz w:val="21"/>
                      <w:szCs w:val="21"/>
                      <w:highlight w:val="none"/>
                      <w:lang w:val="zh-CN" w:eastAsia="zh-CN"/>
                    </w:rPr>
                    <w:t>闭生产</w:t>
                  </w:r>
                  <w:r>
                    <w:rPr>
                      <w:rFonts w:hint="eastAsia" w:cs="Times New Roman"/>
                      <w:color w:val="auto"/>
                      <w:sz w:val="21"/>
                      <w:szCs w:val="21"/>
                      <w:highlight w:val="none"/>
                      <w:lang w:val="zh-CN" w:eastAsia="zh-CN"/>
                    </w:rPr>
                    <w:t>车间</w:t>
                  </w:r>
                  <w:r>
                    <w:rPr>
                      <w:rFonts w:hint="default" w:ascii="Times New Roman" w:hAnsi="Times New Roman" w:cs="Times New Roman"/>
                      <w:color w:val="auto"/>
                      <w:sz w:val="21"/>
                      <w:szCs w:val="21"/>
                      <w:highlight w:val="none"/>
                      <w:lang w:val="en-US" w:eastAsia="zh-CN"/>
                    </w:rPr>
                    <w:t>集气管道</w:t>
                  </w:r>
                  <w:r>
                    <w:rPr>
                      <w:rFonts w:hint="default" w:ascii="Times New Roman" w:hAnsi="Times New Roman" w:cs="Times New Roman"/>
                      <w:color w:val="auto"/>
                      <w:sz w:val="21"/>
                      <w:szCs w:val="21"/>
                      <w:highlight w:val="none"/>
                      <w:lang w:val="zh-CN" w:eastAsia="zh-CN"/>
                    </w:rPr>
                    <w:t>收集后，</w:t>
                  </w:r>
                  <w:r>
                    <w:rPr>
                      <w:rFonts w:hint="eastAsia" w:ascii="Times New Roman" w:hAnsi="Times New Roman" w:cs="Times New Roman"/>
                      <w:color w:val="auto"/>
                      <w:sz w:val="21"/>
                      <w:szCs w:val="21"/>
                      <w:highlight w:val="none"/>
                      <w:lang w:val="zh-CN" w:eastAsia="zh-CN"/>
                    </w:rPr>
                    <w:t>通过</w:t>
                  </w:r>
                  <w:r>
                    <w:rPr>
                      <w:rFonts w:hint="default" w:ascii="Times New Roman" w:hAnsi="Times New Roman" w:cs="Times New Roman"/>
                      <w:color w:val="auto"/>
                      <w:sz w:val="21"/>
                      <w:szCs w:val="21"/>
                      <w:highlight w:val="none"/>
                      <w:lang w:val="zh-CN" w:eastAsia="zh-CN"/>
                    </w:rPr>
                    <w:t>一套碱液喷淋洗涤塔废气治理设施处理，</w:t>
                  </w:r>
                  <w:r>
                    <w:rPr>
                      <w:rFonts w:hint="eastAsia" w:cs="Times New Roman"/>
                      <w:color w:val="auto"/>
                      <w:sz w:val="21"/>
                      <w:szCs w:val="21"/>
                      <w:highlight w:val="none"/>
                      <w:lang w:val="zh-CN" w:eastAsia="zh-CN"/>
                    </w:rPr>
                    <w:t>后</w:t>
                  </w:r>
                  <w:r>
                    <w:rPr>
                      <w:rFonts w:hint="default" w:ascii="Times New Roman" w:hAnsi="Times New Roman" w:cs="Times New Roman"/>
                      <w:color w:val="auto"/>
                      <w:sz w:val="21"/>
                      <w:szCs w:val="21"/>
                      <w:highlight w:val="none"/>
                      <w:lang w:val="zh-CN" w:eastAsia="zh-CN"/>
                    </w:rPr>
                    <w:t>经15m高排气筒（</w:t>
                  </w: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z w:val="21"/>
                      <w:szCs w:val="21"/>
                      <w:highlight w:val="none"/>
                      <w:lang w:val="zh-CN" w:eastAsia="zh-CN"/>
                    </w:rPr>
                    <w:t>）排放</w:t>
                  </w:r>
                  <w:r>
                    <w:rPr>
                      <w:rFonts w:hint="default" w:ascii="Times New Roman" w:hAnsi="Times New Roman" w:cs="Times New Roman"/>
                      <w:color w:val="auto"/>
                      <w:sz w:val="21"/>
                      <w:szCs w:val="21"/>
                      <w:highlight w:val="none"/>
                      <w:lang w:eastAsia="zh-CN"/>
                    </w:rPr>
                    <w:t>。</w:t>
                  </w:r>
                </w:p>
              </w:tc>
              <w:tc>
                <w:tcPr>
                  <w:tcW w:w="659" w:type="dxa"/>
                  <w:vMerge w:val="restart"/>
                  <w:tcBorders>
                    <w:tl2br w:val="nil"/>
                    <w:tr2bl w:val="nil"/>
                  </w:tcBorders>
                  <w:vAlign w:val="center"/>
                </w:tcPr>
                <w:p w14:paraId="6F59266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r>
            <w:tr w14:paraId="1C3D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82" w:type="dxa"/>
                  <w:vMerge w:val="continue"/>
                  <w:tcBorders>
                    <w:tl2br w:val="nil"/>
                    <w:tr2bl w:val="nil"/>
                  </w:tcBorders>
                  <w:vAlign w:val="center"/>
                </w:tcPr>
                <w:p w14:paraId="06D33E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512" w:type="dxa"/>
                  <w:tcBorders>
                    <w:tl2br w:val="nil"/>
                    <w:tr2bl w:val="nil"/>
                  </w:tcBorders>
                  <w:vAlign w:val="center"/>
                </w:tcPr>
                <w:p w14:paraId="575CD968">
                  <w:pPr>
                    <w:pStyle w:val="23"/>
                    <w:spacing w:after="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蒙砂液配制</w:t>
                  </w:r>
                </w:p>
              </w:tc>
              <w:tc>
                <w:tcPr>
                  <w:tcW w:w="1560" w:type="dxa"/>
                  <w:tcBorders>
                    <w:tl2br w:val="nil"/>
                    <w:tr2bl w:val="nil"/>
                  </w:tcBorders>
                  <w:vAlign w:val="center"/>
                </w:tcPr>
                <w:p w14:paraId="2997E19A">
                  <w:pPr>
                    <w:pStyle w:val="23"/>
                    <w:spacing w:after="0"/>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颗粒物、氟化物、硫酸雾、</w:t>
                  </w:r>
                  <w:r>
                    <w:rPr>
                      <w:rFonts w:hint="eastAsia" w:cs="Times New Roman"/>
                      <w:color w:val="auto"/>
                      <w:sz w:val="21"/>
                      <w:szCs w:val="21"/>
                      <w:highlight w:val="none"/>
                      <w:lang w:val="zh-CN" w:eastAsia="zh-CN"/>
                    </w:rPr>
                    <w:t>氯化氢</w:t>
                  </w:r>
                </w:p>
              </w:tc>
              <w:tc>
                <w:tcPr>
                  <w:tcW w:w="3885" w:type="dxa"/>
                  <w:vMerge w:val="continue"/>
                  <w:tcBorders>
                    <w:tl2br w:val="nil"/>
                    <w:tr2bl w:val="nil"/>
                  </w:tcBorders>
                  <w:vAlign w:val="center"/>
                </w:tcPr>
                <w:p w14:paraId="6CE3D062">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659" w:type="dxa"/>
                  <w:vMerge w:val="continue"/>
                  <w:tcBorders>
                    <w:tl2br w:val="nil"/>
                    <w:tr2bl w:val="nil"/>
                  </w:tcBorders>
                  <w:vAlign w:val="center"/>
                </w:tcPr>
                <w:p w14:paraId="28D03E89">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r>
            <w:tr w14:paraId="6BBA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82" w:type="dxa"/>
                  <w:vMerge w:val="continue"/>
                  <w:tcBorders>
                    <w:tl2br w:val="nil"/>
                    <w:tr2bl w:val="nil"/>
                  </w:tcBorders>
                  <w:vAlign w:val="center"/>
                </w:tcPr>
                <w:p w14:paraId="6D2FE69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512" w:type="dxa"/>
                  <w:tcBorders>
                    <w:tl2br w:val="nil"/>
                    <w:tr2bl w:val="nil"/>
                  </w:tcBorders>
                  <w:vAlign w:val="center"/>
                </w:tcPr>
                <w:p w14:paraId="0550B2ED">
                  <w:pPr>
                    <w:pStyle w:val="23"/>
                    <w:spacing w:after="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蒙砂</w:t>
                  </w:r>
                </w:p>
              </w:tc>
              <w:tc>
                <w:tcPr>
                  <w:tcW w:w="1560" w:type="dxa"/>
                  <w:tcBorders>
                    <w:tl2br w:val="nil"/>
                    <w:tr2bl w:val="nil"/>
                  </w:tcBorders>
                  <w:vAlign w:val="center"/>
                </w:tcPr>
                <w:p w14:paraId="0B1505DC">
                  <w:pPr>
                    <w:pStyle w:val="23"/>
                    <w:spacing w:after="0"/>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氟化物</w:t>
                  </w:r>
                </w:p>
              </w:tc>
              <w:tc>
                <w:tcPr>
                  <w:tcW w:w="3885" w:type="dxa"/>
                  <w:vMerge w:val="continue"/>
                  <w:tcBorders>
                    <w:tl2br w:val="nil"/>
                    <w:tr2bl w:val="nil"/>
                  </w:tcBorders>
                  <w:vAlign w:val="center"/>
                </w:tcPr>
                <w:p w14:paraId="1F68D08F">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659" w:type="dxa"/>
                  <w:vMerge w:val="continue"/>
                  <w:tcBorders>
                    <w:tl2br w:val="nil"/>
                    <w:tr2bl w:val="nil"/>
                  </w:tcBorders>
                  <w:vAlign w:val="center"/>
                </w:tcPr>
                <w:p w14:paraId="162E953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r>
            <w:tr w14:paraId="3569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82" w:type="dxa"/>
                  <w:vMerge w:val="continue"/>
                  <w:tcBorders>
                    <w:tl2br w:val="nil"/>
                    <w:tr2bl w:val="nil"/>
                  </w:tcBorders>
                  <w:vAlign w:val="center"/>
                </w:tcPr>
                <w:p w14:paraId="4FA412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512" w:type="dxa"/>
                  <w:tcBorders>
                    <w:tl2br w:val="nil"/>
                    <w:tr2bl w:val="nil"/>
                  </w:tcBorders>
                  <w:vAlign w:val="center"/>
                </w:tcPr>
                <w:p w14:paraId="67E74066">
                  <w:pPr>
                    <w:pStyle w:val="23"/>
                    <w:spacing w:after="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食堂</w:t>
                  </w:r>
                </w:p>
              </w:tc>
              <w:tc>
                <w:tcPr>
                  <w:tcW w:w="1560" w:type="dxa"/>
                  <w:tcBorders>
                    <w:tl2br w:val="nil"/>
                    <w:tr2bl w:val="nil"/>
                  </w:tcBorders>
                  <w:vAlign w:val="center"/>
                </w:tcPr>
                <w:p w14:paraId="27BEAD5D">
                  <w:pPr>
                    <w:pStyle w:val="23"/>
                    <w:spacing w:after="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油烟</w:t>
                  </w:r>
                </w:p>
              </w:tc>
              <w:tc>
                <w:tcPr>
                  <w:tcW w:w="3885" w:type="dxa"/>
                  <w:tcBorders>
                    <w:tl2br w:val="nil"/>
                    <w:tr2bl w:val="nil"/>
                  </w:tcBorders>
                  <w:vAlign w:val="center"/>
                </w:tcPr>
                <w:p w14:paraId="0419D8F6">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油烟净化器+高于楼顶1.5m的排气筒</w:t>
                  </w:r>
                </w:p>
              </w:tc>
              <w:tc>
                <w:tcPr>
                  <w:tcW w:w="659" w:type="dxa"/>
                  <w:tcBorders>
                    <w:tl2br w:val="nil"/>
                    <w:tr2bl w:val="nil"/>
                  </w:tcBorders>
                  <w:vAlign w:val="center"/>
                </w:tcPr>
                <w:p w14:paraId="70D383B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组织</w:t>
                  </w:r>
                </w:p>
              </w:tc>
            </w:tr>
            <w:tr w14:paraId="4810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82" w:type="dxa"/>
                  <w:vMerge w:val="continue"/>
                  <w:tcBorders>
                    <w:tl2br w:val="nil"/>
                    <w:tr2bl w:val="nil"/>
                  </w:tcBorders>
                  <w:vAlign w:val="center"/>
                </w:tcPr>
                <w:p w14:paraId="413657A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512" w:type="dxa"/>
                  <w:tcBorders>
                    <w:tl2br w:val="nil"/>
                    <w:tr2bl w:val="nil"/>
                  </w:tcBorders>
                  <w:vAlign w:val="center"/>
                </w:tcPr>
                <w:p w14:paraId="0B8B352B">
                  <w:pPr>
                    <w:pStyle w:val="23"/>
                    <w:spacing w:after="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化粪池、污水处理设施</w:t>
                  </w:r>
                </w:p>
              </w:tc>
              <w:tc>
                <w:tcPr>
                  <w:tcW w:w="1560" w:type="dxa"/>
                  <w:tcBorders>
                    <w:tl2br w:val="nil"/>
                    <w:tr2bl w:val="nil"/>
                  </w:tcBorders>
                  <w:vAlign w:val="center"/>
                </w:tcPr>
                <w:p w14:paraId="52562503">
                  <w:pPr>
                    <w:pStyle w:val="23"/>
                    <w:spacing w:after="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异味</w:t>
                  </w:r>
                </w:p>
              </w:tc>
              <w:tc>
                <w:tcPr>
                  <w:tcW w:w="3885" w:type="dxa"/>
                  <w:tcBorders>
                    <w:tl2br w:val="nil"/>
                    <w:tr2bl w:val="nil"/>
                  </w:tcBorders>
                  <w:vAlign w:val="center"/>
                </w:tcPr>
                <w:p w14:paraId="517902EC">
                  <w:pPr>
                    <w:keepNext w:val="0"/>
                    <w:keepLines w:val="0"/>
                    <w:widowControl w:val="0"/>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化粪池地埋式设置，污水处理设施喷洒除臭剂</w:t>
                  </w:r>
                </w:p>
              </w:tc>
              <w:tc>
                <w:tcPr>
                  <w:tcW w:w="659" w:type="dxa"/>
                  <w:tcBorders>
                    <w:tl2br w:val="nil"/>
                    <w:tr2bl w:val="nil"/>
                  </w:tcBorders>
                  <w:vAlign w:val="center"/>
                </w:tcPr>
                <w:p w14:paraId="2DCC2C7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w:t>
                  </w:r>
                </w:p>
              </w:tc>
            </w:tr>
            <w:tr w14:paraId="2841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82" w:type="dxa"/>
                  <w:vMerge w:val="restart"/>
                  <w:tcBorders>
                    <w:tl2br w:val="nil"/>
                    <w:tr2bl w:val="nil"/>
                  </w:tcBorders>
                  <w:vAlign w:val="center"/>
                </w:tcPr>
                <w:p w14:paraId="05BD66BB">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废水</w:t>
                  </w:r>
                </w:p>
              </w:tc>
              <w:tc>
                <w:tcPr>
                  <w:tcW w:w="1512" w:type="dxa"/>
                  <w:tcBorders>
                    <w:tl2br w:val="nil"/>
                    <w:tr2bl w:val="nil"/>
                  </w:tcBorders>
                  <w:vAlign w:val="center"/>
                </w:tcPr>
                <w:p w14:paraId="6480DF75">
                  <w:pPr>
                    <w:keepNext w:val="0"/>
                    <w:keepLines w:val="0"/>
                    <w:widowControl w:val="0"/>
                    <w:suppressLineNumbers w:val="0"/>
                    <w:spacing w:before="0" w:beforeAutospacing="0" w:after="0" w:afterAutospacing="0"/>
                    <w:ind w:left="0" w:right="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弱酸清洗废液</w:t>
                  </w:r>
                </w:p>
              </w:tc>
              <w:tc>
                <w:tcPr>
                  <w:tcW w:w="1560" w:type="dxa"/>
                  <w:vMerge w:val="restart"/>
                  <w:tcBorders>
                    <w:tl2br w:val="nil"/>
                    <w:tr2bl w:val="nil"/>
                  </w:tcBorders>
                  <w:vAlign w:val="center"/>
                </w:tcPr>
                <w:p w14:paraId="1D23113E">
                  <w:pPr>
                    <w:keepNext w:val="0"/>
                    <w:keepLines w:val="0"/>
                    <w:widowControl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PH、COD、SS、NH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-N、SO</w:t>
                  </w:r>
                  <w:r>
                    <w:rPr>
                      <w:rFonts w:hint="eastAsia" w:cs="Times New Roman"/>
                      <w:color w:val="auto"/>
                      <w:sz w:val="21"/>
                      <w:szCs w:val="21"/>
                      <w:highlight w:val="none"/>
                      <w:vertAlign w:val="subscript"/>
                      <w:lang w:val="en-US" w:eastAsia="zh-CN"/>
                    </w:rPr>
                    <w:t>4</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、Cl</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、F</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、Si</w:t>
                  </w:r>
                  <w:r>
                    <w:rPr>
                      <w:rFonts w:hint="eastAsia" w:cs="Times New Roman"/>
                      <w:color w:val="auto"/>
                      <w:sz w:val="21"/>
                      <w:szCs w:val="21"/>
                      <w:highlight w:val="none"/>
                      <w:vertAlign w:val="superscript"/>
                      <w:lang w:val="en-US" w:eastAsia="zh-CN"/>
                    </w:rPr>
                    <w:t>4+</w:t>
                  </w:r>
                </w:p>
              </w:tc>
              <w:tc>
                <w:tcPr>
                  <w:tcW w:w="3885" w:type="dxa"/>
                  <w:vMerge w:val="restart"/>
                  <w:tcBorders>
                    <w:tl2br w:val="nil"/>
                    <w:tr2bl w:val="nil"/>
                  </w:tcBorders>
                  <w:vAlign w:val="center"/>
                </w:tcPr>
                <w:p w14:paraId="09840221">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rPr>
                    <w:t>一个月更换一次，经收集后统一进入调节池、生产废水处理设施处理达《城市污水再生利用 工业用水水质》（GB/T 19923-2005）中的洗涤用水标准后回用于水洗补水，不外排。</w:t>
                  </w:r>
                </w:p>
              </w:tc>
              <w:tc>
                <w:tcPr>
                  <w:tcW w:w="659" w:type="dxa"/>
                  <w:vMerge w:val="restart"/>
                  <w:tcBorders>
                    <w:tl2br w:val="nil"/>
                    <w:tr2bl w:val="nil"/>
                  </w:tcBorders>
                  <w:vAlign w:val="center"/>
                </w:tcPr>
                <w:p w14:paraId="63D181B7">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不外排</w:t>
                  </w:r>
                </w:p>
              </w:tc>
            </w:tr>
            <w:tr w14:paraId="490F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82" w:type="dxa"/>
                  <w:vMerge w:val="continue"/>
                  <w:tcBorders>
                    <w:tl2br w:val="nil"/>
                    <w:tr2bl w:val="nil"/>
                  </w:tcBorders>
                  <w:vAlign w:val="center"/>
                </w:tcPr>
                <w:p w14:paraId="049ACE4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3450F095">
                  <w:pPr>
                    <w:keepNext w:val="0"/>
                    <w:keepLines w:val="0"/>
                    <w:widowControl w:val="0"/>
                    <w:suppressLineNumbers w:val="0"/>
                    <w:spacing w:before="0" w:beforeAutospacing="0" w:after="0" w:afterAutospacing="0"/>
                    <w:ind w:left="0" w:right="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预水洗废水</w:t>
                  </w:r>
                </w:p>
              </w:tc>
              <w:tc>
                <w:tcPr>
                  <w:tcW w:w="1560" w:type="dxa"/>
                  <w:vMerge w:val="continue"/>
                  <w:tcBorders>
                    <w:tl2br w:val="nil"/>
                    <w:tr2bl w:val="nil"/>
                  </w:tcBorders>
                  <w:vAlign w:val="center"/>
                </w:tcPr>
                <w:p w14:paraId="3CC6D469">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p>
              </w:tc>
              <w:tc>
                <w:tcPr>
                  <w:tcW w:w="3885" w:type="dxa"/>
                  <w:vMerge w:val="continue"/>
                  <w:tcBorders>
                    <w:tl2br w:val="nil"/>
                    <w:tr2bl w:val="nil"/>
                  </w:tcBorders>
                  <w:vAlign w:val="center"/>
                </w:tcPr>
                <w:p w14:paraId="02739466">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659" w:type="dxa"/>
                  <w:vMerge w:val="continue"/>
                  <w:tcBorders>
                    <w:tl2br w:val="nil"/>
                    <w:tr2bl w:val="nil"/>
                  </w:tcBorders>
                  <w:vAlign w:val="center"/>
                </w:tcPr>
                <w:p w14:paraId="0AF8862D">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r>
            <w:tr w14:paraId="6678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82" w:type="dxa"/>
                  <w:vMerge w:val="continue"/>
                  <w:tcBorders>
                    <w:tl2br w:val="nil"/>
                    <w:tr2bl w:val="nil"/>
                  </w:tcBorders>
                  <w:vAlign w:val="center"/>
                </w:tcPr>
                <w:p w14:paraId="3B10CB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55A9369A">
                  <w:pPr>
                    <w:keepNext w:val="0"/>
                    <w:keepLines w:val="0"/>
                    <w:widowControl w:val="0"/>
                    <w:suppressLineNumbers w:val="0"/>
                    <w:spacing w:before="0" w:beforeAutospacing="0" w:after="0" w:afterAutospacing="0"/>
                    <w:ind w:left="0" w:right="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二次清洗废水</w:t>
                  </w:r>
                </w:p>
              </w:tc>
              <w:tc>
                <w:tcPr>
                  <w:tcW w:w="1560" w:type="dxa"/>
                  <w:vMerge w:val="continue"/>
                  <w:tcBorders>
                    <w:tl2br w:val="nil"/>
                    <w:tr2bl w:val="nil"/>
                  </w:tcBorders>
                  <w:vAlign w:val="center"/>
                </w:tcPr>
                <w:p w14:paraId="6E9D6623">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p>
              </w:tc>
              <w:tc>
                <w:tcPr>
                  <w:tcW w:w="3885" w:type="dxa"/>
                  <w:vMerge w:val="continue"/>
                  <w:tcBorders>
                    <w:tl2br w:val="nil"/>
                    <w:tr2bl w:val="nil"/>
                  </w:tcBorders>
                  <w:vAlign w:val="center"/>
                </w:tcPr>
                <w:p w14:paraId="141BE616">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659" w:type="dxa"/>
                  <w:vMerge w:val="continue"/>
                  <w:tcBorders>
                    <w:tl2br w:val="nil"/>
                    <w:tr2bl w:val="nil"/>
                  </w:tcBorders>
                  <w:vAlign w:val="center"/>
                </w:tcPr>
                <w:p w14:paraId="45AAB411">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r>
            <w:tr w14:paraId="1327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682" w:type="dxa"/>
                  <w:vMerge w:val="continue"/>
                  <w:tcBorders>
                    <w:tl2br w:val="nil"/>
                    <w:tr2bl w:val="nil"/>
                  </w:tcBorders>
                  <w:vAlign w:val="center"/>
                </w:tcPr>
                <w:p w14:paraId="79AF32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522D8FC3">
                  <w:pPr>
                    <w:keepNext w:val="0"/>
                    <w:keepLines w:val="0"/>
                    <w:widowControl w:val="0"/>
                    <w:suppressLineNumbers w:val="0"/>
                    <w:spacing w:before="0" w:beforeAutospacing="0" w:after="0" w:afterAutospacing="0"/>
                    <w:ind w:left="0" w:right="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碱液喷淋洗涤废水</w:t>
                  </w:r>
                </w:p>
              </w:tc>
              <w:tc>
                <w:tcPr>
                  <w:tcW w:w="1560" w:type="dxa"/>
                  <w:vMerge w:val="continue"/>
                  <w:tcBorders>
                    <w:tl2br w:val="nil"/>
                    <w:tr2bl w:val="nil"/>
                  </w:tcBorders>
                  <w:vAlign w:val="center"/>
                </w:tcPr>
                <w:p w14:paraId="204AB6A4">
                  <w:pPr>
                    <w:keepNext w:val="0"/>
                    <w:keepLines w:val="0"/>
                    <w:widowControl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p>
              </w:tc>
              <w:tc>
                <w:tcPr>
                  <w:tcW w:w="3885" w:type="dxa"/>
                  <w:vMerge w:val="continue"/>
                  <w:tcBorders>
                    <w:tl2br w:val="nil"/>
                    <w:tr2bl w:val="nil"/>
                  </w:tcBorders>
                  <w:vAlign w:val="center"/>
                </w:tcPr>
                <w:p w14:paraId="563EEAE1">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659" w:type="dxa"/>
                  <w:vMerge w:val="continue"/>
                  <w:tcBorders>
                    <w:tl2br w:val="nil"/>
                    <w:tr2bl w:val="nil"/>
                  </w:tcBorders>
                  <w:vAlign w:val="center"/>
                </w:tcPr>
                <w:p w14:paraId="7092835A">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eastAsia="zh-CN"/>
                    </w:rPr>
                  </w:pPr>
                </w:p>
              </w:tc>
            </w:tr>
            <w:tr w14:paraId="5D54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682" w:type="dxa"/>
                  <w:vMerge w:val="continue"/>
                  <w:tcBorders>
                    <w:tl2br w:val="nil"/>
                    <w:tr2bl w:val="nil"/>
                  </w:tcBorders>
                  <w:vAlign w:val="center"/>
                </w:tcPr>
                <w:p w14:paraId="6D645B8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53561A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生活污水（</w:t>
                  </w:r>
                  <w:r>
                    <w:rPr>
                      <w:rFonts w:hint="eastAsia" w:cs="Times New Roman"/>
                      <w:color w:val="auto"/>
                      <w:sz w:val="21"/>
                      <w:szCs w:val="21"/>
                      <w:highlight w:val="none"/>
                      <w:lang w:val="en-US" w:eastAsia="zh-CN"/>
                    </w:rPr>
                    <w:t>含食堂废水</w:t>
                  </w:r>
                  <w:r>
                    <w:rPr>
                      <w:rFonts w:hint="eastAsia" w:cs="Times New Roman"/>
                      <w:b w:val="0"/>
                      <w:bCs/>
                      <w:color w:val="auto"/>
                      <w:sz w:val="21"/>
                      <w:szCs w:val="21"/>
                      <w:highlight w:val="none"/>
                      <w:lang w:val="en-US" w:eastAsia="zh-CN"/>
                    </w:rPr>
                    <w:t>）</w:t>
                  </w:r>
                </w:p>
              </w:tc>
              <w:tc>
                <w:tcPr>
                  <w:tcW w:w="1560" w:type="dxa"/>
                  <w:tcBorders>
                    <w:tl2br w:val="nil"/>
                    <w:tr2bl w:val="nil"/>
                  </w:tcBorders>
                  <w:vAlign w:val="center"/>
                </w:tcPr>
                <w:p w14:paraId="419A4D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pH、COD、BOD、SS、NH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-N、TP、TN、动植物油</w:t>
                  </w:r>
                </w:p>
              </w:tc>
              <w:tc>
                <w:tcPr>
                  <w:tcW w:w="3885" w:type="dxa"/>
                  <w:tcBorders>
                    <w:tl2br w:val="nil"/>
                    <w:tr2bl w:val="nil"/>
                  </w:tcBorders>
                  <w:vAlign w:val="center"/>
                </w:tcPr>
                <w:p w14:paraId="5F48D562">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食堂废水经</w:t>
                  </w:r>
                  <w:r>
                    <w:rPr>
                      <w:rFonts w:hint="eastAsia"/>
                      <w:color w:val="auto"/>
                      <w:sz w:val="21"/>
                      <w:szCs w:val="21"/>
                      <w:highlight w:val="none"/>
                      <w:lang w:val="en-US" w:eastAsia="zh-CN"/>
                    </w:rPr>
                    <w:t>隔油池</w:t>
                  </w:r>
                  <w:r>
                    <w:rPr>
                      <w:rFonts w:hint="eastAsia" w:cs="Times New Roman"/>
                      <w:color w:val="auto"/>
                      <w:sz w:val="21"/>
                      <w:szCs w:val="21"/>
                      <w:highlight w:val="none"/>
                      <w:lang w:val="en-US" w:eastAsia="zh-CN"/>
                    </w:rPr>
                    <w:t>处理后与其他生活污水一并经化粪池处理</w:t>
                  </w: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后</w:t>
                  </w:r>
                  <w:r>
                    <w:rPr>
                      <w:rFonts w:hint="default" w:cs="Times New Roman"/>
                      <w:color w:val="auto"/>
                      <w:sz w:val="21"/>
                      <w:szCs w:val="21"/>
                      <w:highlight w:val="none"/>
                      <w:lang w:val="en-US" w:eastAsia="zh-CN"/>
                    </w:rPr>
                    <w:t>进入</w:t>
                  </w:r>
                  <w:r>
                    <w:rPr>
                      <w:rFonts w:hint="eastAsia" w:cs="Times New Roman"/>
                      <w:color w:val="auto"/>
                      <w:sz w:val="21"/>
                      <w:szCs w:val="21"/>
                      <w:highlight w:val="none"/>
                      <w:lang w:val="en-US" w:eastAsia="zh-CN"/>
                    </w:rPr>
                    <w:t>原项目</w:t>
                  </w:r>
                  <w:r>
                    <w:rPr>
                      <w:rFonts w:hint="default" w:cs="Times New Roman"/>
                      <w:color w:val="auto"/>
                      <w:sz w:val="21"/>
                      <w:szCs w:val="21"/>
                      <w:highlight w:val="none"/>
                      <w:lang w:val="en-US" w:eastAsia="zh-CN"/>
                    </w:rPr>
                    <w:t>自建</w:t>
                  </w:r>
                  <w:r>
                    <w:rPr>
                      <w:rFonts w:hint="eastAsia" w:cs="Times New Roman"/>
                      <w:color w:val="auto"/>
                      <w:sz w:val="21"/>
                      <w:szCs w:val="21"/>
                      <w:highlight w:val="none"/>
                      <w:lang w:val="en-US" w:eastAsia="zh-CN"/>
                    </w:rPr>
                    <w:t>生活</w:t>
                  </w:r>
                  <w:r>
                    <w:rPr>
                      <w:rFonts w:hint="default" w:cs="Times New Roman"/>
                      <w:color w:val="auto"/>
                      <w:sz w:val="21"/>
                      <w:szCs w:val="21"/>
                      <w:highlight w:val="none"/>
                      <w:lang w:val="en-US" w:eastAsia="zh-CN"/>
                    </w:rPr>
                    <w:t>污水处理</w:t>
                  </w:r>
                  <w:r>
                    <w:rPr>
                      <w:rFonts w:hint="eastAsia" w:cs="Times New Roman"/>
                      <w:color w:val="auto"/>
                      <w:sz w:val="21"/>
                      <w:szCs w:val="21"/>
                      <w:highlight w:val="none"/>
                      <w:lang w:val="en-US" w:eastAsia="zh-CN"/>
                    </w:rPr>
                    <w:t>站</w:t>
                  </w:r>
                  <w:r>
                    <w:rPr>
                      <w:rFonts w:hint="default" w:cs="Times New Roman"/>
                      <w:color w:val="auto"/>
                      <w:sz w:val="21"/>
                      <w:szCs w:val="21"/>
                      <w:highlight w:val="none"/>
                      <w:lang w:val="en-US" w:eastAsia="zh-CN"/>
                    </w:rPr>
                    <w:t>处理达《城市污水再生利用 城市杂用水水质》（GB/T18920-2020）中城市绿化、道路广场浇洒、消防、建筑施工标准后，</w:t>
                  </w:r>
                  <w:r>
                    <w:rPr>
                      <w:rFonts w:hint="eastAsia" w:cs="Times New Roman"/>
                      <w:color w:val="auto"/>
                      <w:sz w:val="21"/>
                      <w:szCs w:val="21"/>
                      <w:highlight w:val="none"/>
                      <w:lang w:val="en-US" w:eastAsia="zh-CN"/>
                    </w:rPr>
                    <w:t>回</w:t>
                  </w:r>
                  <w:r>
                    <w:rPr>
                      <w:rFonts w:hint="default" w:cs="Times New Roman"/>
                      <w:color w:val="auto"/>
                      <w:sz w:val="21"/>
                      <w:szCs w:val="21"/>
                      <w:highlight w:val="none"/>
                      <w:lang w:val="en-US" w:eastAsia="zh-CN"/>
                    </w:rPr>
                    <w:t>用于项目区绿化</w:t>
                  </w:r>
                  <w:r>
                    <w:rPr>
                      <w:rFonts w:hint="eastAsia" w:cs="Times New Roman"/>
                      <w:color w:val="auto"/>
                      <w:sz w:val="21"/>
                      <w:szCs w:val="21"/>
                      <w:highlight w:val="none"/>
                      <w:lang w:val="en-US" w:eastAsia="zh-CN"/>
                    </w:rPr>
                    <w:t>和道路广场浇洒</w:t>
                  </w:r>
                  <w:r>
                    <w:rPr>
                      <w:rFonts w:hint="default" w:cs="Times New Roman"/>
                      <w:color w:val="auto"/>
                      <w:sz w:val="21"/>
                      <w:szCs w:val="21"/>
                      <w:highlight w:val="none"/>
                      <w:lang w:val="en-US" w:eastAsia="zh-CN"/>
                    </w:rPr>
                    <w:t>。</w:t>
                  </w:r>
                </w:p>
              </w:tc>
              <w:tc>
                <w:tcPr>
                  <w:tcW w:w="659" w:type="dxa"/>
                  <w:tcBorders>
                    <w:tl2br w:val="nil"/>
                    <w:tr2bl w:val="nil"/>
                  </w:tcBorders>
                  <w:vAlign w:val="center"/>
                </w:tcPr>
                <w:p w14:paraId="4721B3F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不外排</w:t>
                  </w:r>
                </w:p>
              </w:tc>
            </w:tr>
            <w:tr w14:paraId="73E7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82" w:type="dxa"/>
                  <w:vMerge w:val="restart"/>
                  <w:tcBorders>
                    <w:tl2br w:val="nil"/>
                    <w:tr2bl w:val="nil"/>
                  </w:tcBorders>
                  <w:vAlign w:val="center"/>
                </w:tcPr>
                <w:p w14:paraId="10D5ADC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512" w:type="dxa"/>
                  <w:tcBorders>
                    <w:tl2br w:val="nil"/>
                    <w:tr2bl w:val="nil"/>
                  </w:tcBorders>
                  <w:vAlign w:val="center"/>
                </w:tcPr>
                <w:p w14:paraId="1B9F1D3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硫酸稀释</w:t>
                  </w:r>
                </w:p>
              </w:tc>
              <w:tc>
                <w:tcPr>
                  <w:tcW w:w="1560" w:type="dxa"/>
                  <w:tcBorders>
                    <w:tl2br w:val="nil"/>
                    <w:tr2bl w:val="nil"/>
                  </w:tcBorders>
                  <w:vAlign w:val="center"/>
                </w:tcPr>
                <w:p w14:paraId="2921A16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空硫酸桶</w:t>
                  </w:r>
                </w:p>
              </w:tc>
              <w:tc>
                <w:tcPr>
                  <w:tcW w:w="3885" w:type="dxa"/>
                  <w:tcBorders>
                    <w:tl2br w:val="nil"/>
                    <w:tr2bl w:val="nil"/>
                  </w:tcBorders>
                  <w:vAlign w:val="center"/>
                </w:tcPr>
                <w:p w14:paraId="27D6AEB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收集后暂存于危险废物暂存间，由原料厂家定期回收</w:t>
                  </w:r>
                </w:p>
              </w:tc>
              <w:tc>
                <w:tcPr>
                  <w:tcW w:w="659" w:type="dxa"/>
                  <w:vMerge w:val="restart"/>
                  <w:tcBorders>
                    <w:tl2br w:val="nil"/>
                    <w:tr2bl w:val="nil"/>
                  </w:tcBorders>
                  <w:vAlign w:val="center"/>
                </w:tcPr>
                <w:p w14:paraId="35D58B8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合理处置</w:t>
                  </w: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14:paraId="4F8F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tcBorders>
                    <w:tl2br w:val="nil"/>
                    <w:tr2bl w:val="nil"/>
                  </w:tcBorders>
                  <w:vAlign w:val="center"/>
                </w:tcPr>
                <w:p w14:paraId="62B6031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vMerge w:val="restart"/>
                  <w:tcBorders>
                    <w:tl2br w:val="nil"/>
                    <w:tr2bl w:val="nil"/>
                  </w:tcBorders>
                  <w:vAlign w:val="center"/>
                </w:tcPr>
                <w:p w14:paraId="42EB90FB">
                  <w:pPr>
                    <w:pStyle w:val="23"/>
                    <w:spacing w:after="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蒙砂液配制</w:t>
                  </w:r>
                </w:p>
              </w:tc>
              <w:tc>
                <w:tcPr>
                  <w:tcW w:w="1560" w:type="dxa"/>
                  <w:tcBorders>
                    <w:tl2br w:val="nil"/>
                    <w:tr2bl w:val="nil"/>
                  </w:tcBorders>
                  <w:vAlign w:val="center"/>
                </w:tcPr>
                <w:p w14:paraId="3E2B839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废氟化氢铵包装袋</w:t>
                  </w:r>
                </w:p>
              </w:tc>
              <w:tc>
                <w:tcPr>
                  <w:tcW w:w="3885" w:type="dxa"/>
                  <w:tcBorders>
                    <w:tl2br w:val="nil"/>
                    <w:tr2bl w:val="nil"/>
                  </w:tcBorders>
                  <w:vAlign w:val="center"/>
                </w:tcPr>
                <w:p w14:paraId="7A180017">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收集后暂存于一般固废暂存处，定期外售废品收购站</w:t>
                  </w:r>
                </w:p>
              </w:tc>
              <w:tc>
                <w:tcPr>
                  <w:tcW w:w="659" w:type="dxa"/>
                  <w:vMerge w:val="continue"/>
                  <w:tcBorders>
                    <w:tl2br w:val="nil"/>
                    <w:tr2bl w:val="nil"/>
                  </w:tcBorders>
                  <w:vAlign w:val="center"/>
                </w:tcPr>
                <w:p w14:paraId="21F07AF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499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82" w:type="dxa"/>
                  <w:vMerge w:val="continue"/>
                  <w:tcBorders>
                    <w:tl2br w:val="nil"/>
                    <w:tr2bl w:val="nil"/>
                  </w:tcBorders>
                  <w:vAlign w:val="center"/>
                </w:tcPr>
                <w:p w14:paraId="0AA2285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vMerge w:val="continue"/>
                  <w:tcBorders>
                    <w:tl2br w:val="nil"/>
                    <w:tr2bl w:val="nil"/>
                  </w:tcBorders>
                  <w:vAlign w:val="center"/>
                </w:tcPr>
                <w:p w14:paraId="28AD4931">
                  <w:pPr>
                    <w:pStyle w:val="23"/>
                    <w:spacing w:after="0"/>
                    <w:ind w:firstLine="0" w:firstLineChars="0"/>
                    <w:jc w:val="center"/>
                    <w:rPr>
                      <w:rFonts w:hint="eastAsia" w:cs="Times New Roman"/>
                      <w:color w:val="auto"/>
                      <w:sz w:val="21"/>
                      <w:szCs w:val="21"/>
                      <w:highlight w:val="none"/>
                      <w:lang w:val="en-US" w:eastAsia="zh-CN"/>
                    </w:rPr>
                  </w:pPr>
                </w:p>
              </w:tc>
              <w:tc>
                <w:tcPr>
                  <w:tcW w:w="1560" w:type="dxa"/>
                  <w:tcBorders>
                    <w:tl2br w:val="nil"/>
                    <w:tr2bl w:val="nil"/>
                  </w:tcBorders>
                  <w:vAlign w:val="center"/>
                </w:tcPr>
                <w:p w14:paraId="06BF01B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空硫酸桶</w:t>
                  </w:r>
                </w:p>
              </w:tc>
              <w:tc>
                <w:tcPr>
                  <w:tcW w:w="3885" w:type="dxa"/>
                  <w:vMerge w:val="restart"/>
                  <w:tcBorders>
                    <w:tl2br w:val="nil"/>
                    <w:tr2bl w:val="nil"/>
                  </w:tcBorders>
                  <w:vAlign w:val="center"/>
                </w:tcPr>
                <w:p w14:paraId="46EBD37B">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分类收集暂存于危险废物暂存间，由原料厂家定期回收</w:t>
                  </w:r>
                </w:p>
              </w:tc>
              <w:tc>
                <w:tcPr>
                  <w:tcW w:w="659" w:type="dxa"/>
                  <w:vMerge w:val="continue"/>
                  <w:tcBorders>
                    <w:tl2br w:val="nil"/>
                    <w:tr2bl w:val="nil"/>
                  </w:tcBorders>
                  <w:vAlign w:val="center"/>
                </w:tcPr>
                <w:p w14:paraId="3EAEF9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28F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682" w:type="dxa"/>
                  <w:vMerge w:val="continue"/>
                  <w:tcBorders>
                    <w:tl2br w:val="nil"/>
                    <w:tr2bl w:val="nil"/>
                  </w:tcBorders>
                  <w:vAlign w:val="center"/>
                </w:tcPr>
                <w:p w14:paraId="3521F76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vMerge w:val="continue"/>
                  <w:tcBorders>
                    <w:tl2br w:val="nil"/>
                    <w:tr2bl w:val="nil"/>
                  </w:tcBorders>
                  <w:vAlign w:val="center"/>
                </w:tcPr>
                <w:p w14:paraId="5ECE3585">
                  <w:pPr>
                    <w:pStyle w:val="23"/>
                    <w:spacing w:after="0"/>
                    <w:ind w:firstLine="0" w:firstLineChars="0"/>
                    <w:jc w:val="center"/>
                    <w:rPr>
                      <w:rFonts w:hint="eastAsia" w:cs="Times New Roman"/>
                      <w:color w:val="auto"/>
                      <w:sz w:val="21"/>
                      <w:szCs w:val="21"/>
                      <w:highlight w:val="none"/>
                      <w:lang w:val="en-US" w:eastAsia="zh-CN"/>
                    </w:rPr>
                  </w:pPr>
                </w:p>
              </w:tc>
              <w:tc>
                <w:tcPr>
                  <w:tcW w:w="1560" w:type="dxa"/>
                  <w:tcBorders>
                    <w:tl2br w:val="nil"/>
                    <w:tr2bl w:val="nil"/>
                  </w:tcBorders>
                  <w:vAlign w:val="center"/>
                </w:tcPr>
                <w:p w14:paraId="68C3BA79">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空盐酸桶</w:t>
                  </w:r>
                </w:p>
              </w:tc>
              <w:tc>
                <w:tcPr>
                  <w:tcW w:w="3885" w:type="dxa"/>
                  <w:vMerge w:val="continue"/>
                  <w:tcBorders>
                    <w:tl2br w:val="nil"/>
                    <w:tr2bl w:val="nil"/>
                  </w:tcBorders>
                  <w:vAlign w:val="center"/>
                </w:tcPr>
                <w:p w14:paraId="215A8373">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659" w:type="dxa"/>
                  <w:vMerge w:val="continue"/>
                  <w:tcBorders>
                    <w:tl2br w:val="nil"/>
                    <w:tr2bl w:val="nil"/>
                  </w:tcBorders>
                  <w:vAlign w:val="center"/>
                </w:tcPr>
                <w:p w14:paraId="50CF157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DC6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tcBorders>
                    <w:tl2br w:val="nil"/>
                    <w:tr2bl w:val="nil"/>
                  </w:tcBorders>
                  <w:vAlign w:val="center"/>
                </w:tcPr>
                <w:p w14:paraId="112CA57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789D3D16">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碱液喷淋洗涤塔</w:t>
                  </w:r>
                </w:p>
              </w:tc>
              <w:tc>
                <w:tcPr>
                  <w:tcW w:w="1560" w:type="dxa"/>
                  <w:tcBorders>
                    <w:tl2br w:val="nil"/>
                    <w:tr2bl w:val="nil"/>
                  </w:tcBorders>
                  <w:vAlign w:val="center"/>
                </w:tcPr>
                <w:p w14:paraId="50C8A8E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废火碱包装袋</w:t>
                  </w:r>
                </w:p>
              </w:tc>
              <w:tc>
                <w:tcPr>
                  <w:tcW w:w="3885" w:type="dxa"/>
                  <w:tcBorders>
                    <w:tl2br w:val="nil"/>
                    <w:tr2bl w:val="nil"/>
                  </w:tcBorders>
                  <w:vAlign w:val="center"/>
                </w:tcPr>
                <w:p w14:paraId="71E9FAD6">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收集后暂存于一般固废暂存处，定期外售废品收购站</w:t>
                  </w:r>
                </w:p>
              </w:tc>
              <w:tc>
                <w:tcPr>
                  <w:tcW w:w="659" w:type="dxa"/>
                  <w:vMerge w:val="continue"/>
                  <w:tcBorders>
                    <w:tl2br w:val="nil"/>
                    <w:tr2bl w:val="nil"/>
                  </w:tcBorders>
                  <w:vAlign w:val="center"/>
                </w:tcPr>
                <w:p w14:paraId="78C8812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A00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82" w:type="dxa"/>
                  <w:vMerge w:val="continue"/>
                  <w:tcBorders>
                    <w:tl2br w:val="nil"/>
                    <w:tr2bl w:val="nil"/>
                  </w:tcBorders>
                  <w:vAlign w:val="center"/>
                </w:tcPr>
                <w:p w14:paraId="2AE9954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521101EB">
                  <w:pPr>
                    <w:pStyle w:val="23"/>
                    <w:spacing w:after="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灯检</w:t>
                  </w:r>
                </w:p>
              </w:tc>
              <w:tc>
                <w:tcPr>
                  <w:tcW w:w="1560" w:type="dxa"/>
                  <w:tcBorders>
                    <w:tl2br w:val="nil"/>
                    <w:tr2bl w:val="nil"/>
                  </w:tcBorders>
                  <w:vAlign w:val="center"/>
                </w:tcPr>
                <w:p w14:paraId="31AC4AB2">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不合格品</w:t>
                  </w:r>
                </w:p>
              </w:tc>
              <w:tc>
                <w:tcPr>
                  <w:tcW w:w="3885" w:type="dxa"/>
                  <w:tcBorders>
                    <w:tl2br w:val="nil"/>
                    <w:tr2bl w:val="nil"/>
                  </w:tcBorders>
                  <w:vAlign w:val="center"/>
                </w:tcPr>
                <w:p w14:paraId="3626D135">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收集暂存于一般固废暂存处，后定期出售给废玻璃回收商</w:t>
                  </w:r>
                </w:p>
              </w:tc>
              <w:tc>
                <w:tcPr>
                  <w:tcW w:w="659" w:type="dxa"/>
                  <w:vMerge w:val="continue"/>
                  <w:tcBorders>
                    <w:tl2br w:val="nil"/>
                    <w:tr2bl w:val="nil"/>
                  </w:tcBorders>
                  <w:vAlign w:val="center"/>
                </w:tcPr>
                <w:p w14:paraId="1A12EF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41A1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tcBorders>
                    <w:tl2br w:val="nil"/>
                    <w:tr2bl w:val="nil"/>
                  </w:tcBorders>
                  <w:vAlign w:val="center"/>
                </w:tcPr>
                <w:p w14:paraId="275B8D1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2689CA91">
                  <w:pPr>
                    <w:pStyle w:val="23"/>
                    <w:spacing w:after="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包装</w:t>
                  </w:r>
                </w:p>
              </w:tc>
              <w:tc>
                <w:tcPr>
                  <w:tcW w:w="1560" w:type="dxa"/>
                  <w:tcBorders>
                    <w:tl2br w:val="nil"/>
                    <w:tr2bl w:val="nil"/>
                  </w:tcBorders>
                  <w:vAlign w:val="center"/>
                </w:tcPr>
                <w:p w14:paraId="0FFB9087">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废包装材料</w:t>
                  </w:r>
                </w:p>
              </w:tc>
              <w:tc>
                <w:tcPr>
                  <w:tcW w:w="3885" w:type="dxa"/>
                  <w:tcBorders>
                    <w:tl2br w:val="nil"/>
                    <w:tr2bl w:val="nil"/>
                  </w:tcBorders>
                  <w:vAlign w:val="center"/>
                </w:tcPr>
                <w:p w14:paraId="57D3AA37">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收集后暂存于一般固废暂存处，定期外售废品收购站</w:t>
                  </w:r>
                </w:p>
              </w:tc>
              <w:tc>
                <w:tcPr>
                  <w:tcW w:w="659" w:type="dxa"/>
                  <w:vMerge w:val="continue"/>
                  <w:tcBorders>
                    <w:tl2br w:val="nil"/>
                    <w:tr2bl w:val="nil"/>
                  </w:tcBorders>
                  <w:vAlign w:val="center"/>
                </w:tcPr>
                <w:p w14:paraId="0A7A84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41A8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tcBorders>
                    <w:tl2br w:val="nil"/>
                    <w:tr2bl w:val="nil"/>
                  </w:tcBorders>
                  <w:vAlign w:val="center"/>
                </w:tcPr>
                <w:p w14:paraId="1B74350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1D6909E4">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切割</w:t>
                  </w:r>
                </w:p>
              </w:tc>
              <w:tc>
                <w:tcPr>
                  <w:tcW w:w="1560" w:type="dxa"/>
                  <w:tcBorders>
                    <w:tl2br w:val="nil"/>
                    <w:tr2bl w:val="nil"/>
                  </w:tcBorders>
                  <w:vAlign w:val="center"/>
                </w:tcPr>
                <w:p w14:paraId="1622CF20">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废弃玻璃和边角料</w:t>
                  </w:r>
                </w:p>
              </w:tc>
              <w:tc>
                <w:tcPr>
                  <w:tcW w:w="3885" w:type="dxa"/>
                  <w:tcBorders>
                    <w:tl2br w:val="nil"/>
                    <w:tr2bl w:val="nil"/>
                  </w:tcBorders>
                  <w:vAlign w:val="center"/>
                </w:tcPr>
                <w:p w14:paraId="7B23B369">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收集暂存于一般固废暂存处，后定期出售给废玻璃回收商</w:t>
                  </w:r>
                </w:p>
              </w:tc>
              <w:tc>
                <w:tcPr>
                  <w:tcW w:w="659" w:type="dxa"/>
                  <w:vMerge w:val="continue"/>
                  <w:tcBorders>
                    <w:tl2br w:val="nil"/>
                    <w:tr2bl w:val="nil"/>
                  </w:tcBorders>
                  <w:vAlign w:val="center"/>
                </w:tcPr>
                <w:p w14:paraId="2A29E8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DF4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tcBorders>
                    <w:tl2br w:val="nil"/>
                    <w:tr2bl w:val="nil"/>
                  </w:tcBorders>
                  <w:vAlign w:val="center"/>
                </w:tcPr>
                <w:p w14:paraId="0FCDC54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4CEE6148">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磨边清洗</w:t>
                  </w:r>
                </w:p>
              </w:tc>
              <w:tc>
                <w:tcPr>
                  <w:tcW w:w="1560" w:type="dxa"/>
                  <w:tcBorders>
                    <w:tl2br w:val="nil"/>
                    <w:tr2bl w:val="nil"/>
                  </w:tcBorders>
                  <w:vAlign w:val="center"/>
                </w:tcPr>
                <w:p w14:paraId="4493DBCB">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磨边废水沉淀池沉渣（玻璃碎屑）</w:t>
                  </w:r>
                </w:p>
              </w:tc>
              <w:tc>
                <w:tcPr>
                  <w:tcW w:w="3885" w:type="dxa"/>
                  <w:tcBorders>
                    <w:tl2br w:val="nil"/>
                    <w:tr2bl w:val="nil"/>
                  </w:tcBorders>
                  <w:vAlign w:val="center"/>
                </w:tcPr>
                <w:p w14:paraId="571661E3">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定期打捞，经碎玻璃收集箱收集后暂存于一般固废暂存处，后定期外售废品收购站</w:t>
                  </w:r>
                </w:p>
              </w:tc>
              <w:tc>
                <w:tcPr>
                  <w:tcW w:w="659" w:type="dxa"/>
                  <w:vMerge w:val="continue"/>
                  <w:tcBorders>
                    <w:tl2br w:val="nil"/>
                    <w:tr2bl w:val="nil"/>
                  </w:tcBorders>
                  <w:vAlign w:val="center"/>
                </w:tcPr>
                <w:p w14:paraId="487039A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9BE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tcBorders>
                    <w:tl2br w:val="nil"/>
                    <w:tr2bl w:val="nil"/>
                  </w:tcBorders>
                  <w:vAlign w:val="center"/>
                </w:tcPr>
                <w:p w14:paraId="3A45538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74B5EA7A">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喷防火液</w:t>
                  </w:r>
                </w:p>
              </w:tc>
              <w:tc>
                <w:tcPr>
                  <w:tcW w:w="1560" w:type="dxa"/>
                  <w:tcBorders>
                    <w:tl2br w:val="nil"/>
                    <w:tr2bl w:val="nil"/>
                  </w:tcBorders>
                  <w:vAlign w:val="center"/>
                </w:tcPr>
                <w:p w14:paraId="2C2319F2">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空防火液桶</w:t>
                  </w:r>
                </w:p>
              </w:tc>
              <w:tc>
                <w:tcPr>
                  <w:tcW w:w="3885" w:type="dxa"/>
                  <w:tcBorders>
                    <w:tl2br w:val="nil"/>
                    <w:tr2bl w:val="nil"/>
                  </w:tcBorders>
                  <w:vAlign w:val="center"/>
                </w:tcPr>
                <w:p w14:paraId="02EA083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收集后暂存于危险废物暂存间，由原料厂家定期回收</w:t>
                  </w:r>
                </w:p>
              </w:tc>
              <w:tc>
                <w:tcPr>
                  <w:tcW w:w="659" w:type="dxa"/>
                  <w:vMerge w:val="continue"/>
                  <w:tcBorders>
                    <w:tl2br w:val="nil"/>
                    <w:tr2bl w:val="nil"/>
                  </w:tcBorders>
                  <w:vAlign w:val="center"/>
                </w:tcPr>
                <w:p w14:paraId="3F65DFF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484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82" w:type="dxa"/>
                  <w:vMerge w:val="continue"/>
                  <w:tcBorders>
                    <w:tl2br w:val="nil"/>
                    <w:tr2bl w:val="nil"/>
                  </w:tcBorders>
                  <w:vAlign w:val="center"/>
                </w:tcPr>
                <w:p w14:paraId="544AF95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vMerge w:val="restart"/>
                  <w:tcBorders>
                    <w:tl2br w:val="nil"/>
                    <w:tr2bl w:val="nil"/>
                  </w:tcBorders>
                  <w:vAlign w:val="center"/>
                </w:tcPr>
                <w:p w14:paraId="31A2B4F6">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生产废水处理</w:t>
                  </w:r>
                </w:p>
              </w:tc>
              <w:tc>
                <w:tcPr>
                  <w:tcW w:w="1560" w:type="dxa"/>
                  <w:tcBorders>
                    <w:tl2br w:val="nil"/>
                    <w:tr2bl w:val="nil"/>
                  </w:tcBorders>
                  <w:vAlign w:val="center"/>
                </w:tcPr>
                <w:p w14:paraId="5FAE3A29">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废生石灰、PAC、PAM包装袋</w:t>
                  </w:r>
                </w:p>
              </w:tc>
              <w:tc>
                <w:tcPr>
                  <w:tcW w:w="3885" w:type="dxa"/>
                  <w:tcBorders>
                    <w:tl2br w:val="nil"/>
                    <w:tr2bl w:val="nil"/>
                  </w:tcBorders>
                  <w:vAlign w:val="center"/>
                </w:tcPr>
                <w:p w14:paraId="3BD88A8B">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收集后暂存于一般固废暂存处，定期外售废品收购站</w:t>
                  </w:r>
                </w:p>
              </w:tc>
              <w:tc>
                <w:tcPr>
                  <w:tcW w:w="659" w:type="dxa"/>
                  <w:vMerge w:val="continue"/>
                  <w:tcBorders>
                    <w:tl2br w:val="nil"/>
                    <w:tr2bl w:val="nil"/>
                  </w:tcBorders>
                  <w:vAlign w:val="center"/>
                </w:tcPr>
                <w:p w14:paraId="0E55AFC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016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tcBorders>
                    <w:tl2br w:val="nil"/>
                    <w:tr2bl w:val="nil"/>
                  </w:tcBorders>
                  <w:vAlign w:val="center"/>
                </w:tcPr>
                <w:p w14:paraId="77B7639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vMerge w:val="continue"/>
                  <w:tcBorders>
                    <w:tl2br w:val="nil"/>
                    <w:tr2bl w:val="nil"/>
                  </w:tcBorders>
                  <w:vAlign w:val="center"/>
                </w:tcPr>
                <w:p w14:paraId="089D5142">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560" w:type="dxa"/>
                  <w:tcBorders>
                    <w:tl2br w:val="nil"/>
                    <w:tr2bl w:val="nil"/>
                  </w:tcBorders>
                  <w:vAlign w:val="center"/>
                </w:tcPr>
                <w:p w14:paraId="1394594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生产废水处理站污泥</w:t>
                  </w:r>
                </w:p>
              </w:tc>
              <w:tc>
                <w:tcPr>
                  <w:tcW w:w="3885" w:type="dxa"/>
                  <w:tcBorders>
                    <w:tl2br w:val="nil"/>
                    <w:tr2bl w:val="nil"/>
                  </w:tcBorders>
                  <w:vAlign w:val="center"/>
                </w:tcPr>
                <w:p w14:paraId="46D97EFC">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收集暂存于危险废物暂存间，定期委托有资质的单位清运处置</w:t>
                  </w:r>
                </w:p>
              </w:tc>
              <w:tc>
                <w:tcPr>
                  <w:tcW w:w="659" w:type="dxa"/>
                  <w:vMerge w:val="continue"/>
                  <w:tcBorders>
                    <w:tl2br w:val="nil"/>
                    <w:tr2bl w:val="nil"/>
                  </w:tcBorders>
                  <w:vAlign w:val="center"/>
                </w:tcPr>
                <w:p w14:paraId="67F51B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921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82" w:type="dxa"/>
                  <w:vMerge w:val="continue"/>
                  <w:tcBorders>
                    <w:tl2br w:val="nil"/>
                    <w:tr2bl w:val="nil"/>
                  </w:tcBorders>
                  <w:vAlign w:val="center"/>
                </w:tcPr>
                <w:p w14:paraId="6FDBDD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5CC257E8">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员工</w:t>
                  </w:r>
                  <w:r>
                    <w:rPr>
                      <w:rFonts w:hint="default" w:ascii="Times New Roman" w:hAnsi="Times New Roman" w:eastAsia="宋体" w:cs="Times New Roman"/>
                      <w:color w:val="auto"/>
                      <w:sz w:val="21"/>
                      <w:szCs w:val="21"/>
                      <w:highlight w:val="none"/>
                    </w:rPr>
                    <w:t>生活</w:t>
                  </w:r>
                </w:p>
              </w:tc>
              <w:tc>
                <w:tcPr>
                  <w:tcW w:w="1560" w:type="dxa"/>
                  <w:tcBorders>
                    <w:tl2br w:val="nil"/>
                    <w:tr2bl w:val="nil"/>
                  </w:tcBorders>
                  <w:vAlign w:val="center"/>
                </w:tcPr>
                <w:p w14:paraId="015CBB43">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3885" w:type="dxa"/>
                  <w:tcBorders>
                    <w:tl2br w:val="nil"/>
                    <w:tr2bl w:val="nil"/>
                  </w:tcBorders>
                  <w:vAlign w:val="center"/>
                </w:tcPr>
                <w:p w14:paraId="1677C640">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集中收集于垃圾桶内，委托环卫部门清运处置</w:t>
                  </w:r>
                </w:p>
              </w:tc>
              <w:tc>
                <w:tcPr>
                  <w:tcW w:w="659" w:type="dxa"/>
                  <w:vMerge w:val="continue"/>
                  <w:tcBorders>
                    <w:tl2br w:val="nil"/>
                    <w:tr2bl w:val="nil"/>
                  </w:tcBorders>
                  <w:vAlign w:val="center"/>
                </w:tcPr>
                <w:p w14:paraId="51BF3D0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7E2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2" w:type="dxa"/>
                  <w:vMerge w:val="continue"/>
                  <w:tcBorders>
                    <w:tl2br w:val="nil"/>
                    <w:tr2bl w:val="nil"/>
                  </w:tcBorders>
                  <w:vAlign w:val="center"/>
                </w:tcPr>
                <w:p w14:paraId="78B270A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743A990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食堂</w:t>
                  </w:r>
                </w:p>
              </w:tc>
              <w:tc>
                <w:tcPr>
                  <w:tcW w:w="1560" w:type="dxa"/>
                  <w:tcBorders>
                    <w:tl2br w:val="nil"/>
                    <w:tr2bl w:val="nil"/>
                  </w:tcBorders>
                  <w:vAlign w:val="center"/>
                </w:tcPr>
                <w:p w14:paraId="2E9375F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eastAsia="zh-CN" w:bidi="ar"/>
                    </w:rPr>
                    <w:t>食堂泔水、隔油池废油脂</w:t>
                  </w:r>
                </w:p>
              </w:tc>
              <w:tc>
                <w:tcPr>
                  <w:tcW w:w="3885" w:type="dxa"/>
                  <w:tcBorders>
                    <w:tl2br w:val="nil"/>
                    <w:tr2bl w:val="nil"/>
                  </w:tcBorders>
                  <w:vAlign w:val="center"/>
                </w:tcPr>
                <w:p w14:paraId="0F07B03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统一收集后委托有资质的单位定期清运、处置</w:t>
                  </w:r>
                </w:p>
              </w:tc>
              <w:tc>
                <w:tcPr>
                  <w:tcW w:w="659" w:type="dxa"/>
                  <w:vMerge w:val="continue"/>
                  <w:tcBorders>
                    <w:tl2br w:val="nil"/>
                    <w:tr2bl w:val="nil"/>
                  </w:tcBorders>
                  <w:vAlign w:val="center"/>
                </w:tcPr>
                <w:p w14:paraId="254973E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01A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2" w:type="dxa"/>
                  <w:vMerge w:val="continue"/>
                  <w:tcBorders>
                    <w:tl2br w:val="nil"/>
                    <w:tr2bl w:val="nil"/>
                  </w:tcBorders>
                  <w:vAlign w:val="center"/>
                </w:tcPr>
                <w:p w14:paraId="5EF60BF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59B63C5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生活污水处理</w:t>
                  </w:r>
                </w:p>
              </w:tc>
              <w:tc>
                <w:tcPr>
                  <w:tcW w:w="1560" w:type="dxa"/>
                  <w:tcBorders>
                    <w:tl2br w:val="nil"/>
                    <w:tr2bl w:val="nil"/>
                  </w:tcBorders>
                  <w:vAlign w:val="center"/>
                </w:tcPr>
                <w:p w14:paraId="540FADD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eastAsia" w:cs="Times New Roman"/>
                      <w:color w:val="auto"/>
                      <w:sz w:val="21"/>
                      <w:szCs w:val="21"/>
                      <w:highlight w:val="none"/>
                      <w:lang w:val="en-US" w:eastAsia="zh-CN"/>
                    </w:rPr>
                    <w:t>化粪池、生活污水处理设施</w:t>
                  </w:r>
                  <w:r>
                    <w:rPr>
                      <w:rFonts w:hint="eastAsia" w:cs="Times New Roman"/>
                      <w:b w:val="0"/>
                      <w:bCs w:val="0"/>
                      <w:color w:val="auto"/>
                      <w:kern w:val="2"/>
                      <w:sz w:val="21"/>
                      <w:szCs w:val="21"/>
                      <w:highlight w:val="none"/>
                      <w:lang w:val="en-US" w:eastAsia="zh-CN" w:bidi="ar"/>
                    </w:rPr>
                    <w:t>污泥</w:t>
                  </w:r>
                </w:p>
              </w:tc>
              <w:tc>
                <w:tcPr>
                  <w:tcW w:w="3885" w:type="dxa"/>
                  <w:tcBorders>
                    <w:tl2br w:val="nil"/>
                    <w:tr2bl w:val="nil"/>
                  </w:tcBorders>
                  <w:vAlign w:val="center"/>
                </w:tcPr>
                <w:p w14:paraId="128A0F6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定期委托环卫部门进行清掏清运处置</w:t>
                  </w:r>
                </w:p>
              </w:tc>
              <w:tc>
                <w:tcPr>
                  <w:tcW w:w="659" w:type="dxa"/>
                  <w:vMerge w:val="continue"/>
                  <w:tcBorders>
                    <w:tl2br w:val="nil"/>
                    <w:tr2bl w:val="nil"/>
                  </w:tcBorders>
                  <w:vAlign w:val="center"/>
                </w:tcPr>
                <w:p w14:paraId="4D1348E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FBE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2" w:type="dxa"/>
                  <w:vMerge w:val="continue"/>
                  <w:tcBorders>
                    <w:tl2br w:val="nil"/>
                    <w:tr2bl w:val="nil"/>
                  </w:tcBorders>
                  <w:vAlign w:val="center"/>
                </w:tcPr>
                <w:p w14:paraId="047D6B8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512" w:type="dxa"/>
                  <w:tcBorders>
                    <w:tl2br w:val="nil"/>
                    <w:tr2bl w:val="nil"/>
                  </w:tcBorders>
                  <w:vAlign w:val="center"/>
                </w:tcPr>
                <w:p w14:paraId="2E7D4565">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机修过程</w:t>
                  </w:r>
                </w:p>
              </w:tc>
              <w:tc>
                <w:tcPr>
                  <w:tcW w:w="1560" w:type="dxa"/>
                  <w:tcBorders>
                    <w:tl2br w:val="nil"/>
                    <w:tr2bl w:val="nil"/>
                  </w:tcBorders>
                  <w:vAlign w:val="center"/>
                </w:tcPr>
                <w:p w14:paraId="083FAE08">
                  <w:pPr>
                    <w:keepNext w:val="0"/>
                    <w:keepLines w:val="0"/>
                    <w:widowControl w:val="0"/>
                    <w:suppressLineNumbers w:val="0"/>
                    <w:spacing w:before="0" w:beforeAutospacing="0" w:after="0" w:afterAutospacing="0"/>
                    <w:ind w:left="0" w:leftChars="0" w:right="0" w:rightChars="0"/>
                    <w:jc w:val="center"/>
                    <w:rPr>
                      <w:rFonts w:hint="default" w:cs="Times New Roman"/>
                      <w:b w:val="0"/>
                      <w:bCs w:val="0"/>
                      <w:color w:val="auto"/>
                      <w:kern w:val="2"/>
                      <w:sz w:val="21"/>
                      <w:szCs w:val="21"/>
                      <w:highlight w:val="none"/>
                      <w:lang w:val="en-US" w:eastAsia="zh-CN" w:bidi="ar"/>
                    </w:rPr>
                  </w:pPr>
                  <w:r>
                    <w:rPr>
                      <w:rFonts w:hint="eastAsia" w:cs="Times New Roman"/>
                      <w:b w:val="0"/>
                      <w:bCs w:val="0"/>
                      <w:color w:val="auto"/>
                      <w:kern w:val="2"/>
                      <w:sz w:val="21"/>
                      <w:szCs w:val="21"/>
                      <w:highlight w:val="none"/>
                      <w:lang w:val="en-US" w:eastAsia="zh-CN" w:bidi="ar"/>
                    </w:rPr>
                    <w:t>废机油</w:t>
                  </w:r>
                </w:p>
              </w:tc>
              <w:tc>
                <w:tcPr>
                  <w:tcW w:w="3885" w:type="dxa"/>
                  <w:tcBorders>
                    <w:tl2br w:val="nil"/>
                    <w:tr2bl w:val="nil"/>
                  </w:tcBorders>
                  <w:vAlign w:val="center"/>
                </w:tcPr>
                <w:p w14:paraId="3E3C9D03">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收集暂存于危险废物暂存间，定期委托有资质的单位清运处置</w:t>
                  </w:r>
                </w:p>
              </w:tc>
              <w:tc>
                <w:tcPr>
                  <w:tcW w:w="659" w:type="dxa"/>
                  <w:vMerge w:val="continue"/>
                  <w:tcBorders>
                    <w:tl2br w:val="nil"/>
                    <w:tr2bl w:val="nil"/>
                  </w:tcBorders>
                  <w:vAlign w:val="center"/>
                </w:tcPr>
                <w:p w14:paraId="02DA7EC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029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82" w:type="dxa"/>
                  <w:tcBorders>
                    <w:tl2br w:val="nil"/>
                    <w:tr2bl w:val="nil"/>
                  </w:tcBorders>
                  <w:vAlign w:val="center"/>
                </w:tcPr>
                <w:p w14:paraId="2036812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512" w:type="dxa"/>
                  <w:tcBorders>
                    <w:tl2br w:val="nil"/>
                    <w:tr2bl w:val="nil"/>
                  </w:tcBorders>
                  <w:vAlign w:val="center"/>
                </w:tcPr>
                <w:p w14:paraId="1612226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p>
              </w:tc>
              <w:tc>
                <w:tcPr>
                  <w:tcW w:w="1560" w:type="dxa"/>
                  <w:tcBorders>
                    <w:tl2br w:val="nil"/>
                    <w:tr2bl w:val="nil"/>
                  </w:tcBorders>
                  <w:vAlign w:val="center"/>
                </w:tcPr>
                <w:p w14:paraId="68B2314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3885" w:type="dxa"/>
                  <w:tcBorders>
                    <w:tl2br w:val="nil"/>
                    <w:tr2bl w:val="nil"/>
                  </w:tcBorders>
                  <w:vAlign w:val="center"/>
                </w:tcPr>
                <w:p w14:paraId="3921293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室内布置、基础减震、距离衰减</w:t>
                  </w:r>
                </w:p>
              </w:tc>
              <w:tc>
                <w:tcPr>
                  <w:tcW w:w="659" w:type="dxa"/>
                  <w:tcBorders>
                    <w:tl2br w:val="nil"/>
                    <w:tr2bl w:val="nil"/>
                  </w:tcBorders>
                  <w:vAlign w:val="center"/>
                </w:tcPr>
                <w:p w14:paraId="2DB5390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bl>
          <w:p w14:paraId="1ED7644F">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p>
        </w:tc>
      </w:tr>
      <w:tr w14:paraId="71A23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9" w:hRule="atLeast"/>
          <w:jc w:val="center"/>
        </w:trPr>
        <w:tc>
          <w:tcPr>
            <w:tcW w:w="520" w:type="dxa"/>
            <w:vAlign w:val="center"/>
          </w:tcPr>
          <w:p w14:paraId="75566F40">
            <w:pPr>
              <w:pStyle w:val="22"/>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540" w:type="dxa"/>
            <w:vAlign w:val="top"/>
          </w:tcPr>
          <w:p w14:paraId="06B4E307">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1、原有工程环保手续办理情况</w:t>
            </w:r>
          </w:p>
          <w:p w14:paraId="09136777">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昆明日盛玻璃制造有限公司</w:t>
            </w:r>
            <w:r>
              <w:rPr>
                <w:rFonts w:hint="eastAsia" w:ascii="Times New Roman" w:hAnsi="Times New Roman" w:cs="Times New Roman"/>
                <w:color w:val="auto"/>
                <w:sz w:val="24"/>
                <w:szCs w:val="24"/>
                <w:highlight w:val="none"/>
                <w:lang w:val="en-US" w:eastAsia="zh-CN"/>
              </w:rPr>
              <w:t>成立于2014年7月，经营范围包括玻璃加工销售：铝合金门窗、钢制品加工销售：房屋建筑工程（依法须经批准的项目，经相关部门批准后方可开展经营活动），原生产地址位于昆明市官渡区大板桥，于2020年7月搬迁至昆明市寻甸回族彝族自治县特色产业园区羊街片区。公司于2021年11月在云南省昆明市寻甸回族彝族自治县特色产业园区羊街片区建成昆明日盛玻璃制造有限公司年产80万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门窗钢化玻璃、磨砂玻璃、中空玻璃生产线及配套设施建设项目（下称原项目）。原</w:t>
            </w:r>
            <w:r>
              <w:rPr>
                <w:rFonts w:hint="eastAsia" w:ascii="Times New Roman" w:hAnsi="Times New Roman" w:eastAsia="宋体" w:cs="Times New Roman"/>
                <w:color w:val="auto"/>
                <w:sz w:val="24"/>
                <w:szCs w:val="24"/>
                <w:highlight w:val="none"/>
                <w:lang w:val="zh-CN" w:eastAsia="zh-CN"/>
              </w:rPr>
              <w:t>项目占地面积</w:t>
            </w:r>
            <w:r>
              <w:rPr>
                <w:rFonts w:hint="eastAsia" w:ascii="Times New Roman" w:hAnsi="Times New Roman" w:eastAsia="宋体" w:cs="Times New Roman"/>
                <w:color w:val="auto"/>
                <w:sz w:val="24"/>
                <w:szCs w:val="24"/>
                <w:highlight w:val="none"/>
                <w:lang w:val="en-US" w:eastAsia="zh-CN"/>
              </w:rPr>
              <w:t>9721m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，建筑面积约11726m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，建设有1栋厂房作为生产车间，1栋办公楼（含食堂）和其它配套</w:t>
            </w:r>
            <w:r>
              <w:rPr>
                <w:rFonts w:hint="eastAsia" w:ascii="Times New Roman" w:hAnsi="Times New Roman" w:cs="Times New Roman"/>
                <w:color w:val="auto"/>
                <w:sz w:val="24"/>
                <w:szCs w:val="24"/>
                <w:highlight w:val="none"/>
                <w:lang w:val="en-US" w:eastAsia="zh-CN"/>
              </w:rPr>
              <w:t>公用</w:t>
            </w:r>
            <w:r>
              <w:rPr>
                <w:rFonts w:hint="eastAsia" w:ascii="Times New Roman" w:hAnsi="Times New Roman" w:eastAsia="宋体" w:cs="Times New Roman"/>
                <w:color w:val="auto"/>
                <w:sz w:val="24"/>
                <w:szCs w:val="24"/>
                <w:highlight w:val="none"/>
                <w:lang w:val="en-US" w:eastAsia="zh-CN"/>
              </w:rPr>
              <w:t>工程和环保工程设施，设置原片切割、磨边生产线2条，钢化玻璃生产线2条，磨砂玻璃生产</w:t>
            </w:r>
            <w:r>
              <w:rPr>
                <w:rFonts w:hint="eastAsia" w:ascii="Times New Roman" w:hAnsi="Times New Roman" w:cs="Times New Roman"/>
                <w:color w:val="auto"/>
                <w:sz w:val="24"/>
                <w:szCs w:val="24"/>
                <w:highlight w:val="none"/>
                <w:lang w:val="en-US" w:eastAsia="zh-CN"/>
              </w:rPr>
              <w:t>线</w:t>
            </w:r>
            <w:r>
              <w:rPr>
                <w:rFonts w:hint="eastAsia" w:ascii="Times New Roman" w:hAnsi="Times New Roman" w:eastAsia="宋体" w:cs="Times New Roman"/>
                <w:color w:val="auto"/>
                <w:sz w:val="24"/>
                <w:szCs w:val="24"/>
                <w:highlight w:val="none"/>
                <w:lang w:val="en-US" w:eastAsia="zh-CN"/>
              </w:rPr>
              <w:t>1条，中空玻璃生产</w:t>
            </w:r>
            <w:r>
              <w:rPr>
                <w:rFonts w:hint="eastAsia" w:ascii="Times New Roman" w:hAnsi="Times New Roman" w:cs="Times New Roman"/>
                <w:color w:val="auto"/>
                <w:sz w:val="24"/>
                <w:szCs w:val="24"/>
                <w:highlight w:val="none"/>
                <w:lang w:val="en-US" w:eastAsia="zh-CN"/>
              </w:rPr>
              <w:t>线</w:t>
            </w:r>
            <w:r>
              <w:rPr>
                <w:rFonts w:hint="eastAsia" w:ascii="Times New Roman" w:hAnsi="Times New Roman" w:eastAsia="宋体" w:cs="Times New Roman"/>
                <w:color w:val="auto"/>
                <w:sz w:val="24"/>
                <w:szCs w:val="24"/>
                <w:highlight w:val="none"/>
                <w:lang w:val="en-US" w:eastAsia="zh-CN"/>
              </w:rPr>
              <w:t>1条，生产规模为年产钢化玻璃70万平方米，磨砂玻璃5万平方米，中空玻璃5万平方米。</w:t>
            </w:r>
            <w:r>
              <w:rPr>
                <w:rFonts w:hint="eastAsia" w:ascii="Times New Roman" w:hAnsi="Times New Roman" w:cs="Times New Roman"/>
                <w:color w:val="auto"/>
                <w:sz w:val="24"/>
                <w:szCs w:val="24"/>
                <w:highlight w:val="none"/>
                <w:lang w:val="en-US" w:eastAsia="zh-CN"/>
              </w:rPr>
              <w:t xml:space="preserve">  </w:t>
            </w:r>
          </w:p>
          <w:p w14:paraId="3A619620">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4"/>
                <w:szCs w:val="24"/>
                <w:highlight w:val="none"/>
                <w:lang w:val="en-US" w:eastAsia="zh-CN"/>
              </w:rPr>
              <w:t>建设单位</w:t>
            </w:r>
            <w:r>
              <w:rPr>
                <w:rFonts w:hint="eastAsia" w:ascii="Times New Roman" w:hAnsi="Times New Roman" w:cs="Times New Roman"/>
                <w:color w:val="auto"/>
                <w:sz w:val="24"/>
                <w:szCs w:val="24"/>
                <w:highlight w:val="none"/>
                <w:lang w:val="en-US" w:eastAsia="zh-CN"/>
              </w:rPr>
              <w:t>于2020年5月委托</w:t>
            </w:r>
            <w:r>
              <w:rPr>
                <w:rFonts w:hint="default" w:ascii="Times New Roman" w:hAnsi="Times New Roman" w:eastAsia="宋体" w:cs="Times New Roman"/>
                <w:color w:val="auto"/>
                <w:sz w:val="24"/>
                <w:szCs w:val="24"/>
                <w:highlight w:val="none"/>
                <w:lang w:val="zh-CN" w:eastAsia="zh-CN"/>
              </w:rPr>
              <w:t>云南勤策环境检测技术有限公司编制了《昆明日盛玻璃制造有限公司年产80万m</w:t>
            </w:r>
            <w:r>
              <w:rPr>
                <w:rFonts w:hint="default" w:ascii="Times New Roman" w:hAnsi="Times New Roman" w:eastAsia="宋体" w:cs="Times New Roman"/>
                <w:color w:val="auto"/>
                <w:sz w:val="24"/>
                <w:szCs w:val="24"/>
                <w:highlight w:val="none"/>
                <w:vertAlign w:val="superscript"/>
                <w:lang w:val="zh-CN" w:eastAsia="zh-CN"/>
              </w:rPr>
              <w:t>2</w:t>
            </w:r>
            <w:r>
              <w:rPr>
                <w:rFonts w:hint="default" w:ascii="Times New Roman" w:hAnsi="Times New Roman" w:eastAsia="宋体" w:cs="Times New Roman"/>
                <w:color w:val="auto"/>
                <w:sz w:val="24"/>
                <w:szCs w:val="24"/>
                <w:highlight w:val="none"/>
                <w:lang w:val="zh-CN" w:eastAsia="zh-CN"/>
              </w:rPr>
              <w:t>门窗钢化玻璃、磨砂玻璃、中空玻璃生产线及配套设施建设项目环境影响报告表》，于</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zh-CN" w:eastAsia="zh-CN"/>
              </w:rPr>
              <w:t>年</w:t>
            </w:r>
            <w:r>
              <w:rPr>
                <w:rFonts w:hint="eastAsia"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zh-CN" w:eastAsia="zh-CN"/>
              </w:rPr>
              <w:t>月</w:t>
            </w:r>
            <w:r>
              <w:rPr>
                <w:rFonts w:hint="eastAsia"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lang w:val="zh-CN" w:eastAsia="zh-CN"/>
              </w:rPr>
              <w:t>日取得了昆明市生态环境局寻甸分局《关于对&lt;昆明日盛玻璃制造有限公司年产80万m</w:t>
            </w:r>
            <w:r>
              <w:rPr>
                <w:rFonts w:hint="default" w:ascii="Times New Roman" w:hAnsi="Times New Roman" w:eastAsia="宋体" w:cs="Times New Roman"/>
                <w:color w:val="auto"/>
                <w:sz w:val="24"/>
                <w:szCs w:val="24"/>
                <w:highlight w:val="none"/>
                <w:vertAlign w:val="superscript"/>
                <w:lang w:val="zh-CN" w:eastAsia="zh-CN"/>
              </w:rPr>
              <w:t>2</w:t>
            </w:r>
            <w:r>
              <w:rPr>
                <w:rFonts w:hint="default" w:ascii="Times New Roman" w:hAnsi="Times New Roman" w:eastAsia="宋体" w:cs="Times New Roman"/>
                <w:color w:val="auto"/>
                <w:sz w:val="24"/>
                <w:szCs w:val="24"/>
                <w:highlight w:val="none"/>
                <w:lang w:val="zh-CN" w:eastAsia="zh-CN"/>
              </w:rPr>
              <w:t>门窗钢化玻璃、磨砂玻璃、中空玻璃生产线及配套设施建设项目环境影响报告表&gt;的批复》（昆生环寻[2020]107号）（见附件</w:t>
            </w:r>
            <w:r>
              <w:rPr>
                <w:rFonts w:hint="eastAsia"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建设单位于2021年12月17日</w:t>
            </w:r>
            <w:r>
              <w:rPr>
                <w:rFonts w:hint="default" w:ascii="Times New Roman" w:hAnsi="Times New Roman" w:eastAsia="宋体" w:cs="Times New Roman"/>
                <w:color w:val="auto"/>
                <w:sz w:val="24"/>
                <w:szCs w:val="24"/>
                <w:highlight w:val="none"/>
                <w:lang w:val="en-US" w:eastAsia="zh-CN"/>
              </w:rPr>
              <w:t>取得</w:t>
            </w:r>
            <w:r>
              <w:rPr>
                <w:rFonts w:hint="eastAsia" w:ascii="Times New Roman" w:hAnsi="Times New Roman" w:eastAsia="宋体" w:cs="Times New Roman"/>
                <w:color w:val="auto"/>
                <w:sz w:val="24"/>
                <w:szCs w:val="24"/>
                <w:highlight w:val="none"/>
                <w:lang w:val="en-US" w:eastAsia="zh-CN"/>
              </w:rPr>
              <w:t>排污许可证（简化管理）</w:t>
            </w:r>
            <w:r>
              <w:rPr>
                <w:rFonts w:hint="default" w:ascii="Times New Roman" w:hAnsi="Times New Roman" w:eastAsia="宋体" w:cs="Times New Roman"/>
                <w:color w:val="auto"/>
                <w:sz w:val="24"/>
                <w:szCs w:val="24"/>
                <w:highlight w:val="none"/>
                <w:lang w:val="en-US" w:eastAsia="zh-CN"/>
              </w:rPr>
              <w:t>，编号：</w:t>
            </w:r>
            <w:r>
              <w:rPr>
                <w:rFonts w:hint="eastAsia" w:ascii="Times New Roman" w:hAnsi="Times New Roman" w:cs="Times New Roman"/>
                <w:color w:val="auto"/>
                <w:sz w:val="24"/>
                <w:szCs w:val="24"/>
                <w:highlight w:val="none"/>
                <w:lang w:val="en-US" w:eastAsia="zh-CN"/>
              </w:rPr>
              <w:t>91530129309686792H001U</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见附件</w:t>
            </w:r>
            <w:r>
              <w:rPr>
                <w:rFonts w:hint="eastAsia"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zh-CN" w:eastAsia="zh-CN"/>
              </w:rPr>
              <w:t>于</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lang w:val="zh-CN" w:eastAsia="zh-CN"/>
              </w:rPr>
              <w:t>委托云南众城生态环境建设有限公司</w:t>
            </w:r>
            <w:r>
              <w:rPr>
                <w:rFonts w:hint="default" w:ascii="Times New Roman" w:hAnsi="Times New Roman" w:eastAsia="宋体" w:cs="Times New Roman"/>
                <w:color w:val="auto"/>
                <w:sz w:val="24"/>
                <w:szCs w:val="24"/>
                <w:highlight w:val="none"/>
                <w:lang w:val="en-US" w:eastAsia="zh-CN"/>
              </w:rPr>
              <w:t>编制了《昆明日盛玻璃制造有限公司年产80万m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门窗钢化玻璃、磨砂玻璃、中空玻璃生产线及配套设施建设项目竣工环境保护验收监测报告表》，</w:t>
            </w:r>
            <w:r>
              <w:rPr>
                <w:rFonts w:hint="eastAsia" w:ascii="Times New Roman" w:hAnsi="Times New Roman" w:cs="Times New Roman"/>
                <w:color w:val="auto"/>
                <w:sz w:val="24"/>
                <w:szCs w:val="24"/>
                <w:highlight w:val="none"/>
                <w:lang w:val="en-US" w:eastAsia="zh-CN"/>
              </w:rPr>
              <w:t>并于</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cs="Times New Roman"/>
                <w:color w:val="auto"/>
                <w:sz w:val="24"/>
                <w:szCs w:val="24"/>
                <w:highlight w:val="none"/>
                <w:lang w:val="en-US" w:eastAsia="zh-CN"/>
              </w:rPr>
              <w:t>组织对昆明日盛玻璃制造有限公司年产80万m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门窗钢化玻璃、磨砂玻璃、中空玻璃生产线及配套设施建设项目召开了环保“三同时”竣工验收会，形成了自主验收意见</w:t>
            </w:r>
            <w:r>
              <w:rPr>
                <w:rFonts w:hint="default" w:ascii="Times New Roman" w:hAnsi="Times New Roman" w:eastAsia="宋体" w:cs="Times New Roman"/>
                <w:color w:val="auto"/>
                <w:sz w:val="24"/>
                <w:szCs w:val="24"/>
                <w:highlight w:val="none"/>
                <w:lang w:val="zh-CN" w:eastAsia="zh-CN"/>
              </w:rPr>
              <w:t>（见附件</w:t>
            </w:r>
            <w:r>
              <w:rPr>
                <w:rFonts w:hint="eastAsia" w:ascii="Times New Roman" w:hAnsi="Times New Roman"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cs="Times New Roman"/>
                <w:color w:val="auto"/>
                <w:sz w:val="24"/>
                <w:szCs w:val="24"/>
                <w:highlight w:val="none"/>
                <w:lang w:val="en-US" w:eastAsia="zh-CN"/>
              </w:rPr>
              <w:t>。</w:t>
            </w:r>
          </w:p>
          <w:p w14:paraId="615AF4A7">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2、原项目验收工程内容执行情况</w:t>
            </w:r>
          </w:p>
          <w:p w14:paraId="7C5C19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bCs/>
                <w:color w:val="auto"/>
                <w:sz w:val="24"/>
                <w:szCs w:val="24"/>
                <w:highlight w:val="none"/>
                <w:lang w:val="en-US" w:eastAsia="zh-CN"/>
              </w:rPr>
              <w:t>经对照原项目竣工环境保护验收报告</w:t>
            </w:r>
            <w:r>
              <w:rPr>
                <w:rFonts w:hint="eastAsia" w:cs="Times New Roman"/>
                <w:color w:val="auto"/>
                <w:sz w:val="24"/>
                <w:szCs w:val="24"/>
                <w:highlight w:val="none"/>
                <w:lang w:val="zh-CN" w:eastAsia="zh-CN"/>
              </w:rPr>
              <w:t>，</w:t>
            </w:r>
            <w:r>
              <w:rPr>
                <w:rFonts w:hint="eastAsia" w:cs="Times New Roman"/>
                <w:color w:val="auto"/>
                <w:sz w:val="24"/>
                <w:szCs w:val="24"/>
                <w:highlight w:val="none"/>
                <w:lang w:val="en-US" w:eastAsia="zh-CN"/>
              </w:rPr>
              <w:t>原项目验收工程内容及实际执行情况见表2-10、主要设备对比情况见表2-11。</w:t>
            </w:r>
          </w:p>
          <w:p w14:paraId="1FBC9287">
            <w:pPr>
              <w:rPr>
                <w:rFonts w:hint="default"/>
                <w:color w:val="auto"/>
                <w:highlight w:val="none"/>
                <w:lang w:val="en-US" w:eastAsia="zh-CN"/>
              </w:rPr>
            </w:pPr>
          </w:p>
          <w:p w14:paraId="7A6E3447">
            <w:pPr>
              <w:rPr>
                <w:rFonts w:hint="default"/>
                <w:color w:val="auto"/>
                <w:highlight w:val="none"/>
                <w:lang w:val="en-US" w:eastAsia="zh-CN"/>
              </w:rPr>
            </w:pPr>
          </w:p>
          <w:p w14:paraId="6C49FFA4">
            <w:pPr>
              <w:rPr>
                <w:rFonts w:hint="default"/>
                <w:color w:val="auto"/>
                <w:highlight w:val="none"/>
                <w:lang w:val="en-US" w:eastAsia="zh-CN"/>
              </w:rPr>
            </w:pPr>
          </w:p>
          <w:p w14:paraId="45E33793">
            <w:pPr>
              <w:pStyle w:val="23"/>
              <w:spacing w:after="0" w:line="240" w:lineRule="auto"/>
              <w:ind w:firstLine="0" w:firstLineChars="0"/>
              <w:jc w:val="center"/>
              <w:rPr>
                <w:rFonts w:hint="eastAsia" w:ascii="宋体" w:hAnsi="宋体" w:eastAsia="宋体" w:cs="宋体"/>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原项目验收</w:t>
            </w:r>
            <w:r>
              <w:rPr>
                <w:rFonts w:hint="eastAsia" w:cs="Times New Roman"/>
                <w:b/>
                <w:bCs/>
                <w:color w:val="auto"/>
                <w:sz w:val="21"/>
                <w:szCs w:val="21"/>
                <w:highlight w:val="none"/>
                <w:lang w:val="en-US" w:eastAsia="zh-CN"/>
              </w:rPr>
              <w:t>工程</w:t>
            </w:r>
            <w:r>
              <w:rPr>
                <w:rFonts w:hint="default" w:ascii="Times New Roman" w:hAnsi="Times New Roman" w:eastAsia="宋体" w:cs="Times New Roman"/>
                <w:b/>
                <w:bCs/>
                <w:color w:val="auto"/>
                <w:sz w:val="21"/>
                <w:szCs w:val="21"/>
                <w:highlight w:val="none"/>
                <w:lang w:val="en-US" w:eastAsia="zh-CN"/>
              </w:rPr>
              <w:t>内容</w:t>
            </w:r>
            <w:r>
              <w:rPr>
                <w:rFonts w:hint="eastAsia" w:ascii="Times New Roman" w:hAnsi="Times New Roman" w:eastAsia="宋体" w:cs="Times New Roman"/>
                <w:b/>
                <w:bCs/>
                <w:color w:val="auto"/>
                <w:sz w:val="21"/>
                <w:szCs w:val="21"/>
                <w:highlight w:val="none"/>
                <w:lang w:val="en-US" w:eastAsia="zh-CN"/>
              </w:rPr>
              <w:t>及</w:t>
            </w:r>
            <w:r>
              <w:rPr>
                <w:rFonts w:hint="default" w:ascii="Times New Roman" w:hAnsi="Times New Roman" w:eastAsia="宋体" w:cs="Times New Roman"/>
                <w:b/>
                <w:bCs/>
                <w:color w:val="auto"/>
                <w:sz w:val="21"/>
                <w:szCs w:val="21"/>
                <w:highlight w:val="none"/>
                <w:lang w:val="en-US" w:eastAsia="zh-CN"/>
              </w:rPr>
              <w:t>执行情况</w:t>
            </w:r>
            <w:r>
              <w:rPr>
                <w:rFonts w:hint="eastAsia" w:cs="Times New Roman"/>
                <w:b/>
                <w:bCs/>
                <w:color w:val="auto"/>
                <w:sz w:val="21"/>
                <w:szCs w:val="21"/>
                <w:highlight w:val="none"/>
                <w:lang w:val="en-US" w:eastAsia="zh-CN"/>
              </w:rPr>
              <w:t>一览表</w:t>
            </w:r>
          </w:p>
          <w:tbl>
            <w:tblPr>
              <w:tblStyle w:val="25"/>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356"/>
              <w:gridCol w:w="1080"/>
              <w:gridCol w:w="2807"/>
              <w:gridCol w:w="2743"/>
              <w:gridCol w:w="722"/>
            </w:tblGrid>
            <w:tr w14:paraId="0014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noWrap w:val="0"/>
                  <w:vAlign w:val="center"/>
                </w:tcPr>
                <w:p w14:paraId="0A09ABCD">
                  <w:pPr>
                    <w:adjustRightInd w:val="0"/>
                    <w:snapToGrid w:val="0"/>
                    <w:jc w:val="center"/>
                    <w:rPr>
                      <w:rFonts w:ascii="宋体" w:hAnsi="宋体"/>
                      <w:b/>
                      <w:bCs/>
                      <w:color w:val="auto"/>
                      <w:szCs w:val="21"/>
                      <w:highlight w:val="none"/>
                    </w:rPr>
                  </w:pPr>
                  <w:r>
                    <w:rPr>
                      <w:rFonts w:ascii="宋体" w:hAnsi="宋体"/>
                      <w:b/>
                      <w:bCs/>
                      <w:color w:val="auto"/>
                      <w:szCs w:val="21"/>
                      <w:highlight w:val="none"/>
                    </w:rPr>
                    <w:t>分类</w:t>
                  </w:r>
                </w:p>
              </w:tc>
              <w:tc>
                <w:tcPr>
                  <w:tcW w:w="858" w:type="pct"/>
                  <w:gridSpan w:val="2"/>
                  <w:noWrap w:val="0"/>
                  <w:vAlign w:val="center"/>
                </w:tcPr>
                <w:p w14:paraId="7FA13A3E">
                  <w:pPr>
                    <w:adjustRightInd w:val="0"/>
                    <w:snapToGrid w:val="0"/>
                    <w:jc w:val="center"/>
                    <w:rPr>
                      <w:rFonts w:ascii="宋体" w:hAnsi="宋体"/>
                      <w:b/>
                      <w:bCs/>
                      <w:color w:val="auto"/>
                      <w:szCs w:val="21"/>
                      <w:highlight w:val="none"/>
                    </w:rPr>
                  </w:pPr>
                  <w:r>
                    <w:rPr>
                      <w:rFonts w:ascii="宋体" w:hAnsi="宋体"/>
                      <w:b/>
                      <w:bCs/>
                      <w:color w:val="auto"/>
                      <w:szCs w:val="21"/>
                      <w:highlight w:val="none"/>
                    </w:rPr>
                    <w:t>项目名称</w:t>
                  </w:r>
                </w:p>
              </w:tc>
              <w:tc>
                <w:tcPr>
                  <w:tcW w:w="1678" w:type="pct"/>
                  <w:noWrap w:val="0"/>
                  <w:vAlign w:val="center"/>
                </w:tcPr>
                <w:p w14:paraId="1FDA4E3E">
                  <w:pPr>
                    <w:adjustRightInd w:val="0"/>
                    <w:snapToGrid w:val="0"/>
                    <w:jc w:val="center"/>
                    <w:rPr>
                      <w:rFonts w:ascii="宋体" w:hAnsi="宋体"/>
                      <w:b/>
                      <w:bCs/>
                      <w:color w:val="auto"/>
                      <w:szCs w:val="21"/>
                      <w:highlight w:val="none"/>
                    </w:rPr>
                  </w:pPr>
                  <w:r>
                    <w:rPr>
                      <w:rFonts w:hint="eastAsia" w:ascii="宋体" w:hAnsi="宋体"/>
                      <w:b/>
                      <w:bCs/>
                      <w:color w:val="auto"/>
                      <w:szCs w:val="21"/>
                      <w:highlight w:val="none"/>
                    </w:rPr>
                    <w:t>验收</w:t>
                  </w:r>
                  <w:r>
                    <w:rPr>
                      <w:rFonts w:hint="eastAsia" w:ascii="宋体" w:hAnsi="宋体"/>
                      <w:b/>
                      <w:bCs/>
                      <w:color w:val="auto"/>
                      <w:szCs w:val="21"/>
                      <w:highlight w:val="none"/>
                      <w:lang w:eastAsia="zh-CN"/>
                    </w:rPr>
                    <w:t>工程</w:t>
                  </w:r>
                  <w:r>
                    <w:rPr>
                      <w:rFonts w:ascii="宋体" w:hAnsi="宋体"/>
                      <w:b/>
                      <w:bCs/>
                      <w:color w:val="auto"/>
                      <w:szCs w:val="21"/>
                      <w:highlight w:val="none"/>
                    </w:rPr>
                    <w:t>建设内容及规模</w:t>
                  </w:r>
                </w:p>
              </w:tc>
              <w:tc>
                <w:tcPr>
                  <w:tcW w:w="1639" w:type="pct"/>
                  <w:noWrap w:val="0"/>
                  <w:vAlign w:val="center"/>
                </w:tcPr>
                <w:p w14:paraId="509FE62C">
                  <w:pPr>
                    <w:adjustRightInd w:val="0"/>
                    <w:snapToGrid w:val="0"/>
                    <w:jc w:val="center"/>
                    <w:rPr>
                      <w:rFonts w:hint="eastAsia" w:ascii="宋体" w:hAnsi="宋体"/>
                      <w:b/>
                      <w:bCs/>
                      <w:color w:val="auto"/>
                      <w:szCs w:val="21"/>
                      <w:highlight w:val="none"/>
                    </w:rPr>
                  </w:pPr>
                  <w:r>
                    <w:rPr>
                      <w:rFonts w:hint="eastAsia" w:cs="Times New Roman"/>
                      <w:b/>
                      <w:color w:val="auto"/>
                      <w:sz w:val="21"/>
                      <w:szCs w:val="21"/>
                      <w:highlight w:val="none"/>
                      <w:lang w:val="en-US" w:eastAsia="zh-CN"/>
                    </w:rPr>
                    <w:t>实际执行情况</w:t>
                  </w:r>
                </w:p>
              </w:tc>
              <w:tc>
                <w:tcPr>
                  <w:tcW w:w="431" w:type="pct"/>
                  <w:noWrap w:val="0"/>
                  <w:vAlign w:val="center"/>
                </w:tcPr>
                <w:p w14:paraId="6B0FDC10">
                  <w:pPr>
                    <w:adjustRightInd w:val="0"/>
                    <w:snapToGrid w:val="0"/>
                    <w:jc w:val="center"/>
                    <w:rPr>
                      <w:rFonts w:hint="eastAsia" w:ascii="宋体" w:hAnsi="宋体" w:eastAsia="宋体"/>
                      <w:b/>
                      <w:bCs/>
                      <w:color w:val="auto"/>
                      <w:szCs w:val="21"/>
                      <w:highlight w:val="none"/>
                      <w:lang w:eastAsia="zh-CN"/>
                    </w:rPr>
                  </w:pPr>
                  <w:r>
                    <w:rPr>
                      <w:rFonts w:hint="eastAsia" w:ascii="宋体" w:hAnsi="宋体"/>
                      <w:b/>
                      <w:bCs/>
                      <w:color w:val="auto"/>
                      <w:szCs w:val="21"/>
                      <w:highlight w:val="none"/>
                      <w:lang w:eastAsia="zh-CN"/>
                    </w:rPr>
                    <w:t>对比情况</w:t>
                  </w:r>
                </w:p>
              </w:tc>
            </w:tr>
            <w:tr w14:paraId="4806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restart"/>
                  <w:noWrap w:val="0"/>
                  <w:vAlign w:val="center"/>
                </w:tcPr>
                <w:p w14:paraId="37053801">
                  <w:pPr>
                    <w:adjustRightInd w:val="0"/>
                    <w:snapToGrid w:val="0"/>
                    <w:jc w:val="center"/>
                    <w:rPr>
                      <w:rFonts w:ascii="宋体" w:hAnsi="宋体"/>
                      <w:color w:val="auto"/>
                      <w:szCs w:val="21"/>
                      <w:highlight w:val="none"/>
                    </w:rPr>
                  </w:pPr>
                  <w:r>
                    <w:rPr>
                      <w:rFonts w:ascii="宋体" w:hAnsi="宋体"/>
                      <w:color w:val="auto"/>
                      <w:szCs w:val="21"/>
                      <w:highlight w:val="none"/>
                      <w:lang w:val="zh-CN"/>
                    </w:rPr>
                    <w:t>主体工程</w:t>
                  </w:r>
                </w:p>
              </w:tc>
              <w:tc>
                <w:tcPr>
                  <w:tcW w:w="858" w:type="pct"/>
                  <w:gridSpan w:val="2"/>
                  <w:tcBorders>
                    <w:bottom w:val="single" w:color="auto" w:sz="4" w:space="0"/>
                  </w:tcBorders>
                  <w:noWrap w:val="0"/>
                  <w:vAlign w:val="center"/>
                </w:tcPr>
                <w:p w14:paraId="475E7A6B">
                  <w:pPr>
                    <w:adjustRightInd w:val="0"/>
                    <w:snapToGrid w:val="0"/>
                    <w:jc w:val="center"/>
                    <w:rPr>
                      <w:rFonts w:ascii="宋体" w:hAnsi="宋体"/>
                      <w:color w:val="auto"/>
                      <w:szCs w:val="21"/>
                      <w:highlight w:val="none"/>
                    </w:rPr>
                  </w:pPr>
                  <w:r>
                    <w:rPr>
                      <w:rFonts w:hint="eastAsia" w:ascii="宋体" w:hAnsi="宋体"/>
                      <w:color w:val="auto"/>
                      <w:szCs w:val="21"/>
                      <w:highlight w:val="none"/>
                    </w:rPr>
                    <w:t>厂房（生产车间）</w:t>
                  </w:r>
                </w:p>
              </w:tc>
              <w:tc>
                <w:tcPr>
                  <w:tcW w:w="1678" w:type="pct"/>
                  <w:noWrap w:val="0"/>
                  <w:vAlign w:val="center"/>
                </w:tcPr>
                <w:p w14:paraId="5754C465">
                  <w:pPr>
                    <w:adjustRightInd w:val="0"/>
                    <w:snapToGrid w:val="0"/>
                    <w:jc w:val="left"/>
                    <w:rPr>
                      <w:rFonts w:ascii="宋体" w:hAnsi="宋体"/>
                      <w:color w:val="auto"/>
                      <w:szCs w:val="21"/>
                      <w:highlight w:val="none"/>
                    </w:rPr>
                  </w:pPr>
                  <w:r>
                    <w:rPr>
                      <w:rFonts w:hint="default" w:ascii="Times New Roman" w:hAnsi="Times New Roman" w:cs="Times New Roman"/>
                      <w:color w:val="auto"/>
                      <w:szCs w:val="21"/>
                      <w:highlight w:val="none"/>
                    </w:rPr>
                    <w:t>1</w:t>
                  </w:r>
                  <w:r>
                    <w:rPr>
                      <w:rFonts w:hint="eastAsia" w:ascii="宋体" w:hAnsi="宋体"/>
                      <w:color w:val="auto"/>
                      <w:szCs w:val="21"/>
                      <w:highlight w:val="none"/>
                    </w:rPr>
                    <w:t>栋，占地面积</w:t>
                  </w:r>
                  <w:r>
                    <w:rPr>
                      <w:rFonts w:hint="default" w:ascii="Times New Roman" w:hAnsi="Times New Roman" w:cs="Times New Roman"/>
                      <w:color w:val="auto"/>
                      <w:szCs w:val="21"/>
                      <w:highlight w:val="none"/>
                    </w:rPr>
                    <w:t>6874.76m</w:t>
                  </w:r>
                  <w:r>
                    <w:rPr>
                      <w:rFonts w:hint="default" w:ascii="Times New Roman" w:hAnsi="Times New Roman" w:cs="Times New Roman"/>
                      <w:color w:val="auto"/>
                      <w:szCs w:val="21"/>
                      <w:highlight w:val="none"/>
                      <w:vertAlign w:val="superscript"/>
                    </w:rPr>
                    <w:t>2</w:t>
                  </w:r>
                  <w:r>
                    <w:rPr>
                      <w:rFonts w:hint="eastAsia" w:ascii="宋体" w:hAnsi="宋体"/>
                      <w:color w:val="auto"/>
                      <w:szCs w:val="21"/>
                      <w:highlight w:val="none"/>
                    </w:rPr>
                    <w:t>、</w:t>
                  </w:r>
                  <w:r>
                    <w:rPr>
                      <w:rFonts w:hint="default" w:ascii="Times New Roman" w:hAnsi="Times New Roman" w:cs="Times New Roman"/>
                      <w:color w:val="auto"/>
                      <w:szCs w:val="21"/>
                      <w:highlight w:val="none"/>
                    </w:rPr>
                    <w:t>2</w:t>
                  </w:r>
                  <w:r>
                    <w:rPr>
                      <w:rFonts w:hint="eastAsia" w:ascii="宋体" w:hAnsi="宋体"/>
                      <w:color w:val="auto"/>
                      <w:szCs w:val="21"/>
                      <w:highlight w:val="none"/>
                    </w:rPr>
                    <w:t>层钢架结构、建筑高度</w:t>
                  </w:r>
                  <w:r>
                    <w:rPr>
                      <w:rFonts w:hint="default" w:ascii="Times New Roman" w:hAnsi="Times New Roman" w:cs="Times New Roman"/>
                      <w:color w:val="auto"/>
                      <w:szCs w:val="21"/>
                      <w:highlight w:val="none"/>
                    </w:rPr>
                    <w:t>10.5m</w:t>
                  </w:r>
                  <w:r>
                    <w:rPr>
                      <w:rFonts w:hint="eastAsia" w:ascii="宋体" w:hAnsi="宋体"/>
                      <w:color w:val="auto"/>
                      <w:szCs w:val="21"/>
                      <w:highlight w:val="none"/>
                    </w:rPr>
                    <w:t>，厂房总建筑面积</w:t>
                  </w:r>
                  <w:r>
                    <w:rPr>
                      <w:rFonts w:hint="default" w:ascii="Times New Roman" w:hAnsi="Times New Roman" w:cs="Times New Roman"/>
                      <w:color w:val="auto"/>
                      <w:szCs w:val="21"/>
                      <w:highlight w:val="none"/>
                    </w:rPr>
                    <w:t>9882m</w:t>
                  </w:r>
                  <w:r>
                    <w:rPr>
                      <w:rFonts w:hint="default" w:ascii="Times New Roman" w:hAnsi="Times New Roman" w:cs="Times New Roman"/>
                      <w:color w:val="auto"/>
                      <w:szCs w:val="21"/>
                      <w:highlight w:val="none"/>
                      <w:vertAlign w:val="superscript"/>
                    </w:rPr>
                    <w:t>2</w:t>
                  </w:r>
                </w:p>
              </w:tc>
              <w:tc>
                <w:tcPr>
                  <w:tcW w:w="1639" w:type="pct"/>
                  <w:noWrap w:val="0"/>
                  <w:vAlign w:val="center"/>
                </w:tcPr>
                <w:p w14:paraId="1B7DC778">
                  <w:pPr>
                    <w:adjustRightInd w:val="0"/>
                    <w:snapToGrid w:val="0"/>
                    <w:jc w:val="left"/>
                    <w:rPr>
                      <w:rFonts w:ascii="宋体" w:hAnsi="宋体"/>
                      <w:color w:val="auto"/>
                      <w:szCs w:val="21"/>
                      <w:highlight w:val="none"/>
                    </w:rPr>
                  </w:pPr>
                  <w:r>
                    <w:rPr>
                      <w:rFonts w:hint="default" w:ascii="Times New Roman" w:hAnsi="Times New Roman" w:cs="Times New Roman"/>
                      <w:color w:val="auto"/>
                      <w:szCs w:val="21"/>
                      <w:highlight w:val="none"/>
                    </w:rPr>
                    <w:t>1</w:t>
                  </w:r>
                  <w:r>
                    <w:rPr>
                      <w:rFonts w:hint="eastAsia" w:ascii="宋体" w:hAnsi="宋体"/>
                      <w:color w:val="auto"/>
                      <w:szCs w:val="21"/>
                      <w:highlight w:val="none"/>
                    </w:rPr>
                    <w:t>栋，占地面积</w:t>
                  </w:r>
                  <w:r>
                    <w:rPr>
                      <w:rFonts w:hint="default" w:ascii="Times New Roman" w:hAnsi="Times New Roman" w:cs="Times New Roman"/>
                      <w:color w:val="auto"/>
                      <w:szCs w:val="21"/>
                      <w:highlight w:val="none"/>
                    </w:rPr>
                    <w:t>6874.76m</w:t>
                  </w:r>
                  <w:r>
                    <w:rPr>
                      <w:rFonts w:hint="default" w:ascii="Times New Roman" w:hAnsi="Times New Roman" w:cs="Times New Roman"/>
                      <w:color w:val="auto"/>
                      <w:szCs w:val="21"/>
                      <w:highlight w:val="none"/>
                      <w:vertAlign w:val="superscript"/>
                    </w:rPr>
                    <w:t>2</w:t>
                  </w:r>
                  <w:r>
                    <w:rPr>
                      <w:rFonts w:hint="eastAsia" w:ascii="宋体" w:hAnsi="宋体"/>
                      <w:color w:val="auto"/>
                      <w:szCs w:val="21"/>
                      <w:highlight w:val="none"/>
                    </w:rPr>
                    <w:t>、</w:t>
                  </w:r>
                  <w:r>
                    <w:rPr>
                      <w:rFonts w:hint="default" w:ascii="Times New Roman" w:hAnsi="Times New Roman" w:cs="Times New Roman"/>
                      <w:color w:val="auto"/>
                      <w:szCs w:val="21"/>
                      <w:highlight w:val="none"/>
                      <w:lang w:val="en-US" w:eastAsia="zh-CN"/>
                    </w:rPr>
                    <w:t>2</w:t>
                  </w:r>
                  <w:r>
                    <w:rPr>
                      <w:rFonts w:hint="eastAsia" w:ascii="宋体" w:hAnsi="宋体"/>
                      <w:color w:val="auto"/>
                      <w:szCs w:val="21"/>
                      <w:highlight w:val="none"/>
                    </w:rPr>
                    <w:t>层钢架结构、建筑高度</w:t>
                  </w:r>
                  <w:r>
                    <w:rPr>
                      <w:rFonts w:hint="default" w:ascii="Times New Roman" w:hAnsi="Times New Roman" w:cs="Times New Roman"/>
                      <w:color w:val="auto"/>
                      <w:szCs w:val="21"/>
                      <w:highlight w:val="none"/>
                    </w:rPr>
                    <w:t>10.5m</w:t>
                  </w:r>
                  <w:r>
                    <w:rPr>
                      <w:rFonts w:hint="eastAsia" w:ascii="宋体" w:hAnsi="宋体"/>
                      <w:color w:val="auto"/>
                      <w:szCs w:val="21"/>
                      <w:highlight w:val="none"/>
                    </w:rPr>
                    <w:t>，厂房总建筑面积</w:t>
                  </w:r>
                  <w:r>
                    <w:rPr>
                      <w:rFonts w:hint="default" w:ascii="Times New Roman" w:hAnsi="Times New Roman" w:cs="Times New Roman"/>
                      <w:color w:val="auto"/>
                      <w:szCs w:val="21"/>
                      <w:highlight w:val="none"/>
                    </w:rPr>
                    <w:t>9882m</w:t>
                  </w:r>
                  <w:r>
                    <w:rPr>
                      <w:rFonts w:hint="default" w:ascii="Times New Roman" w:hAnsi="Times New Roman" w:cs="Times New Roman"/>
                      <w:color w:val="auto"/>
                      <w:szCs w:val="21"/>
                      <w:highlight w:val="none"/>
                      <w:vertAlign w:val="superscript"/>
                    </w:rPr>
                    <w:t>2</w:t>
                  </w:r>
                </w:p>
              </w:tc>
              <w:tc>
                <w:tcPr>
                  <w:tcW w:w="431" w:type="pct"/>
                  <w:noWrap w:val="0"/>
                  <w:vAlign w:val="center"/>
                </w:tcPr>
                <w:p w14:paraId="7CA3F113">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6ED2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591A3E25">
                  <w:pPr>
                    <w:adjustRightInd w:val="0"/>
                    <w:snapToGrid w:val="0"/>
                    <w:jc w:val="center"/>
                    <w:rPr>
                      <w:rFonts w:ascii="宋体" w:hAnsi="宋体"/>
                      <w:color w:val="auto"/>
                      <w:szCs w:val="21"/>
                      <w:highlight w:val="none"/>
                    </w:rPr>
                  </w:pPr>
                </w:p>
              </w:tc>
              <w:tc>
                <w:tcPr>
                  <w:tcW w:w="212" w:type="pct"/>
                  <w:vMerge w:val="restart"/>
                  <w:tcBorders>
                    <w:left w:val="single" w:color="auto" w:sz="4" w:space="0"/>
                    <w:right w:val="single" w:color="auto" w:sz="4" w:space="0"/>
                  </w:tcBorders>
                  <w:noWrap w:val="0"/>
                  <w:vAlign w:val="center"/>
                </w:tcPr>
                <w:p w14:paraId="0FA1242F">
                  <w:pPr>
                    <w:adjustRightInd w:val="0"/>
                    <w:snapToGrid w:val="0"/>
                    <w:jc w:val="center"/>
                    <w:rPr>
                      <w:rFonts w:ascii="宋体" w:hAnsi="宋体"/>
                      <w:color w:val="auto"/>
                      <w:szCs w:val="21"/>
                      <w:highlight w:val="none"/>
                    </w:rPr>
                  </w:pPr>
                  <w:r>
                    <w:rPr>
                      <w:rFonts w:hint="eastAsia" w:ascii="宋体" w:hAnsi="宋体"/>
                      <w:color w:val="auto"/>
                      <w:szCs w:val="21"/>
                      <w:highlight w:val="none"/>
                    </w:rPr>
                    <w:t>其中</w:t>
                  </w:r>
                </w:p>
              </w:tc>
              <w:tc>
                <w:tcPr>
                  <w:tcW w:w="645" w:type="pct"/>
                  <w:tcBorders>
                    <w:top w:val="single" w:color="auto" w:sz="4" w:space="0"/>
                    <w:left w:val="single" w:color="auto" w:sz="4" w:space="0"/>
                    <w:bottom w:val="single" w:color="auto" w:sz="4" w:space="0"/>
                    <w:right w:val="single" w:color="auto" w:sz="4" w:space="0"/>
                  </w:tcBorders>
                  <w:noWrap w:val="0"/>
                  <w:vAlign w:val="center"/>
                </w:tcPr>
                <w:p w14:paraId="127730E0">
                  <w:pPr>
                    <w:adjustRightInd w:val="0"/>
                    <w:snapToGrid w:val="0"/>
                    <w:jc w:val="center"/>
                    <w:rPr>
                      <w:rFonts w:ascii="宋体" w:hAnsi="宋体"/>
                      <w:color w:val="auto"/>
                      <w:szCs w:val="21"/>
                      <w:highlight w:val="none"/>
                    </w:rPr>
                  </w:pPr>
                  <w:r>
                    <w:rPr>
                      <w:rFonts w:hint="eastAsia" w:ascii="宋体" w:hAnsi="宋体"/>
                      <w:color w:val="auto"/>
                      <w:szCs w:val="21"/>
                      <w:highlight w:val="none"/>
                    </w:rPr>
                    <w:t>原片储存区</w:t>
                  </w:r>
                </w:p>
              </w:tc>
              <w:tc>
                <w:tcPr>
                  <w:tcW w:w="1678" w:type="pct"/>
                  <w:tcBorders>
                    <w:left w:val="single" w:color="auto" w:sz="4" w:space="0"/>
                  </w:tcBorders>
                  <w:noWrap w:val="0"/>
                  <w:vAlign w:val="center"/>
                </w:tcPr>
                <w:p w14:paraId="478D4E4E">
                  <w:pPr>
                    <w:adjustRightInd w:val="0"/>
                    <w:snapToGrid w:val="0"/>
                    <w:jc w:val="center"/>
                    <w:rPr>
                      <w:rFonts w:ascii="宋体" w:hAnsi="宋体"/>
                      <w:color w:val="auto"/>
                      <w:szCs w:val="21"/>
                      <w:highlight w:val="none"/>
                    </w:rPr>
                  </w:pPr>
                  <w:r>
                    <w:rPr>
                      <w:rFonts w:hint="eastAsia" w:ascii="宋体" w:hAnsi="宋体"/>
                      <w:color w:val="auto"/>
                      <w:szCs w:val="21"/>
                      <w:highlight w:val="none"/>
                    </w:rPr>
                    <w:t>原片储存区，用于堆放原玻璃片，建筑面积</w:t>
                  </w:r>
                  <w:r>
                    <w:rPr>
                      <w:rFonts w:hint="default" w:ascii="Times New Roman" w:hAnsi="Times New Roman" w:cs="Times New Roman"/>
                      <w:color w:val="auto"/>
                      <w:szCs w:val="21"/>
                      <w:highlight w:val="none"/>
                    </w:rPr>
                    <w:t>1200m</w:t>
                  </w:r>
                  <w:r>
                    <w:rPr>
                      <w:rFonts w:hint="default" w:ascii="Times New Roman" w:hAnsi="Times New Roman" w:cs="Times New Roman"/>
                      <w:color w:val="auto"/>
                      <w:szCs w:val="21"/>
                      <w:highlight w:val="none"/>
                      <w:vertAlign w:val="superscript"/>
                    </w:rPr>
                    <w:t>2</w:t>
                  </w:r>
                </w:p>
              </w:tc>
              <w:tc>
                <w:tcPr>
                  <w:tcW w:w="1639" w:type="pct"/>
                  <w:noWrap w:val="0"/>
                  <w:vAlign w:val="center"/>
                </w:tcPr>
                <w:p w14:paraId="0FF8D1F1">
                  <w:pPr>
                    <w:adjustRightInd w:val="0"/>
                    <w:snapToGrid w:val="0"/>
                    <w:jc w:val="center"/>
                    <w:rPr>
                      <w:rFonts w:ascii="宋体" w:hAnsi="宋体"/>
                      <w:color w:val="auto"/>
                      <w:szCs w:val="21"/>
                      <w:highlight w:val="none"/>
                    </w:rPr>
                  </w:pPr>
                  <w:r>
                    <w:rPr>
                      <w:rFonts w:hint="eastAsia" w:ascii="宋体" w:hAnsi="宋体"/>
                      <w:color w:val="auto"/>
                      <w:szCs w:val="21"/>
                      <w:highlight w:val="none"/>
                    </w:rPr>
                    <w:t>原片储存区，用于堆放原玻璃片，建筑面积</w:t>
                  </w:r>
                  <w:r>
                    <w:rPr>
                      <w:rFonts w:hint="default" w:ascii="Times New Roman" w:hAnsi="Times New Roman" w:cs="Times New Roman"/>
                      <w:color w:val="auto"/>
                      <w:szCs w:val="21"/>
                      <w:highlight w:val="none"/>
                    </w:rPr>
                    <w:t>1200m</w:t>
                  </w:r>
                  <w:r>
                    <w:rPr>
                      <w:rFonts w:hint="default" w:ascii="Times New Roman" w:hAnsi="Times New Roman" w:cs="Times New Roman"/>
                      <w:color w:val="auto"/>
                      <w:szCs w:val="21"/>
                      <w:highlight w:val="none"/>
                      <w:vertAlign w:val="superscript"/>
                    </w:rPr>
                    <w:t>2</w:t>
                  </w:r>
                </w:p>
              </w:tc>
              <w:tc>
                <w:tcPr>
                  <w:tcW w:w="431" w:type="pct"/>
                  <w:noWrap w:val="0"/>
                  <w:vAlign w:val="center"/>
                </w:tcPr>
                <w:p w14:paraId="41E23F4C">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6B13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32208E70">
                  <w:pPr>
                    <w:adjustRightInd w:val="0"/>
                    <w:snapToGrid w:val="0"/>
                    <w:jc w:val="center"/>
                    <w:rPr>
                      <w:rFonts w:ascii="宋体" w:hAnsi="宋体"/>
                      <w:color w:val="auto"/>
                      <w:szCs w:val="21"/>
                      <w:highlight w:val="none"/>
                    </w:rPr>
                  </w:pPr>
                </w:p>
              </w:tc>
              <w:tc>
                <w:tcPr>
                  <w:tcW w:w="212" w:type="pct"/>
                  <w:vMerge w:val="continue"/>
                  <w:tcBorders>
                    <w:left w:val="single" w:color="auto" w:sz="4" w:space="0"/>
                    <w:right w:val="single" w:color="auto" w:sz="4" w:space="0"/>
                  </w:tcBorders>
                  <w:noWrap w:val="0"/>
                  <w:vAlign w:val="center"/>
                </w:tcPr>
                <w:p w14:paraId="55F1FCA4">
                  <w:pPr>
                    <w:adjustRightInd w:val="0"/>
                    <w:snapToGrid w:val="0"/>
                    <w:jc w:val="center"/>
                    <w:rPr>
                      <w:rFonts w:ascii="宋体" w:hAnsi="宋体"/>
                      <w:color w:val="auto"/>
                      <w:szCs w:val="21"/>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center"/>
                </w:tcPr>
                <w:p w14:paraId="3228A62D">
                  <w:pPr>
                    <w:adjustRightInd w:val="0"/>
                    <w:snapToGrid w:val="0"/>
                    <w:jc w:val="center"/>
                    <w:rPr>
                      <w:rFonts w:ascii="宋体" w:hAnsi="宋体"/>
                      <w:color w:val="auto"/>
                      <w:szCs w:val="21"/>
                      <w:highlight w:val="none"/>
                    </w:rPr>
                  </w:pPr>
                  <w:r>
                    <w:rPr>
                      <w:rFonts w:hint="eastAsia" w:ascii="宋体" w:hAnsi="宋体"/>
                      <w:color w:val="auto"/>
                      <w:szCs w:val="21"/>
                      <w:highlight w:val="none"/>
                    </w:rPr>
                    <w:t>原片切割、磨边区</w:t>
                  </w:r>
                </w:p>
              </w:tc>
              <w:tc>
                <w:tcPr>
                  <w:tcW w:w="1678" w:type="pct"/>
                  <w:tcBorders>
                    <w:left w:val="single" w:color="auto" w:sz="4" w:space="0"/>
                  </w:tcBorders>
                  <w:noWrap w:val="0"/>
                  <w:vAlign w:val="center"/>
                </w:tcPr>
                <w:p w14:paraId="26ED3F0D">
                  <w:pPr>
                    <w:adjustRightInd w:val="0"/>
                    <w:snapToGrid w:val="0"/>
                    <w:jc w:val="center"/>
                    <w:rPr>
                      <w:rFonts w:ascii="宋体" w:hAnsi="宋体"/>
                      <w:color w:val="auto"/>
                      <w:szCs w:val="21"/>
                      <w:highlight w:val="none"/>
                    </w:rPr>
                  </w:pPr>
                  <w:r>
                    <w:rPr>
                      <w:rFonts w:hint="eastAsia" w:ascii="宋体" w:hAnsi="宋体"/>
                      <w:color w:val="auto"/>
                      <w:szCs w:val="21"/>
                      <w:highlight w:val="none"/>
                    </w:rPr>
                    <w:t>原片切割、磨边区，建成</w:t>
                  </w:r>
                  <w:r>
                    <w:rPr>
                      <w:rFonts w:hint="default" w:ascii="Times New Roman" w:hAnsi="Times New Roman" w:cs="Times New Roman"/>
                      <w:color w:val="auto"/>
                      <w:szCs w:val="21"/>
                      <w:highlight w:val="none"/>
                    </w:rPr>
                    <w:t>2</w:t>
                  </w:r>
                  <w:r>
                    <w:rPr>
                      <w:rFonts w:hint="eastAsia" w:ascii="宋体" w:hAnsi="宋体"/>
                      <w:color w:val="auto"/>
                      <w:szCs w:val="21"/>
                      <w:highlight w:val="none"/>
                    </w:rPr>
                    <w:t>条生产线，建筑面积</w:t>
                  </w:r>
                  <w:r>
                    <w:rPr>
                      <w:rFonts w:hint="default" w:ascii="Times New Roman" w:hAnsi="Times New Roman" w:cs="Times New Roman"/>
                      <w:color w:val="auto"/>
                      <w:szCs w:val="21"/>
                      <w:highlight w:val="none"/>
                    </w:rPr>
                    <w:t>1762m</w:t>
                  </w:r>
                  <w:r>
                    <w:rPr>
                      <w:rFonts w:hint="default" w:ascii="Times New Roman" w:hAnsi="Times New Roman" w:cs="Times New Roman"/>
                      <w:color w:val="auto"/>
                      <w:szCs w:val="21"/>
                      <w:highlight w:val="none"/>
                      <w:vertAlign w:val="superscript"/>
                    </w:rPr>
                    <w:t>2</w:t>
                  </w:r>
                </w:p>
              </w:tc>
              <w:tc>
                <w:tcPr>
                  <w:tcW w:w="1639" w:type="pct"/>
                  <w:noWrap w:val="0"/>
                  <w:vAlign w:val="center"/>
                </w:tcPr>
                <w:p w14:paraId="73C287D6">
                  <w:pPr>
                    <w:adjustRightInd w:val="0"/>
                    <w:snapToGrid w:val="0"/>
                    <w:jc w:val="center"/>
                    <w:rPr>
                      <w:rFonts w:ascii="宋体" w:hAnsi="宋体"/>
                      <w:color w:val="auto"/>
                      <w:szCs w:val="21"/>
                      <w:highlight w:val="none"/>
                    </w:rPr>
                  </w:pPr>
                  <w:r>
                    <w:rPr>
                      <w:rFonts w:hint="eastAsia" w:ascii="宋体" w:hAnsi="宋体"/>
                      <w:color w:val="auto"/>
                      <w:szCs w:val="21"/>
                      <w:highlight w:val="none"/>
                    </w:rPr>
                    <w:t>原片切割、磨边区，建成</w:t>
                  </w:r>
                  <w:r>
                    <w:rPr>
                      <w:rFonts w:hint="default" w:ascii="Times New Roman" w:hAnsi="Times New Roman" w:cs="Times New Roman"/>
                      <w:color w:val="auto"/>
                      <w:szCs w:val="21"/>
                      <w:highlight w:val="none"/>
                    </w:rPr>
                    <w:t>2</w:t>
                  </w:r>
                  <w:r>
                    <w:rPr>
                      <w:rFonts w:hint="eastAsia" w:ascii="宋体" w:hAnsi="宋体"/>
                      <w:color w:val="auto"/>
                      <w:szCs w:val="21"/>
                      <w:highlight w:val="none"/>
                    </w:rPr>
                    <w:t>条生产线</w:t>
                  </w:r>
                  <w:r>
                    <w:rPr>
                      <w:rFonts w:hint="eastAsia" w:ascii="宋体" w:hAnsi="宋体"/>
                      <w:color w:val="auto"/>
                      <w:szCs w:val="21"/>
                      <w:highlight w:val="none"/>
                      <w:lang w:eastAsia="zh-CN"/>
                    </w:rPr>
                    <w:t>，</w:t>
                  </w:r>
                  <w:r>
                    <w:rPr>
                      <w:rFonts w:hint="eastAsia" w:ascii="宋体" w:hAnsi="宋体"/>
                      <w:color w:val="auto"/>
                      <w:szCs w:val="21"/>
                      <w:highlight w:val="none"/>
                    </w:rPr>
                    <w:t>建筑面积</w:t>
                  </w:r>
                  <w:r>
                    <w:rPr>
                      <w:rFonts w:hint="default" w:ascii="Times New Roman" w:hAnsi="Times New Roman" w:cs="Times New Roman"/>
                      <w:color w:val="auto"/>
                      <w:szCs w:val="21"/>
                      <w:highlight w:val="none"/>
                    </w:rPr>
                    <w:t>1762m</w:t>
                  </w:r>
                  <w:r>
                    <w:rPr>
                      <w:rFonts w:hint="default" w:ascii="Times New Roman" w:hAnsi="Times New Roman" w:cs="Times New Roman"/>
                      <w:color w:val="auto"/>
                      <w:szCs w:val="21"/>
                      <w:highlight w:val="none"/>
                      <w:vertAlign w:val="superscript"/>
                    </w:rPr>
                    <w:t>2</w:t>
                  </w:r>
                </w:p>
              </w:tc>
              <w:tc>
                <w:tcPr>
                  <w:tcW w:w="431" w:type="pct"/>
                  <w:noWrap w:val="0"/>
                  <w:vAlign w:val="center"/>
                </w:tcPr>
                <w:p w14:paraId="0F977057">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220D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18B6E5D3">
                  <w:pPr>
                    <w:adjustRightInd w:val="0"/>
                    <w:snapToGrid w:val="0"/>
                    <w:jc w:val="center"/>
                    <w:rPr>
                      <w:rFonts w:ascii="宋体" w:hAnsi="宋体"/>
                      <w:color w:val="auto"/>
                      <w:szCs w:val="21"/>
                      <w:highlight w:val="none"/>
                    </w:rPr>
                  </w:pPr>
                </w:p>
              </w:tc>
              <w:tc>
                <w:tcPr>
                  <w:tcW w:w="212" w:type="pct"/>
                  <w:vMerge w:val="continue"/>
                  <w:tcBorders>
                    <w:left w:val="single" w:color="auto" w:sz="4" w:space="0"/>
                    <w:right w:val="single" w:color="auto" w:sz="4" w:space="0"/>
                  </w:tcBorders>
                  <w:noWrap w:val="0"/>
                  <w:vAlign w:val="center"/>
                </w:tcPr>
                <w:p w14:paraId="766F1D2D">
                  <w:pPr>
                    <w:adjustRightInd w:val="0"/>
                    <w:snapToGrid w:val="0"/>
                    <w:jc w:val="center"/>
                    <w:rPr>
                      <w:rFonts w:ascii="宋体" w:hAnsi="宋体"/>
                      <w:color w:val="auto"/>
                      <w:szCs w:val="21"/>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center"/>
                </w:tcPr>
                <w:p w14:paraId="781F14C3">
                  <w:pPr>
                    <w:adjustRightInd w:val="0"/>
                    <w:snapToGrid w:val="0"/>
                    <w:jc w:val="center"/>
                    <w:rPr>
                      <w:rFonts w:ascii="宋体" w:hAnsi="宋体"/>
                      <w:color w:val="auto"/>
                      <w:szCs w:val="21"/>
                      <w:highlight w:val="none"/>
                    </w:rPr>
                  </w:pPr>
                  <w:r>
                    <w:rPr>
                      <w:rFonts w:hint="eastAsia" w:ascii="宋体" w:hAnsi="宋体"/>
                      <w:color w:val="auto"/>
                      <w:szCs w:val="21"/>
                      <w:highlight w:val="none"/>
                    </w:rPr>
                    <w:t>钢化玻璃生产区</w:t>
                  </w:r>
                </w:p>
              </w:tc>
              <w:tc>
                <w:tcPr>
                  <w:tcW w:w="1678" w:type="pct"/>
                  <w:tcBorders>
                    <w:left w:val="single" w:color="auto" w:sz="4" w:space="0"/>
                  </w:tcBorders>
                  <w:noWrap w:val="0"/>
                  <w:vAlign w:val="center"/>
                </w:tcPr>
                <w:p w14:paraId="57596257">
                  <w:pPr>
                    <w:adjustRightInd w:val="0"/>
                    <w:snapToGrid w:val="0"/>
                    <w:jc w:val="center"/>
                    <w:rPr>
                      <w:rFonts w:ascii="宋体" w:hAnsi="宋体"/>
                      <w:color w:val="auto"/>
                      <w:szCs w:val="21"/>
                      <w:highlight w:val="none"/>
                    </w:rPr>
                  </w:pPr>
                  <w:r>
                    <w:rPr>
                      <w:rFonts w:hint="eastAsia" w:ascii="宋体" w:hAnsi="宋体"/>
                      <w:color w:val="auto"/>
                      <w:szCs w:val="21"/>
                      <w:highlight w:val="none"/>
                    </w:rPr>
                    <w:t>钢化玻璃生产区，建成</w:t>
                  </w:r>
                  <w:r>
                    <w:rPr>
                      <w:rFonts w:hint="default" w:ascii="Times New Roman" w:hAnsi="Times New Roman" w:cs="Times New Roman"/>
                      <w:color w:val="auto"/>
                      <w:szCs w:val="21"/>
                      <w:highlight w:val="none"/>
                    </w:rPr>
                    <w:t>2</w:t>
                  </w:r>
                  <w:r>
                    <w:rPr>
                      <w:rFonts w:hint="eastAsia" w:ascii="宋体" w:hAnsi="宋体"/>
                      <w:color w:val="auto"/>
                      <w:szCs w:val="21"/>
                      <w:highlight w:val="none"/>
                    </w:rPr>
                    <w:t>条生产线，建筑面积</w:t>
                  </w:r>
                  <w:r>
                    <w:rPr>
                      <w:rFonts w:hint="default" w:ascii="Times New Roman" w:hAnsi="Times New Roman" w:cs="Times New Roman"/>
                      <w:color w:val="auto"/>
                      <w:szCs w:val="21"/>
                      <w:highlight w:val="none"/>
                    </w:rPr>
                    <w:t>2000m</w:t>
                  </w:r>
                  <w:r>
                    <w:rPr>
                      <w:rFonts w:hint="default" w:ascii="Times New Roman" w:hAnsi="Times New Roman" w:cs="Times New Roman"/>
                      <w:color w:val="auto"/>
                      <w:szCs w:val="21"/>
                      <w:highlight w:val="none"/>
                      <w:vertAlign w:val="superscript"/>
                    </w:rPr>
                    <w:t>2</w:t>
                  </w:r>
                </w:p>
              </w:tc>
              <w:tc>
                <w:tcPr>
                  <w:tcW w:w="1639" w:type="pct"/>
                  <w:noWrap w:val="0"/>
                  <w:vAlign w:val="center"/>
                </w:tcPr>
                <w:p w14:paraId="6A1B553D">
                  <w:pPr>
                    <w:adjustRightInd w:val="0"/>
                    <w:snapToGrid w:val="0"/>
                    <w:jc w:val="center"/>
                    <w:rPr>
                      <w:rFonts w:ascii="宋体" w:hAnsi="宋体"/>
                      <w:color w:val="auto"/>
                      <w:szCs w:val="21"/>
                      <w:highlight w:val="none"/>
                    </w:rPr>
                  </w:pPr>
                  <w:r>
                    <w:rPr>
                      <w:rFonts w:hint="eastAsia" w:ascii="宋体" w:hAnsi="宋体"/>
                      <w:color w:val="auto"/>
                      <w:szCs w:val="21"/>
                      <w:highlight w:val="none"/>
                    </w:rPr>
                    <w:t>钢化玻璃生产区，建成</w:t>
                  </w:r>
                  <w:r>
                    <w:rPr>
                      <w:rFonts w:hint="default" w:ascii="Times New Roman" w:hAnsi="Times New Roman" w:eastAsia="仿宋" w:cs="Times New Roman"/>
                      <w:color w:val="auto"/>
                      <w:szCs w:val="21"/>
                      <w:highlight w:val="none"/>
                    </w:rPr>
                    <w:t>2</w:t>
                  </w:r>
                  <w:r>
                    <w:rPr>
                      <w:rFonts w:hint="eastAsia" w:ascii="宋体" w:hAnsi="宋体"/>
                      <w:color w:val="auto"/>
                      <w:szCs w:val="21"/>
                      <w:highlight w:val="none"/>
                    </w:rPr>
                    <w:t>条生产线，建筑面积</w:t>
                  </w:r>
                  <w:r>
                    <w:rPr>
                      <w:rFonts w:hint="default" w:ascii="Times New Roman" w:hAnsi="Times New Roman" w:cs="Times New Roman"/>
                      <w:color w:val="auto"/>
                      <w:szCs w:val="21"/>
                      <w:highlight w:val="none"/>
                    </w:rPr>
                    <w:t>2000m</w:t>
                  </w:r>
                  <w:r>
                    <w:rPr>
                      <w:rFonts w:hint="default" w:ascii="Times New Roman" w:hAnsi="Times New Roman" w:cs="Times New Roman"/>
                      <w:color w:val="auto"/>
                      <w:szCs w:val="21"/>
                      <w:highlight w:val="none"/>
                      <w:vertAlign w:val="superscript"/>
                    </w:rPr>
                    <w:t>2</w:t>
                  </w:r>
                </w:p>
              </w:tc>
              <w:tc>
                <w:tcPr>
                  <w:tcW w:w="431" w:type="pct"/>
                  <w:noWrap w:val="0"/>
                  <w:vAlign w:val="center"/>
                </w:tcPr>
                <w:p w14:paraId="2B0562D9">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188A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47115E47">
                  <w:pPr>
                    <w:adjustRightInd w:val="0"/>
                    <w:snapToGrid w:val="0"/>
                    <w:jc w:val="center"/>
                    <w:rPr>
                      <w:rFonts w:ascii="宋体" w:hAnsi="宋体"/>
                      <w:color w:val="auto"/>
                      <w:szCs w:val="21"/>
                      <w:highlight w:val="none"/>
                    </w:rPr>
                  </w:pPr>
                </w:p>
              </w:tc>
              <w:tc>
                <w:tcPr>
                  <w:tcW w:w="212" w:type="pct"/>
                  <w:vMerge w:val="continue"/>
                  <w:tcBorders>
                    <w:left w:val="single" w:color="auto" w:sz="4" w:space="0"/>
                    <w:right w:val="single" w:color="auto" w:sz="4" w:space="0"/>
                  </w:tcBorders>
                  <w:noWrap w:val="0"/>
                  <w:vAlign w:val="center"/>
                </w:tcPr>
                <w:p w14:paraId="2C218B22">
                  <w:pPr>
                    <w:adjustRightInd w:val="0"/>
                    <w:snapToGrid w:val="0"/>
                    <w:jc w:val="center"/>
                    <w:rPr>
                      <w:rFonts w:ascii="宋体" w:hAnsi="宋体"/>
                      <w:color w:val="auto"/>
                      <w:szCs w:val="21"/>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center"/>
                </w:tcPr>
                <w:p w14:paraId="6147AEEF">
                  <w:pPr>
                    <w:adjustRightInd w:val="0"/>
                    <w:snapToGrid w:val="0"/>
                    <w:jc w:val="center"/>
                    <w:rPr>
                      <w:rFonts w:ascii="宋体" w:hAnsi="宋体"/>
                      <w:color w:val="auto"/>
                      <w:szCs w:val="21"/>
                      <w:highlight w:val="none"/>
                    </w:rPr>
                  </w:pPr>
                  <w:r>
                    <w:rPr>
                      <w:rFonts w:hint="eastAsia" w:ascii="宋体" w:hAnsi="宋体"/>
                      <w:color w:val="auto"/>
                      <w:szCs w:val="21"/>
                      <w:highlight w:val="none"/>
                    </w:rPr>
                    <w:t>中空玻璃生产区</w:t>
                  </w:r>
                </w:p>
              </w:tc>
              <w:tc>
                <w:tcPr>
                  <w:tcW w:w="1678" w:type="pct"/>
                  <w:tcBorders>
                    <w:left w:val="single" w:color="auto" w:sz="4" w:space="0"/>
                  </w:tcBorders>
                  <w:noWrap w:val="0"/>
                  <w:vAlign w:val="center"/>
                </w:tcPr>
                <w:p w14:paraId="0176B3A1">
                  <w:pPr>
                    <w:adjustRightInd w:val="0"/>
                    <w:snapToGrid w:val="0"/>
                    <w:jc w:val="center"/>
                    <w:rPr>
                      <w:rFonts w:ascii="宋体" w:hAnsi="宋体"/>
                      <w:color w:val="auto"/>
                      <w:szCs w:val="21"/>
                      <w:highlight w:val="none"/>
                    </w:rPr>
                  </w:pPr>
                  <w:r>
                    <w:rPr>
                      <w:rFonts w:hint="eastAsia" w:ascii="宋体" w:hAnsi="宋体"/>
                      <w:color w:val="auto"/>
                      <w:szCs w:val="21"/>
                      <w:highlight w:val="none"/>
                    </w:rPr>
                    <w:t>空玻璃生产区，建成</w:t>
                  </w:r>
                  <w:r>
                    <w:rPr>
                      <w:rFonts w:hint="default" w:ascii="Times New Roman" w:hAnsi="Times New Roman" w:cs="Times New Roman"/>
                      <w:color w:val="auto"/>
                      <w:szCs w:val="21"/>
                      <w:highlight w:val="none"/>
                    </w:rPr>
                    <w:t>1</w:t>
                  </w:r>
                  <w:r>
                    <w:rPr>
                      <w:rFonts w:hint="eastAsia" w:ascii="宋体" w:hAnsi="宋体"/>
                      <w:color w:val="auto"/>
                      <w:szCs w:val="21"/>
                      <w:highlight w:val="none"/>
                    </w:rPr>
                    <w:t>条生产线，建筑面积</w:t>
                  </w:r>
                  <w:r>
                    <w:rPr>
                      <w:rFonts w:hint="default" w:ascii="Times New Roman" w:hAnsi="Times New Roman" w:cs="Times New Roman"/>
                      <w:color w:val="auto"/>
                      <w:szCs w:val="21"/>
                      <w:highlight w:val="none"/>
                    </w:rPr>
                    <w:t>1060m</w:t>
                  </w:r>
                  <w:r>
                    <w:rPr>
                      <w:rFonts w:hint="default" w:ascii="Times New Roman" w:hAnsi="Times New Roman" w:cs="Times New Roman"/>
                      <w:color w:val="auto"/>
                      <w:szCs w:val="21"/>
                      <w:highlight w:val="none"/>
                      <w:vertAlign w:val="superscript"/>
                    </w:rPr>
                    <w:t>2</w:t>
                  </w:r>
                </w:p>
              </w:tc>
              <w:tc>
                <w:tcPr>
                  <w:tcW w:w="1639" w:type="pct"/>
                  <w:noWrap w:val="0"/>
                  <w:vAlign w:val="center"/>
                </w:tcPr>
                <w:p w14:paraId="53233CA0">
                  <w:pPr>
                    <w:adjustRightInd w:val="0"/>
                    <w:snapToGrid w:val="0"/>
                    <w:jc w:val="center"/>
                    <w:rPr>
                      <w:rFonts w:ascii="宋体" w:hAnsi="宋体"/>
                      <w:color w:val="auto"/>
                      <w:szCs w:val="21"/>
                      <w:highlight w:val="none"/>
                    </w:rPr>
                  </w:pPr>
                  <w:r>
                    <w:rPr>
                      <w:rFonts w:hint="eastAsia" w:ascii="宋体" w:hAnsi="宋体"/>
                      <w:color w:val="auto"/>
                      <w:szCs w:val="21"/>
                      <w:highlight w:val="none"/>
                    </w:rPr>
                    <w:t>空玻璃生产区，建成</w:t>
                  </w:r>
                  <w:r>
                    <w:rPr>
                      <w:rFonts w:hint="default" w:ascii="Times New Roman" w:hAnsi="Times New Roman" w:cs="Times New Roman"/>
                      <w:color w:val="auto"/>
                      <w:szCs w:val="21"/>
                      <w:highlight w:val="none"/>
                    </w:rPr>
                    <w:t>1</w:t>
                  </w:r>
                  <w:r>
                    <w:rPr>
                      <w:rFonts w:hint="eastAsia" w:ascii="宋体" w:hAnsi="宋体"/>
                      <w:color w:val="auto"/>
                      <w:szCs w:val="21"/>
                      <w:highlight w:val="none"/>
                    </w:rPr>
                    <w:t>条生产线，建筑面积</w:t>
                  </w:r>
                  <w:r>
                    <w:rPr>
                      <w:rFonts w:hint="default" w:ascii="Times New Roman" w:hAnsi="Times New Roman" w:cs="Times New Roman"/>
                      <w:color w:val="auto"/>
                      <w:szCs w:val="21"/>
                      <w:highlight w:val="none"/>
                    </w:rPr>
                    <w:t>1060m</w:t>
                  </w:r>
                  <w:r>
                    <w:rPr>
                      <w:rFonts w:hint="default" w:ascii="Times New Roman" w:hAnsi="Times New Roman" w:cs="Times New Roman"/>
                      <w:color w:val="auto"/>
                      <w:szCs w:val="21"/>
                      <w:highlight w:val="none"/>
                      <w:vertAlign w:val="superscript"/>
                    </w:rPr>
                    <w:t>2</w:t>
                  </w:r>
                </w:p>
              </w:tc>
              <w:tc>
                <w:tcPr>
                  <w:tcW w:w="431" w:type="pct"/>
                  <w:noWrap w:val="0"/>
                  <w:vAlign w:val="center"/>
                </w:tcPr>
                <w:p w14:paraId="2062C994">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4FE5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08840CF3">
                  <w:pPr>
                    <w:adjustRightInd w:val="0"/>
                    <w:snapToGrid w:val="0"/>
                    <w:jc w:val="center"/>
                    <w:rPr>
                      <w:rFonts w:ascii="宋体" w:hAnsi="宋体"/>
                      <w:color w:val="auto"/>
                      <w:szCs w:val="21"/>
                      <w:highlight w:val="none"/>
                    </w:rPr>
                  </w:pPr>
                </w:p>
              </w:tc>
              <w:tc>
                <w:tcPr>
                  <w:tcW w:w="212" w:type="pct"/>
                  <w:vMerge w:val="continue"/>
                  <w:tcBorders>
                    <w:left w:val="single" w:color="auto" w:sz="4" w:space="0"/>
                    <w:right w:val="single" w:color="auto" w:sz="4" w:space="0"/>
                  </w:tcBorders>
                  <w:noWrap w:val="0"/>
                  <w:vAlign w:val="center"/>
                </w:tcPr>
                <w:p w14:paraId="72EE5098">
                  <w:pPr>
                    <w:adjustRightInd w:val="0"/>
                    <w:snapToGrid w:val="0"/>
                    <w:jc w:val="center"/>
                    <w:rPr>
                      <w:rFonts w:ascii="宋体" w:hAnsi="宋体"/>
                      <w:color w:val="auto"/>
                      <w:szCs w:val="21"/>
                      <w:highlight w:val="none"/>
                    </w:rPr>
                  </w:pPr>
                </w:p>
              </w:tc>
              <w:tc>
                <w:tcPr>
                  <w:tcW w:w="645" w:type="pct"/>
                  <w:tcBorders>
                    <w:top w:val="single" w:color="auto" w:sz="4" w:space="0"/>
                    <w:left w:val="single" w:color="auto" w:sz="4" w:space="0"/>
                    <w:bottom w:val="single" w:color="auto" w:sz="4" w:space="0"/>
                    <w:right w:val="single" w:color="auto" w:sz="4" w:space="0"/>
                  </w:tcBorders>
                  <w:noWrap w:val="0"/>
                  <w:vAlign w:val="center"/>
                </w:tcPr>
                <w:p w14:paraId="61205AD4">
                  <w:pPr>
                    <w:adjustRightInd w:val="0"/>
                    <w:snapToGrid w:val="0"/>
                    <w:jc w:val="center"/>
                    <w:rPr>
                      <w:rFonts w:ascii="宋体" w:hAnsi="宋体"/>
                      <w:color w:val="auto"/>
                      <w:szCs w:val="21"/>
                      <w:highlight w:val="none"/>
                    </w:rPr>
                  </w:pPr>
                  <w:r>
                    <w:rPr>
                      <w:rFonts w:hint="eastAsia" w:ascii="宋体" w:hAnsi="宋体"/>
                      <w:color w:val="auto"/>
                      <w:szCs w:val="21"/>
                      <w:highlight w:val="none"/>
                    </w:rPr>
                    <w:t>厂区道路</w:t>
                  </w:r>
                </w:p>
              </w:tc>
              <w:tc>
                <w:tcPr>
                  <w:tcW w:w="1678" w:type="pct"/>
                  <w:tcBorders>
                    <w:left w:val="single" w:color="auto" w:sz="4" w:space="0"/>
                  </w:tcBorders>
                  <w:noWrap w:val="0"/>
                  <w:vAlign w:val="center"/>
                </w:tcPr>
                <w:p w14:paraId="5D37A3F5">
                  <w:pPr>
                    <w:adjustRightInd w:val="0"/>
                    <w:snapToGrid w:val="0"/>
                    <w:jc w:val="center"/>
                    <w:rPr>
                      <w:rFonts w:ascii="宋体" w:hAnsi="宋体"/>
                      <w:color w:val="auto"/>
                      <w:szCs w:val="21"/>
                      <w:highlight w:val="none"/>
                    </w:rPr>
                  </w:pPr>
                  <w:r>
                    <w:rPr>
                      <w:rFonts w:hint="eastAsia" w:ascii="宋体" w:hAnsi="宋体"/>
                      <w:color w:val="auto"/>
                      <w:szCs w:val="21"/>
                      <w:highlight w:val="none"/>
                    </w:rPr>
                    <w:t>项目建成</w:t>
                  </w:r>
                  <w:r>
                    <w:rPr>
                      <w:rFonts w:ascii="宋体" w:hAnsi="宋体"/>
                      <w:color w:val="auto"/>
                      <w:szCs w:val="21"/>
                      <w:highlight w:val="none"/>
                    </w:rPr>
                    <w:t>厂区道路广场</w:t>
                  </w:r>
                  <w:r>
                    <w:rPr>
                      <w:rFonts w:hint="default" w:ascii="Times New Roman" w:hAnsi="Times New Roman" w:cs="Times New Roman"/>
                      <w:color w:val="auto"/>
                      <w:szCs w:val="21"/>
                      <w:highlight w:val="none"/>
                    </w:rPr>
                    <w:t>2442m</w:t>
                  </w:r>
                  <w:r>
                    <w:rPr>
                      <w:rFonts w:hint="eastAsia" w:ascii="Times New Roman" w:hAnsi="Times New Roman" w:cs="Times New Roman"/>
                      <w:color w:val="auto"/>
                      <w:szCs w:val="21"/>
                      <w:highlight w:val="none"/>
                      <w:vertAlign w:val="superscript"/>
                    </w:rPr>
                    <w:t>2</w:t>
                  </w:r>
                  <w:r>
                    <w:rPr>
                      <w:rFonts w:hint="eastAsia" w:ascii="宋体" w:hAnsi="宋体"/>
                      <w:color w:val="auto"/>
                      <w:szCs w:val="21"/>
                      <w:highlight w:val="none"/>
                    </w:rPr>
                    <w:t>。</w:t>
                  </w:r>
                </w:p>
              </w:tc>
              <w:tc>
                <w:tcPr>
                  <w:tcW w:w="1639" w:type="pct"/>
                  <w:noWrap w:val="0"/>
                  <w:vAlign w:val="center"/>
                </w:tcPr>
                <w:p w14:paraId="4BCDFDB6">
                  <w:pPr>
                    <w:adjustRightInd w:val="0"/>
                    <w:snapToGrid w:val="0"/>
                    <w:jc w:val="center"/>
                    <w:rPr>
                      <w:rFonts w:ascii="宋体" w:hAnsi="宋体"/>
                      <w:color w:val="auto"/>
                      <w:szCs w:val="21"/>
                      <w:highlight w:val="none"/>
                    </w:rPr>
                  </w:pPr>
                  <w:r>
                    <w:rPr>
                      <w:rFonts w:hint="eastAsia" w:ascii="宋体" w:hAnsi="宋体"/>
                      <w:color w:val="auto"/>
                      <w:szCs w:val="21"/>
                      <w:highlight w:val="none"/>
                    </w:rPr>
                    <w:t>项目建成</w:t>
                  </w:r>
                  <w:r>
                    <w:rPr>
                      <w:rFonts w:ascii="宋体" w:hAnsi="宋体"/>
                      <w:color w:val="auto"/>
                      <w:szCs w:val="21"/>
                      <w:highlight w:val="none"/>
                    </w:rPr>
                    <w:t>厂区道路广场</w:t>
                  </w:r>
                  <w:r>
                    <w:rPr>
                      <w:rFonts w:hint="default" w:ascii="Times New Roman" w:hAnsi="Times New Roman" w:cs="Times New Roman"/>
                      <w:color w:val="auto"/>
                      <w:szCs w:val="21"/>
                      <w:highlight w:val="none"/>
                    </w:rPr>
                    <w:t>2442m</w:t>
                  </w:r>
                  <w:r>
                    <w:rPr>
                      <w:rFonts w:hint="default" w:ascii="Times New Roman" w:hAnsi="Times New Roman" w:cs="Times New Roman"/>
                      <w:color w:val="auto"/>
                      <w:szCs w:val="21"/>
                      <w:highlight w:val="none"/>
                      <w:vertAlign w:val="superscript"/>
                    </w:rPr>
                    <w:t>2</w:t>
                  </w:r>
                </w:p>
              </w:tc>
              <w:tc>
                <w:tcPr>
                  <w:tcW w:w="431" w:type="pct"/>
                  <w:noWrap w:val="0"/>
                  <w:vAlign w:val="center"/>
                </w:tcPr>
                <w:p w14:paraId="47107618">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2FE7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restart"/>
                  <w:noWrap w:val="0"/>
                  <w:vAlign w:val="center"/>
                </w:tcPr>
                <w:p w14:paraId="63521FD4">
                  <w:pPr>
                    <w:adjustRightInd w:val="0"/>
                    <w:snapToGrid w:val="0"/>
                    <w:jc w:val="center"/>
                    <w:rPr>
                      <w:rFonts w:ascii="宋体" w:hAnsi="宋体"/>
                      <w:color w:val="auto"/>
                      <w:szCs w:val="21"/>
                      <w:highlight w:val="none"/>
                    </w:rPr>
                  </w:pPr>
                  <w:r>
                    <w:rPr>
                      <w:rFonts w:hint="eastAsia" w:ascii="宋体" w:hAnsi="宋体"/>
                      <w:color w:val="auto"/>
                      <w:szCs w:val="21"/>
                      <w:highlight w:val="none"/>
                    </w:rPr>
                    <w:t>公</w:t>
                  </w:r>
                  <w:r>
                    <w:rPr>
                      <w:rFonts w:ascii="宋体" w:hAnsi="宋体"/>
                      <w:color w:val="auto"/>
                      <w:szCs w:val="21"/>
                      <w:highlight w:val="none"/>
                    </w:rPr>
                    <w:t>辅助工程</w:t>
                  </w:r>
                </w:p>
              </w:tc>
              <w:tc>
                <w:tcPr>
                  <w:tcW w:w="858" w:type="pct"/>
                  <w:gridSpan w:val="2"/>
                  <w:tcBorders>
                    <w:top w:val="single" w:color="auto" w:sz="4" w:space="0"/>
                  </w:tcBorders>
                  <w:noWrap w:val="0"/>
                  <w:vAlign w:val="center"/>
                </w:tcPr>
                <w:p w14:paraId="3206A815">
                  <w:pPr>
                    <w:adjustRightInd w:val="0"/>
                    <w:snapToGrid w:val="0"/>
                    <w:jc w:val="center"/>
                    <w:rPr>
                      <w:rFonts w:ascii="宋体" w:hAnsi="宋体"/>
                      <w:color w:val="auto"/>
                      <w:szCs w:val="21"/>
                      <w:highlight w:val="none"/>
                    </w:rPr>
                  </w:pPr>
                  <w:r>
                    <w:rPr>
                      <w:rFonts w:ascii="宋体" w:hAnsi="宋体"/>
                      <w:color w:val="auto"/>
                      <w:szCs w:val="21"/>
                      <w:highlight w:val="none"/>
                    </w:rPr>
                    <w:t>办公楼</w:t>
                  </w:r>
                  <w:r>
                    <w:rPr>
                      <w:rFonts w:hint="eastAsia" w:ascii="宋体" w:hAnsi="宋体"/>
                      <w:color w:val="auto"/>
                      <w:szCs w:val="21"/>
                      <w:highlight w:val="none"/>
                    </w:rPr>
                    <w:t>（含宿舍）</w:t>
                  </w:r>
                </w:p>
              </w:tc>
              <w:tc>
                <w:tcPr>
                  <w:tcW w:w="1678" w:type="pct"/>
                  <w:noWrap w:val="0"/>
                  <w:vAlign w:val="center"/>
                </w:tcPr>
                <w:p w14:paraId="3C2F8EFC">
                  <w:pPr>
                    <w:adjustRightInd w:val="0"/>
                    <w:snapToGrid w:val="0"/>
                    <w:jc w:val="center"/>
                    <w:rPr>
                      <w:rFonts w:ascii="宋体" w:hAnsi="宋体"/>
                      <w:color w:val="auto"/>
                      <w:szCs w:val="21"/>
                      <w:highlight w:val="none"/>
                    </w:rPr>
                  </w:pPr>
                  <w:r>
                    <w:rPr>
                      <w:rFonts w:hint="default" w:ascii="Times New Roman" w:hAnsi="Times New Roman" w:cs="Times New Roman"/>
                      <w:color w:val="auto"/>
                      <w:szCs w:val="21"/>
                      <w:highlight w:val="none"/>
                    </w:rPr>
                    <w:t>1</w:t>
                  </w:r>
                  <w:r>
                    <w:rPr>
                      <w:rFonts w:hint="eastAsia" w:ascii="宋体" w:hAnsi="宋体"/>
                      <w:color w:val="auto"/>
                      <w:szCs w:val="21"/>
                      <w:highlight w:val="none"/>
                    </w:rPr>
                    <w:t>栋，</w:t>
                  </w:r>
                  <w:r>
                    <w:rPr>
                      <w:rFonts w:hint="default" w:ascii="Times New Roman" w:hAnsi="Times New Roman" w:cs="Times New Roman"/>
                      <w:color w:val="auto"/>
                      <w:szCs w:val="21"/>
                      <w:highlight w:val="none"/>
                    </w:rPr>
                    <w:t>5</w:t>
                  </w:r>
                  <w:r>
                    <w:rPr>
                      <w:rFonts w:hint="eastAsia" w:ascii="宋体" w:hAnsi="宋体"/>
                      <w:color w:val="auto"/>
                      <w:szCs w:val="21"/>
                      <w:highlight w:val="none"/>
                    </w:rPr>
                    <w:t>层，为钢架结构，占地面积</w:t>
                  </w:r>
                  <w:r>
                    <w:rPr>
                      <w:rFonts w:hint="default" w:ascii="Times New Roman" w:hAnsi="Times New Roman" w:cs="Times New Roman"/>
                      <w:color w:val="auto"/>
                      <w:szCs w:val="21"/>
                      <w:highlight w:val="none"/>
                    </w:rPr>
                    <w:t>328.08m</w:t>
                  </w:r>
                  <w:r>
                    <w:rPr>
                      <w:rFonts w:hint="default" w:ascii="Times New Roman" w:hAnsi="Times New Roman" w:cs="Times New Roman"/>
                      <w:color w:val="auto"/>
                      <w:szCs w:val="21"/>
                      <w:highlight w:val="none"/>
                      <w:vertAlign w:val="superscript"/>
                    </w:rPr>
                    <w:t>2</w:t>
                  </w:r>
                  <w:r>
                    <w:rPr>
                      <w:rFonts w:hint="eastAsia" w:ascii="宋体" w:hAnsi="宋体"/>
                      <w:color w:val="auto"/>
                      <w:szCs w:val="21"/>
                      <w:highlight w:val="none"/>
                    </w:rPr>
                    <w:t>，建筑面积</w:t>
                  </w:r>
                  <w:r>
                    <w:rPr>
                      <w:rFonts w:hint="default" w:ascii="Times New Roman" w:hAnsi="Times New Roman" w:cs="Times New Roman"/>
                      <w:color w:val="auto"/>
                      <w:szCs w:val="21"/>
                      <w:highlight w:val="none"/>
                    </w:rPr>
                    <w:t>1844m</w:t>
                  </w:r>
                  <w:r>
                    <w:rPr>
                      <w:rFonts w:hint="default" w:ascii="Times New Roman" w:hAnsi="Times New Roman" w:cs="Times New Roman"/>
                      <w:color w:val="auto"/>
                      <w:szCs w:val="21"/>
                      <w:highlight w:val="none"/>
                      <w:vertAlign w:val="superscript"/>
                    </w:rPr>
                    <w:t>2</w:t>
                  </w:r>
                  <w:r>
                    <w:rPr>
                      <w:rFonts w:hint="eastAsia" w:ascii="宋体" w:hAnsi="宋体"/>
                      <w:color w:val="auto"/>
                      <w:szCs w:val="21"/>
                      <w:highlight w:val="none"/>
                    </w:rPr>
                    <w:t>。主要为办公楼、宿舍、食堂。</w:t>
                  </w:r>
                </w:p>
              </w:tc>
              <w:tc>
                <w:tcPr>
                  <w:tcW w:w="1639" w:type="pct"/>
                  <w:noWrap w:val="0"/>
                  <w:vAlign w:val="center"/>
                </w:tcPr>
                <w:p w14:paraId="350907F0">
                  <w:pPr>
                    <w:adjustRightInd w:val="0"/>
                    <w:snapToGrid w:val="0"/>
                    <w:jc w:val="center"/>
                    <w:rPr>
                      <w:rFonts w:hint="eastAsia" w:ascii="宋体" w:hAnsi="宋体"/>
                      <w:color w:val="auto"/>
                      <w:szCs w:val="21"/>
                      <w:highlight w:val="none"/>
                    </w:rPr>
                  </w:pPr>
                  <w:r>
                    <w:rPr>
                      <w:rFonts w:hint="default" w:ascii="Times New Roman" w:hAnsi="Times New Roman" w:cs="Times New Roman"/>
                      <w:color w:val="auto"/>
                      <w:szCs w:val="21"/>
                      <w:highlight w:val="none"/>
                    </w:rPr>
                    <w:t>1</w:t>
                  </w:r>
                  <w:r>
                    <w:rPr>
                      <w:rFonts w:hint="eastAsia" w:ascii="宋体" w:hAnsi="宋体"/>
                      <w:color w:val="auto"/>
                      <w:szCs w:val="21"/>
                      <w:highlight w:val="none"/>
                    </w:rPr>
                    <w:t>栋，</w:t>
                  </w:r>
                  <w:r>
                    <w:rPr>
                      <w:rFonts w:hint="default" w:ascii="Times New Roman" w:hAnsi="Times New Roman" w:cs="Times New Roman"/>
                      <w:color w:val="auto"/>
                      <w:szCs w:val="21"/>
                      <w:highlight w:val="none"/>
                    </w:rPr>
                    <w:t>5</w:t>
                  </w:r>
                  <w:r>
                    <w:rPr>
                      <w:rFonts w:hint="eastAsia" w:ascii="宋体" w:hAnsi="宋体"/>
                      <w:color w:val="auto"/>
                      <w:szCs w:val="21"/>
                      <w:highlight w:val="none"/>
                    </w:rPr>
                    <w:t>层，为</w:t>
                  </w:r>
                  <w:r>
                    <w:rPr>
                      <w:rFonts w:hint="eastAsia" w:ascii="宋体" w:hAnsi="宋体"/>
                      <w:color w:val="auto"/>
                      <w:szCs w:val="21"/>
                      <w:highlight w:val="none"/>
                      <w:lang w:eastAsia="zh-CN"/>
                    </w:rPr>
                    <w:t>砖混</w:t>
                  </w:r>
                  <w:r>
                    <w:rPr>
                      <w:rFonts w:hint="eastAsia" w:ascii="宋体" w:hAnsi="宋体"/>
                      <w:color w:val="auto"/>
                      <w:szCs w:val="21"/>
                      <w:highlight w:val="none"/>
                    </w:rPr>
                    <w:t>结构，占地面积</w:t>
                  </w:r>
                  <w:r>
                    <w:rPr>
                      <w:rFonts w:hint="default" w:ascii="Times New Roman" w:hAnsi="Times New Roman" w:cs="Times New Roman"/>
                      <w:color w:val="auto"/>
                      <w:szCs w:val="21"/>
                      <w:highlight w:val="none"/>
                    </w:rPr>
                    <w:t>328.08m</w:t>
                  </w:r>
                  <w:r>
                    <w:rPr>
                      <w:rFonts w:hint="default" w:ascii="Times New Roman" w:hAnsi="Times New Roman" w:cs="Times New Roman"/>
                      <w:color w:val="auto"/>
                      <w:szCs w:val="21"/>
                      <w:highlight w:val="none"/>
                      <w:vertAlign w:val="superscript"/>
                    </w:rPr>
                    <w:t>2</w:t>
                  </w:r>
                  <w:r>
                    <w:rPr>
                      <w:rFonts w:hint="eastAsia" w:ascii="宋体" w:hAnsi="宋体"/>
                      <w:color w:val="auto"/>
                      <w:szCs w:val="21"/>
                      <w:highlight w:val="none"/>
                    </w:rPr>
                    <w:t>，建筑面积</w:t>
                  </w:r>
                  <w:r>
                    <w:rPr>
                      <w:rFonts w:hint="default" w:ascii="Times New Roman" w:hAnsi="Times New Roman" w:eastAsia="宋体" w:cs="Times New Roman"/>
                      <w:color w:val="auto"/>
                      <w:szCs w:val="21"/>
                      <w:highlight w:val="none"/>
                    </w:rPr>
                    <w:t>1844m</w:t>
                  </w:r>
                  <w:r>
                    <w:rPr>
                      <w:rFonts w:hint="default" w:ascii="Times New Roman" w:hAnsi="Times New Roman" w:eastAsia="宋体" w:cs="Times New Roman"/>
                      <w:color w:val="auto"/>
                      <w:szCs w:val="21"/>
                      <w:highlight w:val="none"/>
                      <w:vertAlign w:val="superscript"/>
                    </w:rPr>
                    <w:t>2</w:t>
                  </w:r>
                  <w:r>
                    <w:rPr>
                      <w:rFonts w:hint="eastAsia" w:ascii="宋体" w:hAnsi="宋体"/>
                      <w:color w:val="auto"/>
                      <w:szCs w:val="21"/>
                      <w:highlight w:val="none"/>
                    </w:rPr>
                    <w:t>。主要为办公楼、宿舍、食堂。</w:t>
                  </w:r>
                </w:p>
              </w:tc>
              <w:tc>
                <w:tcPr>
                  <w:tcW w:w="431" w:type="pct"/>
                  <w:noWrap w:val="0"/>
                  <w:vAlign w:val="center"/>
                </w:tcPr>
                <w:p w14:paraId="1983011E">
                  <w:pPr>
                    <w:adjustRightInd w:val="0"/>
                    <w:snapToGrid w:val="0"/>
                    <w:jc w:val="center"/>
                    <w:rPr>
                      <w:rFonts w:ascii="宋体" w:hAnsi="宋体"/>
                      <w:color w:val="auto"/>
                      <w:szCs w:val="21"/>
                      <w:highlight w:val="none"/>
                    </w:rPr>
                  </w:pPr>
                  <w:r>
                    <w:rPr>
                      <w:rFonts w:hint="eastAsia" w:ascii="宋体" w:hAnsi="宋体"/>
                      <w:color w:val="auto"/>
                      <w:szCs w:val="21"/>
                      <w:highlight w:val="none"/>
                      <w:lang w:eastAsia="zh-CN"/>
                    </w:rPr>
                    <w:t>基本</w:t>
                  </w:r>
                  <w:r>
                    <w:rPr>
                      <w:rFonts w:hint="eastAsia" w:ascii="宋体" w:hAnsi="宋体"/>
                      <w:color w:val="auto"/>
                      <w:szCs w:val="21"/>
                      <w:highlight w:val="none"/>
                    </w:rPr>
                    <w:t>一致</w:t>
                  </w:r>
                </w:p>
              </w:tc>
            </w:tr>
            <w:tr w14:paraId="154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1118C9CF">
                  <w:pPr>
                    <w:adjustRightInd w:val="0"/>
                    <w:snapToGrid w:val="0"/>
                    <w:jc w:val="center"/>
                    <w:rPr>
                      <w:rFonts w:hint="eastAsia" w:ascii="宋体" w:hAnsi="宋体"/>
                      <w:color w:val="auto"/>
                      <w:szCs w:val="21"/>
                      <w:highlight w:val="none"/>
                    </w:rPr>
                  </w:pPr>
                </w:p>
              </w:tc>
              <w:tc>
                <w:tcPr>
                  <w:tcW w:w="858" w:type="pct"/>
                  <w:gridSpan w:val="2"/>
                  <w:tcBorders>
                    <w:top w:val="single" w:color="auto" w:sz="4" w:space="0"/>
                  </w:tcBorders>
                  <w:noWrap w:val="0"/>
                  <w:vAlign w:val="center"/>
                </w:tcPr>
                <w:p w14:paraId="6BA81473">
                  <w:pPr>
                    <w:adjustRightInd w:val="0"/>
                    <w:snapToGrid w:val="0"/>
                    <w:jc w:val="center"/>
                    <w:rPr>
                      <w:rFonts w:ascii="宋体" w:hAnsi="宋体"/>
                      <w:color w:val="auto"/>
                      <w:szCs w:val="21"/>
                      <w:highlight w:val="none"/>
                    </w:rPr>
                  </w:pPr>
                  <w:r>
                    <w:rPr>
                      <w:rFonts w:hint="eastAsia" w:ascii="宋体" w:hAnsi="宋体"/>
                      <w:color w:val="auto"/>
                      <w:szCs w:val="21"/>
                      <w:highlight w:val="none"/>
                    </w:rPr>
                    <w:t>配电房</w:t>
                  </w:r>
                </w:p>
              </w:tc>
              <w:tc>
                <w:tcPr>
                  <w:tcW w:w="1678" w:type="pct"/>
                  <w:noWrap w:val="0"/>
                  <w:vAlign w:val="center"/>
                </w:tcPr>
                <w:p w14:paraId="083E186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设置一间配电房，用于对厂区内钢化炉机组提供热源</w:t>
                  </w:r>
                </w:p>
              </w:tc>
              <w:tc>
                <w:tcPr>
                  <w:tcW w:w="1639" w:type="pct"/>
                  <w:noWrap w:val="0"/>
                  <w:vAlign w:val="center"/>
                </w:tcPr>
                <w:p w14:paraId="04820D6E">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设置一间配电房，用于对厂区内钢化炉机组提供热源</w:t>
                  </w:r>
                </w:p>
              </w:tc>
              <w:tc>
                <w:tcPr>
                  <w:tcW w:w="431" w:type="pct"/>
                  <w:noWrap w:val="0"/>
                  <w:vAlign w:val="center"/>
                </w:tcPr>
                <w:p w14:paraId="5BFCEC5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一致</w:t>
                  </w:r>
                </w:p>
              </w:tc>
            </w:tr>
            <w:tr w14:paraId="35B7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1E9C6F50">
                  <w:pPr>
                    <w:adjustRightInd w:val="0"/>
                    <w:snapToGrid w:val="0"/>
                    <w:jc w:val="center"/>
                    <w:rPr>
                      <w:rFonts w:ascii="宋体" w:hAnsi="宋体"/>
                      <w:color w:val="auto"/>
                      <w:szCs w:val="21"/>
                      <w:highlight w:val="none"/>
                    </w:rPr>
                  </w:pPr>
                </w:p>
              </w:tc>
              <w:tc>
                <w:tcPr>
                  <w:tcW w:w="858" w:type="pct"/>
                  <w:gridSpan w:val="2"/>
                  <w:noWrap w:val="0"/>
                  <w:vAlign w:val="center"/>
                </w:tcPr>
                <w:p w14:paraId="4165A3BD">
                  <w:pPr>
                    <w:adjustRightInd w:val="0"/>
                    <w:snapToGrid w:val="0"/>
                    <w:jc w:val="center"/>
                    <w:rPr>
                      <w:rFonts w:ascii="宋体" w:hAnsi="宋体"/>
                      <w:color w:val="auto"/>
                      <w:szCs w:val="21"/>
                      <w:highlight w:val="none"/>
                    </w:rPr>
                  </w:pPr>
                  <w:r>
                    <w:rPr>
                      <w:rFonts w:hint="eastAsia" w:ascii="宋体" w:hAnsi="宋体"/>
                      <w:color w:val="auto"/>
                      <w:szCs w:val="21"/>
                      <w:highlight w:val="none"/>
                    </w:rPr>
                    <w:t>给</w:t>
                  </w:r>
                  <w:r>
                    <w:rPr>
                      <w:rFonts w:ascii="宋体" w:hAnsi="宋体"/>
                      <w:color w:val="auto"/>
                      <w:szCs w:val="21"/>
                      <w:highlight w:val="none"/>
                    </w:rPr>
                    <w:t>水</w:t>
                  </w:r>
                </w:p>
              </w:tc>
              <w:tc>
                <w:tcPr>
                  <w:tcW w:w="1678" w:type="pct"/>
                  <w:noWrap w:val="0"/>
                  <w:vAlign w:val="center"/>
                </w:tcPr>
                <w:p w14:paraId="36BB0789">
                  <w:pPr>
                    <w:adjustRightInd w:val="0"/>
                    <w:snapToGrid w:val="0"/>
                    <w:jc w:val="center"/>
                    <w:rPr>
                      <w:rFonts w:ascii="宋体" w:hAnsi="宋体"/>
                      <w:color w:val="auto"/>
                      <w:szCs w:val="21"/>
                      <w:highlight w:val="none"/>
                    </w:rPr>
                  </w:pPr>
                  <w:r>
                    <w:rPr>
                      <w:rFonts w:hint="eastAsia" w:ascii="宋体" w:hAnsi="宋体"/>
                      <w:color w:val="auto"/>
                      <w:szCs w:val="21"/>
                      <w:highlight w:val="none"/>
                    </w:rPr>
                    <w:t>园区</w:t>
                  </w:r>
                  <w:r>
                    <w:rPr>
                      <w:rFonts w:ascii="宋体" w:hAnsi="宋体"/>
                      <w:color w:val="auto"/>
                      <w:szCs w:val="21"/>
                      <w:highlight w:val="none"/>
                    </w:rPr>
                    <w:t>市政自来水管网供给。</w:t>
                  </w:r>
                </w:p>
              </w:tc>
              <w:tc>
                <w:tcPr>
                  <w:tcW w:w="1639" w:type="pct"/>
                  <w:noWrap w:val="0"/>
                  <w:vAlign w:val="center"/>
                </w:tcPr>
                <w:p w14:paraId="67DD929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园区</w:t>
                  </w:r>
                  <w:r>
                    <w:rPr>
                      <w:rFonts w:ascii="宋体" w:hAnsi="宋体"/>
                      <w:color w:val="auto"/>
                      <w:szCs w:val="21"/>
                      <w:highlight w:val="none"/>
                    </w:rPr>
                    <w:t>市政自来水管网供给。</w:t>
                  </w:r>
                </w:p>
              </w:tc>
              <w:tc>
                <w:tcPr>
                  <w:tcW w:w="431" w:type="pct"/>
                  <w:noWrap w:val="0"/>
                  <w:vAlign w:val="center"/>
                </w:tcPr>
                <w:p w14:paraId="43EE113D">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19EC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2ABD7E85">
                  <w:pPr>
                    <w:adjustRightInd w:val="0"/>
                    <w:snapToGrid w:val="0"/>
                    <w:jc w:val="center"/>
                    <w:rPr>
                      <w:rFonts w:ascii="宋体" w:hAnsi="宋体"/>
                      <w:color w:val="auto"/>
                      <w:szCs w:val="21"/>
                      <w:highlight w:val="none"/>
                    </w:rPr>
                  </w:pPr>
                </w:p>
              </w:tc>
              <w:tc>
                <w:tcPr>
                  <w:tcW w:w="858" w:type="pct"/>
                  <w:gridSpan w:val="2"/>
                  <w:noWrap w:val="0"/>
                  <w:vAlign w:val="center"/>
                </w:tcPr>
                <w:p w14:paraId="0C4CD4ED">
                  <w:pPr>
                    <w:adjustRightInd w:val="0"/>
                    <w:snapToGrid w:val="0"/>
                    <w:jc w:val="center"/>
                    <w:rPr>
                      <w:rFonts w:ascii="宋体" w:hAnsi="宋体"/>
                      <w:color w:val="auto"/>
                      <w:szCs w:val="21"/>
                      <w:highlight w:val="none"/>
                    </w:rPr>
                  </w:pPr>
                  <w:r>
                    <w:rPr>
                      <w:rFonts w:ascii="宋体" w:hAnsi="宋体"/>
                      <w:color w:val="auto"/>
                      <w:szCs w:val="21"/>
                      <w:highlight w:val="none"/>
                    </w:rPr>
                    <w:t>排水</w:t>
                  </w:r>
                </w:p>
              </w:tc>
              <w:tc>
                <w:tcPr>
                  <w:tcW w:w="1678" w:type="pct"/>
                  <w:noWrap w:val="0"/>
                  <w:vAlign w:val="center"/>
                </w:tcPr>
                <w:p w14:paraId="4AFB237A">
                  <w:pPr>
                    <w:adjustRightInd w:val="0"/>
                    <w:snapToGrid w:val="0"/>
                    <w:jc w:val="center"/>
                    <w:rPr>
                      <w:rFonts w:ascii="宋体" w:hAnsi="宋体"/>
                      <w:color w:val="auto"/>
                      <w:szCs w:val="21"/>
                      <w:highlight w:val="none"/>
                    </w:rPr>
                  </w:pPr>
                  <w:r>
                    <w:rPr>
                      <w:rFonts w:ascii="宋体" w:hAnsi="宋体"/>
                      <w:color w:val="auto"/>
                      <w:szCs w:val="21"/>
                      <w:highlight w:val="none"/>
                    </w:rPr>
                    <w:t>项目实行雨污分流制，雨水经雨水管道外排至园区雨水管网。</w:t>
                  </w:r>
                </w:p>
                <w:p w14:paraId="5FE45DF1">
                  <w:pPr>
                    <w:adjustRightInd w:val="0"/>
                    <w:snapToGrid w:val="0"/>
                    <w:jc w:val="center"/>
                    <w:rPr>
                      <w:rFonts w:ascii="宋体" w:hAnsi="宋体"/>
                      <w:color w:val="auto"/>
                      <w:szCs w:val="21"/>
                      <w:highlight w:val="none"/>
                    </w:rPr>
                  </w:pPr>
                  <w:r>
                    <w:rPr>
                      <w:rFonts w:hint="eastAsia" w:ascii="宋体" w:hAnsi="宋体"/>
                      <w:color w:val="auto"/>
                      <w:szCs w:val="21"/>
                      <w:highlight w:val="none"/>
                    </w:rPr>
                    <w:t>项目运营期无生产废水排放；项目区食堂含油废水经隔油池处理后和其他生活污水一起排入三级化粪池处理后，再进入自建污水处理设施处理</w:t>
                  </w:r>
                  <w:r>
                    <w:rPr>
                      <w:rFonts w:hint="eastAsia" w:ascii="宋体" w:hAnsi="宋体"/>
                      <w:color w:val="auto"/>
                      <w:szCs w:val="21"/>
                      <w:highlight w:val="none"/>
                      <w:lang w:val="en-US" w:eastAsia="zh-CN"/>
                    </w:rPr>
                    <w:t>达《城市污水再生利用 城市杂用水水质》（GB/T18920-2020）中城市绿化、道路广场浇洒、消防、建筑施工标准后回用于项目区绿化和道路广场浇洒，不外排。</w:t>
                  </w:r>
                </w:p>
              </w:tc>
              <w:tc>
                <w:tcPr>
                  <w:tcW w:w="1639" w:type="pct"/>
                  <w:noWrap w:val="0"/>
                  <w:vAlign w:val="center"/>
                </w:tcPr>
                <w:p w14:paraId="3371A6BD">
                  <w:pPr>
                    <w:adjustRightInd w:val="0"/>
                    <w:snapToGrid w:val="0"/>
                    <w:jc w:val="center"/>
                    <w:rPr>
                      <w:rFonts w:ascii="宋体" w:hAnsi="宋体"/>
                      <w:color w:val="auto"/>
                      <w:szCs w:val="21"/>
                      <w:highlight w:val="none"/>
                    </w:rPr>
                  </w:pPr>
                  <w:r>
                    <w:rPr>
                      <w:rFonts w:ascii="宋体" w:hAnsi="宋体"/>
                      <w:color w:val="auto"/>
                      <w:szCs w:val="21"/>
                      <w:highlight w:val="none"/>
                    </w:rPr>
                    <w:t>项目实行雨污分流制，雨水经雨水管道外排至园区雨水管网。</w:t>
                  </w:r>
                </w:p>
                <w:p w14:paraId="6F61B388">
                  <w:pPr>
                    <w:adjustRightInd w:val="0"/>
                    <w:snapToGrid w:val="0"/>
                    <w:jc w:val="center"/>
                    <w:rPr>
                      <w:rFonts w:ascii="宋体" w:hAnsi="宋体"/>
                      <w:color w:val="auto"/>
                      <w:szCs w:val="21"/>
                      <w:highlight w:val="none"/>
                    </w:rPr>
                  </w:pPr>
                  <w:r>
                    <w:rPr>
                      <w:rFonts w:hint="eastAsia" w:ascii="宋体" w:hAnsi="宋体"/>
                      <w:color w:val="auto"/>
                      <w:szCs w:val="21"/>
                      <w:highlight w:val="none"/>
                    </w:rPr>
                    <w:t>项目运营期无生产废水排放；项目区食堂含油废水经隔油池处理后和其他生活污水一起排入三级化粪池处理后，再进入自建</w:t>
                  </w:r>
                  <w:r>
                    <w:rPr>
                      <w:rFonts w:hint="eastAsia" w:ascii="宋体" w:hAnsi="宋体"/>
                      <w:color w:val="auto"/>
                      <w:szCs w:val="21"/>
                      <w:highlight w:val="none"/>
                      <w:lang w:eastAsia="zh-CN"/>
                    </w:rPr>
                    <w:t>生活</w:t>
                  </w:r>
                  <w:r>
                    <w:rPr>
                      <w:rFonts w:hint="eastAsia" w:ascii="宋体" w:hAnsi="宋体"/>
                      <w:color w:val="auto"/>
                      <w:szCs w:val="21"/>
                      <w:highlight w:val="none"/>
                    </w:rPr>
                    <w:t>污水处理设施处理</w:t>
                  </w:r>
                  <w:r>
                    <w:rPr>
                      <w:rFonts w:hint="eastAsia" w:ascii="宋体" w:hAnsi="宋体"/>
                      <w:color w:val="auto"/>
                      <w:szCs w:val="21"/>
                      <w:highlight w:val="none"/>
                      <w:lang w:val="en-US" w:eastAsia="zh-CN"/>
                    </w:rPr>
                    <w:t>达《城市污水再生利用 城市杂用水水质》（GB/T18920-2020）中城市绿化、道路广场浇洒、消防、建筑施工标准后，回用于项目区绿化和道路广场浇洒，不外排</w:t>
                  </w:r>
                  <w:r>
                    <w:rPr>
                      <w:rFonts w:ascii="宋体" w:hAnsi="宋体"/>
                      <w:color w:val="auto"/>
                      <w:szCs w:val="21"/>
                      <w:highlight w:val="none"/>
                    </w:rPr>
                    <w:t>。</w:t>
                  </w:r>
                </w:p>
              </w:tc>
              <w:tc>
                <w:tcPr>
                  <w:tcW w:w="431" w:type="pct"/>
                  <w:noWrap w:val="0"/>
                  <w:vAlign w:val="center"/>
                </w:tcPr>
                <w:p w14:paraId="35111EC7">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2D8B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02D55CBC">
                  <w:pPr>
                    <w:adjustRightInd w:val="0"/>
                    <w:snapToGrid w:val="0"/>
                    <w:jc w:val="center"/>
                    <w:rPr>
                      <w:rFonts w:ascii="宋体" w:hAnsi="宋体"/>
                      <w:color w:val="auto"/>
                      <w:szCs w:val="21"/>
                      <w:highlight w:val="none"/>
                    </w:rPr>
                  </w:pPr>
                </w:p>
              </w:tc>
              <w:tc>
                <w:tcPr>
                  <w:tcW w:w="858" w:type="pct"/>
                  <w:gridSpan w:val="2"/>
                  <w:noWrap w:val="0"/>
                  <w:vAlign w:val="center"/>
                </w:tcPr>
                <w:p w14:paraId="3AC2BFA1">
                  <w:pPr>
                    <w:adjustRightInd w:val="0"/>
                    <w:snapToGrid w:val="0"/>
                    <w:jc w:val="center"/>
                    <w:rPr>
                      <w:rFonts w:ascii="宋体" w:hAnsi="宋体"/>
                      <w:color w:val="auto"/>
                      <w:szCs w:val="21"/>
                      <w:highlight w:val="none"/>
                    </w:rPr>
                  </w:pPr>
                  <w:r>
                    <w:rPr>
                      <w:rFonts w:ascii="宋体" w:hAnsi="宋体"/>
                      <w:color w:val="auto"/>
                      <w:szCs w:val="21"/>
                      <w:highlight w:val="none"/>
                    </w:rPr>
                    <w:t>供电</w:t>
                  </w:r>
                </w:p>
              </w:tc>
              <w:tc>
                <w:tcPr>
                  <w:tcW w:w="1678" w:type="pct"/>
                  <w:noWrap w:val="0"/>
                  <w:vAlign w:val="center"/>
                </w:tcPr>
                <w:p w14:paraId="7E5DC27D">
                  <w:pPr>
                    <w:adjustRightInd w:val="0"/>
                    <w:snapToGrid w:val="0"/>
                    <w:jc w:val="center"/>
                    <w:rPr>
                      <w:rFonts w:ascii="宋体" w:hAnsi="宋体"/>
                      <w:color w:val="auto"/>
                      <w:szCs w:val="21"/>
                      <w:highlight w:val="none"/>
                    </w:rPr>
                  </w:pPr>
                  <w:r>
                    <w:rPr>
                      <w:rFonts w:hint="eastAsia" w:ascii="宋体" w:hAnsi="宋体"/>
                      <w:color w:val="auto"/>
                      <w:szCs w:val="21"/>
                      <w:highlight w:val="none"/>
                    </w:rPr>
                    <w:t>园区</w:t>
                  </w:r>
                  <w:r>
                    <w:rPr>
                      <w:rFonts w:ascii="宋体" w:hAnsi="宋体"/>
                      <w:color w:val="auto"/>
                      <w:szCs w:val="21"/>
                      <w:highlight w:val="none"/>
                    </w:rPr>
                    <w:t>市政电网供给。</w:t>
                  </w:r>
                </w:p>
              </w:tc>
              <w:tc>
                <w:tcPr>
                  <w:tcW w:w="1639" w:type="pct"/>
                  <w:noWrap w:val="0"/>
                  <w:vAlign w:val="center"/>
                </w:tcPr>
                <w:p w14:paraId="1D9D26C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园区</w:t>
                  </w:r>
                  <w:r>
                    <w:rPr>
                      <w:rFonts w:ascii="宋体" w:hAnsi="宋体"/>
                      <w:color w:val="auto"/>
                      <w:szCs w:val="21"/>
                      <w:highlight w:val="none"/>
                    </w:rPr>
                    <w:t>市政电网供给。</w:t>
                  </w:r>
                </w:p>
              </w:tc>
              <w:tc>
                <w:tcPr>
                  <w:tcW w:w="431" w:type="pct"/>
                  <w:noWrap w:val="0"/>
                  <w:vAlign w:val="center"/>
                </w:tcPr>
                <w:p w14:paraId="4DCF267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一致</w:t>
                  </w:r>
                </w:p>
              </w:tc>
            </w:tr>
            <w:tr w14:paraId="07B9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6774F724">
                  <w:pPr>
                    <w:adjustRightInd w:val="0"/>
                    <w:snapToGrid w:val="0"/>
                    <w:jc w:val="center"/>
                    <w:rPr>
                      <w:rFonts w:ascii="宋体" w:hAnsi="宋体"/>
                      <w:color w:val="auto"/>
                      <w:szCs w:val="21"/>
                      <w:highlight w:val="none"/>
                    </w:rPr>
                  </w:pPr>
                </w:p>
              </w:tc>
              <w:tc>
                <w:tcPr>
                  <w:tcW w:w="858" w:type="pct"/>
                  <w:gridSpan w:val="2"/>
                  <w:noWrap w:val="0"/>
                  <w:vAlign w:val="center"/>
                </w:tcPr>
                <w:p w14:paraId="05AC93DE">
                  <w:pPr>
                    <w:adjustRightInd w:val="0"/>
                    <w:snapToGrid w:val="0"/>
                    <w:jc w:val="center"/>
                    <w:rPr>
                      <w:rFonts w:ascii="宋体" w:hAnsi="宋体"/>
                      <w:color w:val="auto"/>
                      <w:szCs w:val="21"/>
                      <w:highlight w:val="none"/>
                    </w:rPr>
                  </w:pPr>
                  <w:r>
                    <w:rPr>
                      <w:rFonts w:hint="eastAsia" w:ascii="宋体" w:hAnsi="宋体"/>
                      <w:color w:val="auto"/>
                      <w:szCs w:val="21"/>
                      <w:highlight w:val="none"/>
                    </w:rPr>
                    <w:t>供热</w:t>
                  </w:r>
                </w:p>
              </w:tc>
              <w:tc>
                <w:tcPr>
                  <w:tcW w:w="1678" w:type="pct"/>
                  <w:noWrap w:val="0"/>
                  <w:vAlign w:val="center"/>
                </w:tcPr>
                <w:p w14:paraId="38E2201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项目办公区和生产区仅使用电能，不设置锅炉</w:t>
                  </w:r>
                </w:p>
              </w:tc>
              <w:tc>
                <w:tcPr>
                  <w:tcW w:w="1639" w:type="pct"/>
                  <w:noWrap w:val="0"/>
                  <w:vAlign w:val="center"/>
                </w:tcPr>
                <w:p w14:paraId="69B7812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项目办公区和生产区仅使用电能，不设置锅炉</w:t>
                  </w:r>
                </w:p>
              </w:tc>
              <w:tc>
                <w:tcPr>
                  <w:tcW w:w="431" w:type="pct"/>
                  <w:noWrap w:val="0"/>
                  <w:vAlign w:val="center"/>
                </w:tcPr>
                <w:p w14:paraId="0056B55E">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一致</w:t>
                  </w:r>
                </w:p>
              </w:tc>
            </w:tr>
            <w:tr w14:paraId="33D0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restart"/>
                  <w:noWrap w:val="0"/>
                  <w:vAlign w:val="center"/>
                </w:tcPr>
                <w:p w14:paraId="7000A1C2">
                  <w:pPr>
                    <w:adjustRightInd w:val="0"/>
                    <w:snapToGrid w:val="0"/>
                    <w:jc w:val="center"/>
                    <w:rPr>
                      <w:rFonts w:ascii="宋体" w:hAnsi="宋体"/>
                      <w:color w:val="auto"/>
                      <w:szCs w:val="21"/>
                      <w:highlight w:val="none"/>
                    </w:rPr>
                  </w:pPr>
                  <w:r>
                    <w:rPr>
                      <w:rFonts w:ascii="宋体" w:hAnsi="宋体"/>
                      <w:color w:val="auto"/>
                      <w:szCs w:val="21"/>
                      <w:highlight w:val="none"/>
                    </w:rPr>
                    <w:t>环保工程</w:t>
                  </w:r>
                </w:p>
              </w:tc>
              <w:tc>
                <w:tcPr>
                  <w:tcW w:w="212" w:type="pct"/>
                  <w:vMerge w:val="restart"/>
                  <w:noWrap w:val="0"/>
                  <w:vAlign w:val="center"/>
                </w:tcPr>
                <w:p w14:paraId="1EFF95CD">
                  <w:pPr>
                    <w:adjustRightInd w:val="0"/>
                    <w:snapToGrid w:val="0"/>
                    <w:jc w:val="center"/>
                    <w:rPr>
                      <w:rFonts w:ascii="宋体" w:hAnsi="宋体"/>
                      <w:color w:val="auto"/>
                      <w:szCs w:val="21"/>
                      <w:highlight w:val="none"/>
                    </w:rPr>
                  </w:pPr>
                  <w:r>
                    <w:rPr>
                      <w:rFonts w:ascii="宋体" w:hAnsi="宋体"/>
                      <w:color w:val="auto"/>
                      <w:szCs w:val="21"/>
                      <w:highlight w:val="none"/>
                    </w:rPr>
                    <w:t>废水</w:t>
                  </w:r>
                </w:p>
              </w:tc>
              <w:tc>
                <w:tcPr>
                  <w:tcW w:w="645" w:type="pct"/>
                  <w:noWrap w:val="0"/>
                  <w:vAlign w:val="center"/>
                </w:tcPr>
                <w:p w14:paraId="32DE4AD7">
                  <w:pPr>
                    <w:adjustRightInd w:val="0"/>
                    <w:snapToGrid w:val="0"/>
                    <w:jc w:val="center"/>
                    <w:rPr>
                      <w:rFonts w:ascii="宋体" w:hAnsi="宋体"/>
                      <w:color w:val="auto"/>
                      <w:szCs w:val="21"/>
                      <w:highlight w:val="none"/>
                    </w:rPr>
                  </w:pPr>
                  <w:r>
                    <w:rPr>
                      <w:rFonts w:ascii="宋体" w:hAnsi="宋体"/>
                      <w:color w:val="auto"/>
                      <w:szCs w:val="21"/>
                      <w:highlight w:val="none"/>
                    </w:rPr>
                    <w:t>雨污分流系统</w:t>
                  </w:r>
                </w:p>
              </w:tc>
              <w:tc>
                <w:tcPr>
                  <w:tcW w:w="1678" w:type="pct"/>
                  <w:noWrap w:val="0"/>
                  <w:vAlign w:val="center"/>
                </w:tcPr>
                <w:p w14:paraId="746E0E74">
                  <w:pPr>
                    <w:adjustRightInd w:val="0"/>
                    <w:snapToGrid w:val="0"/>
                    <w:jc w:val="center"/>
                    <w:rPr>
                      <w:rFonts w:ascii="宋体" w:hAnsi="宋体"/>
                      <w:color w:val="auto"/>
                      <w:szCs w:val="21"/>
                      <w:highlight w:val="none"/>
                    </w:rPr>
                  </w:pPr>
                  <w:r>
                    <w:rPr>
                      <w:rFonts w:ascii="宋体" w:hAnsi="宋体"/>
                      <w:color w:val="auto"/>
                      <w:szCs w:val="21"/>
                      <w:highlight w:val="none"/>
                    </w:rPr>
                    <w:t>项目区采用雨污分流系统。</w:t>
                  </w:r>
                </w:p>
              </w:tc>
              <w:tc>
                <w:tcPr>
                  <w:tcW w:w="1639" w:type="pct"/>
                  <w:noWrap w:val="0"/>
                  <w:vAlign w:val="center"/>
                </w:tcPr>
                <w:p w14:paraId="7FE1DDA3">
                  <w:pPr>
                    <w:adjustRightInd w:val="0"/>
                    <w:snapToGrid w:val="0"/>
                    <w:jc w:val="center"/>
                    <w:rPr>
                      <w:rFonts w:hint="eastAsia" w:ascii="宋体" w:hAnsi="宋体"/>
                      <w:color w:val="auto"/>
                      <w:szCs w:val="21"/>
                      <w:highlight w:val="none"/>
                    </w:rPr>
                  </w:pPr>
                  <w:r>
                    <w:rPr>
                      <w:rFonts w:ascii="宋体" w:hAnsi="宋体"/>
                      <w:color w:val="auto"/>
                      <w:szCs w:val="21"/>
                      <w:highlight w:val="none"/>
                    </w:rPr>
                    <w:t>项目区采用雨污分流系统。</w:t>
                  </w:r>
                </w:p>
              </w:tc>
              <w:tc>
                <w:tcPr>
                  <w:tcW w:w="431" w:type="pct"/>
                  <w:noWrap w:val="0"/>
                  <w:vAlign w:val="center"/>
                </w:tcPr>
                <w:p w14:paraId="0B2ED777">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2834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2653D863">
                  <w:pPr>
                    <w:adjustRightInd w:val="0"/>
                    <w:snapToGrid w:val="0"/>
                    <w:jc w:val="center"/>
                    <w:rPr>
                      <w:rFonts w:ascii="宋体" w:hAnsi="宋体"/>
                      <w:color w:val="auto"/>
                      <w:szCs w:val="21"/>
                      <w:highlight w:val="none"/>
                    </w:rPr>
                  </w:pPr>
                </w:p>
              </w:tc>
              <w:tc>
                <w:tcPr>
                  <w:tcW w:w="212" w:type="pct"/>
                  <w:vMerge w:val="continue"/>
                  <w:noWrap w:val="0"/>
                  <w:vAlign w:val="center"/>
                </w:tcPr>
                <w:p w14:paraId="55370BAF">
                  <w:pPr>
                    <w:adjustRightInd w:val="0"/>
                    <w:snapToGrid w:val="0"/>
                    <w:jc w:val="center"/>
                    <w:rPr>
                      <w:rFonts w:ascii="宋体" w:hAnsi="宋体"/>
                      <w:color w:val="auto"/>
                      <w:szCs w:val="21"/>
                      <w:highlight w:val="none"/>
                    </w:rPr>
                  </w:pPr>
                </w:p>
              </w:tc>
              <w:tc>
                <w:tcPr>
                  <w:tcW w:w="645" w:type="pct"/>
                  <w:noWrap w:val="0"/>
                  <w:vAlign w:val="center"/>
                </w:tcPr>
                <w:p w14:paraId="11EB7085">
                  <w:pPr>
                    <w:adjustRightInd w:val="0"/>
                    <w:snapToGrid w:val="0"/>
                    <w:jc w:val="center"/>
                    <w:rPr>
                      <w:rFonts w:ascii="宋体" w:hAnsi="宋体"/>
                      <w:color w:val="auto"/>
                      <w:szCs w:val="21"/>
                      <w:highlight w:val="none"/>
                    </w:rPr>
                  </w:pPr>
                  <w:r>
                    <w:rPr>
                      <w:rFonts w:ascii="宋体" w:hAnsi="宋体"/>
                      <w:color w:val="auto"/>
                      <w:szCs w:val="21"/>
                      <w:highlight w:val="none"/>
                    </w:rPr>
                    <w:t>隔油池</w:t>
                  </w:r>
                </w:p>
              </w:tc>
              <w:tc>
                <w:tcPr>
                  <w:tcW w:w="1678" w:type="pct"/>
                  <w:noWrap w:val="0"/>
                  <w:vAlign w:val="center"/>
                </w:tcPr>
                <w:p w14:paraId="4B0616C8">
                  <w:pPr>
                    <w:widowControl/>
                    <w:adjustRightInd w:val="0"/>
                    <w:snapToGrid w:val="0"/>
                    <w:jc w:val="center"/>
                    <w:rPr>
                      <w:rFonts w:hint="eastAsia" w:ascii="宋体" w:hAnsi="宋体"/>
                      <w:color w:val="auto"/>
                      <w:szCs w:val="21"/>
                      <w:highlight w:val="none"/>
                    </w:rPr>
                  </w:pPr>
                  <w:r>
                    <w:rPr>
                      <w:rFonts w:ascii="宋体" w:hAnsi="宋体"/>
                      <w:color w:val="auto"/>
                      <w:szCs w:val="21"/>
                      <w:highlight w:val="none"/>
                    </w:rPr>
                    <w:t>食堂内设置一个容积</w:t>
                  </w:r>
                  <w:r>
                    <w:rPr>
                      <w:rFonts w:hint="default" w:ascii="Times New Roman" w:hAnsi="Times New Roman" w:cs="Times New Roman"/>
                      <w:color w:val="auto"/>
                      <w:szCs w:val="21"/>
                      <w:highlight w:val="none"/>
                    </w:rPr>
                    <w:t>0.5m</w:t>
                  </w:r>
                  <w:r>
                    <w:rPr>
                      <w:rFonts w:hint="default" w:ascii="Times New Roman" w:hAnsi="Times New Roman" w:cs="Times New Roman"/>
                      <w:color w:val="auto"/>
                      <w:szCs w:val="21"/>
                      <w:highlight w:val="none"/>
                      <w:vertAlign w:val="superscript"/>
                    </w:rPr>
                    <w:t>3</w:t>
                  </w:r>
                  <w:r>
                    <w:rPr>
                      <w:rFonts w:ascii="宋体" w:hAnsi="宋体"/>
                      <w:color w:val="auto"/>
                      <w:szCs w:val="21"/>
                      <w:highlight w:val="none"/>
                    </w:rPr>
                    <w:t>的</w:t>
                  </w:r>
                  <w:r>
                    <w:rPr>
                      <w:rFonts w:hint="eastAsia" w:ascii="宋体" w:hAnsi="宋体"/>
                      <w:color w:val="auto"/>
                      <w:szCs w:val="21"/>
                      <w:highlight w:val="none"/>
                    </w:rPr>
                    <w:t>油水分离器</w:t>
                  </w:r>
                  <w:r>
                    <w:rPr>
                      <w:rFonts w:ascii="宋体" w:hAnsi="宋体"/>
                      <w:color w:val="auto"/>
                      <w:szCs w:val="21"/>
                      <w:highlight w:val="none"/>
                    </w:rPr>
                    <w:t>，对厨房内产生的含油废水进行隔油处理</w:t>
                  </w:r>
                </w:p>
              </w:tc>
              <w:tc>
                <w:tcPr>
                  <w:tcW w:w="1639" w:type="pct"/>
                  <w:noWrap w:val="0"/>
                  <w:vAlign w:val="center"/>
                </w:tcPr>
                <w:p w14:paraId="5449767D">
                  <w:pPr>
                    <w:widowControl/>
                    <w:adjustRightInd w:val="0"/>
                    <w:snapToGrid w:val="0"/>
                    <w:jc w:val="center"/>
                    <w:rPr>
                      <w:rFonts w:hint="eastAsia" w:ascii="宋体" w:hAnsi="宋体"/>
                      <w:color w:val="auto"/>
                      <w:szCs w:val="21"/>
                      <w:highlight w:val="none"/>
                    </w:rPr>
                  </w:pPr>
                  <w:r>
                    <w:rPr>
                      <w:rFonts w:ascii="宋体" w:hAnsi="宋体"/>
                      <w:color w:val="auto"/>
                      <w:szCs w:val="21"/>
                      <w:highlight w:val="none"/>
                    </w:rPr>
                    <w:t>食堂内设置一个容积</w:t>
                  </w:r>
                  <w:r>
                    <w:rPr>
                      <w:rFonts w:hint="default" w:ascii="Times New Roman" w:hAnsi="Times New Roman" w:cs="Times New Roman"/>
                      <w:color w:val="auto"/>
                      <w:szCs w:val="21"/>
                      <w:highlight w:val="none"/>
                    </w:rPr>
                    <w:t>0.5m</w:t>
                  </w:r>
                  <w:r>
                    <w:rPr>
                      <w:rFonts w:hint="default" w:ascii="Times New Roman" w:hAnsi="Times New Roman" w:cs="Times New Roman"/>
                      <w:color w:val="auto"/>
                      <w:szCs w:val="21"/>
                      <w:highlight w:val="none"/>
                      <w:vertAlign w:val="superscript"/>
                    </w:rPr>
                    <w:t>3</w:t>
                  </w:r>
                  <w:r>
                    <w:rPr>
                      <w:rFonts w:ascii="宋体" w:hAnsi="宋体"/>
                      <w:color w:val="auto"/>
                      <w:szCs w:val="21"/>
                      <w:highlight w:val="none"/>
                    </w:rPr>
                    <w:t>的</w:t>
                  </w:r>
                  <w:r>
                    <w:rPr>
                      <w:rFonts w:hint="eastAsia" w:ascii="宋体" w:hAnsi="宋体"/>
                      <w:color w:val="auto"/>
                      <w:szCs w:val="21"/>
                      <w:highlight w:val="none"/>
                    </w:rPr>
                    <w:t>油水分离器</w:t>
                  </w:r>
                  <w:r>
                    <w:rPr>
                      <w:rFonts w:ascii="宋体" w:hAnsi="宋体"/>
                      <w:color w:val="auto"/>
                      <w:szCs w:val="21"/>
                      <w:highlight w:val="none"/>
                    </w:rPr>
                    <w:t>，对厨房内产生的含油废水进行隔油处理</w:t>
                  </w:r>
                </w:p>
              </w:tc>
              <w:tc>
                <w:tcPr>
                  <w:tcW w:w="431" w:type="pct"/>
                  <w:noWrap w:val="0"/>
                  <w:vAlign w:val="center"/>
                </w:tcPr>
                <w:p w14:paraId="234D2003">
                  <w:pPr>
                    <w:widowControl/>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17D7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15F72D15">
                  <w:pPr>
                    <w:adjustRightInd w:val="0"/>
                    <w:snapToGrid w:val="0"/>
                    <w:jc w:val="center"/>
                    <w:rPr>
                      <w:rFonts w:ascii="宋体" w:hAnsi="宋体"/>
                      <w:color w:val="auto"/>
                      <w:szCs w:val="21"/>
                      <w:highlight w:val="none"/>
                    </w:rPr>
                  </w:pPr>
                </w:p>
              </w:tc>
              <w:tc>
                <w:tcPr>
                  <w:tcW w:w="212" w:type="pct"/>
                  <w:vMerge w:val="continue"/>
                  <w:noWrap w:val="0"/>
                  <w:vAlign w:val="center"/>
                </w:tcPr>
                <w:p w14:paraId="3DC37E32">
                  <w:pPr>
                    <w:adjustRightInd w:val="0"/>
                    <w:snapToGrid w:val="0"/>
                    <w:jc w:val="center"/>
                    <w:rPr>
                      <w:rFonts w:ascii="宋体" w:hAnsi="宋体"/>
                      <w:color w:val="auto"/>
                      <w:szCs w:val="21"/>
                      <w:highlight w:val="none"/>
                    </w:rPr>
                  </w:pPr>
                </w:p>
              </w:tc>
              <w:tc>
                <w:tcPr>
                  <w:tcW w:w="645" w:type="pct"/>
                  <w:noWrap w:val="0"/>
                  <w:vAlign w:val="center"/>
                </w:tcPr>
                <w:p w14:paraId="2562EF07">
                  <w:pPr>
                    <w:adjustRightInd w:val="0"/>
                    <w:snapToGrid w:val="0"/>
                    <w:jc w:val="center"/>
                    <w:rPr>
                      <w:rFonts w:ascii="宋体" w:hAnsi="宋体"/>
                      <w:color w:val="auto"/>
                      <w:szCs w:val="21"/>
                      <w:highlight w:val="none"/>
                    </w:rPr>
                  </w:pPr>
                  <w:r>
                    <w:rPr>
                      <w:rFonts w:ascii="宋体" w:hAnsi="宋体"/>
                      <w:color w:val="auto"/>
                      <w:szCs w:val="21"/>
                      <w:highlight w:val="none"/>
                    </w:rPr>
                    <w:t>化粪池</w:t>
                  </w:r>
                </w:p>
              </w:tc>
              <w:tc>
                <w:tcPr>
                  <w:tcW w:w="1678" w:type="pct"/>
                  <w:noWrap w:val="0"/>
                  <w:vAlign w:val="center"/>
                </w:tcPr>
                <w:p w14:paraId="4C9F83E2">
                  <w:pPr>
                    <w:widowControl/>
                    <w:adjustRightInd w:val="0"/>
                    <w:snapToGrid w:val="0"/>
                    <w:jc w:val="center"/>
                    <w:rPr>
                      <w:rFonts w:ascii="宋体" w:hAnsi="宋体"/>
                      <w:color w:val="auto"/>
                      <w:szCs w:val="21"/>
                      <w:highlight w:val="none"/>
                    </w:rPr>
                  </w:pPr>
                  <w:r>
                    <w:rPr>
                      <w:rFonts w:hint="eastAsia" w:ascii="宋体" w:hAnsi="宋体"/>
                      <w:color w:val="auto"/>
                      <w:szCs w:val="21"/>
                      <w:highlight w:val="none"/>
                    </w:rPr>
                    <w:t>1个容积</w:t>
                  </w:r>
                  <w:r>
                    <w:rPr>
                      <w:rFonts w:hint="default" w:ascii="Times New Roman" w:hAnsi="Times New Roman" w:cs="Times New Roman"/>
                      <w:color w:val="auto"/>
                      <w:szCs w:val="21"/>
                      <w:highlight w:val="none"/>
                    </w:rPr>
                    <w:t>5m</w:t>
                  </w:r>
                  <w:r>
                    <w:rPr>
                      <w:rFonts w:hint="default" w:ascii="Times New Roman" w:hAnsi="Times New Roman" w:cs="Times New Roman"/>
                      <w:color w:val="auto"/>
                      <w:szCs w:val="21"/>
                      <w:highlight w:val="none"/>
                      <w:vertAlign w:val="superscript"/>
                    </w:rPr>
                    <w:t>3</w:t>
                  </w:r>
                  <w:r>
                    <w:rPr>
                      <w:rFonts w:hint="eastAsia" w:ascii="宋体" w:hAnsi="宋体"/>
                      <w:color w:val="auto"/>
                      <w:szCs w:val="21"/>
                      <w:highlight w:val="none"/>
                    </w:rPr>
                    <w:t>的三级化粪池</w:t>
                  </w:r>
                </w:p>
              </w:tc>
              <w:tc>
                <w:tcPr>
                  <w:tcW w:w="1639" w:type="pct"/>
                  <w:noWrap w:val="0"/>
                  <w:vAlign w:val="center"/>
                </w:tcPr>
                <w:p w14:paraId="6A07A504">
                  <w:pPr>
                    <w:widowControl/>
                    <w:adjustRightInd w:val="0"/>
                    <w:snapToGrid w:val="0"/>
                    <w:jc w:val="center"/>
                    <w:rPr>
                      <w:rFonts w:ascii="宋体" w:hAnsi="宋体"/>
                      <w:color w:val="auto"/>
                      <w:szCs w:val="21"/>
                      <w:highlight w:val="none"/>
                    </w:rPr>
                  </w:pPr>
                  <w:r>
                    <w:rPr>
                      <w:rFonts w:hint="eastAsia" w:ascii="宋体" w:hAnsi="宋体"/>
                      <w:color w:val="auto"/>
                      <w:szCs w:val="21"/>
                      <w:highlight w:val="none"/>
                    </w:rPr>
                    <w:t>1个容积</w:t>
                  </w:r>
                  <w:r>
                    <w:rPr>
                      <w:rFonts w:hint="default" w:ascii="Times New Roman" w:hAnsi="Times New Roman" w:cs="Times New Roman"/>
                      <w:color w:val="auto"/>
                      <w:szCs w:val="21"/>
                      <w:highlight w:val="none"/>
                    </w:rPr>
                    <w:t>5m</w:t>
                  </w:r>
                  <w:r>
                    <w:rPr>
                      <w:rFonts w:hint="default" w:ascii="Times New Roman" w:hAnsi="Times New Roman" w:cs="Times New Roman"/>
                      <w:color w:val="auto"/>
                      <w:szCs w:val="21"/>
                      <w:highlight w:val="none"/>
                      <w:vertAlign w:val="superscript"/>
                    </w:rPr>
                    <w:t>3</w:t>
                  </w:r>
                  <w:r>
                    <w:rPr>
                      <w:rFonts w:hint="eastAsia" w:ascii="宋体" w:hAnsi="宋体"/>
                      <w:color w:val="auto"/>
                      <w:szCs w:val="21"/>
                      <w:highlight w:val="none"/>
                    </w:rPr>
                    <w:t>的三级化粪池</w:t>
                  </w:r>
                </w:p>
              </w:tc>
              <w:tc>
                <w:tcPr>
                  <w:tcW w:w="431" w:type="pct"/>
                  <w:noWrap w:val="0"/>
                  <w:vAlign w:val="center"/>
                </w:tcPr>
                <w:p w14:paraId="6A5114C1">
                  <w:pPr>
                    <w:widowControl/>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620A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6D1B5095">
                  <w:pPr>
                    <w:adjustRightInd w:val="0"/>
                    <w:snapToGrid w:val="0"/>
                    <w:jc w:val="center"/>
                    <w:rPr>
                      <w:rFonts w:ascii="宋体" w:hAnsi="宋体"/>
                      <w:color w:val="auto"/>
                      <w:szCs w:val="21"/>
                      <w:highlight w:val="none"/>
                    </w:rPr>
                  </w:pPr>
                </w:p>
              </w:tc>
              <w:tc>
                <w:tcPr>
                  <w:tcW w:w="212" w:type="pct"/>
                  <w:vMerge w:val="continue"/>
                  <w:noWrap w:val="0"/>
                  <w:vAlign w:val="center"/>
                </w:tcPr>
                <w:p w14:paraId="5F51B10E">
                  <w:pPr>
                    <w:adjustRightInd w:val="0"/>
                    <w:snapToGrid w:val="0"/>
                    <w:jc w:val="center"/>
                    <w:rPr>
                      <w:rFonts w:ascii="宋体" w:hAnsi="宋体"/>
                      <w:color w:val="auto"/>
                      <w:szCs w:val="21"/>
                      <w:highlight w:val="none"/>
                    </w:rPr>
                  </w:pPr>
                </w:p>
              </w:tc>
              <w:tc>
                <w:tcPr>
                  <w:tcW w:w="645" w:type="pct"/>
                  <w:noWrap w:val="0"/>
                  <w:vAlign w:val="center"/>
                </w:tcPr>
                <w:p w14:paraId="13AE6250">
                  <w:pPr>
                    <w:adjustRightInd w:val="0"/>
                    <w:snapToGrid w:val="0"/>
                    <w:jc w:val="center"/>
                    <w:rPr>
                      <w:rFonts w:ascii="宋体" w:hAnsi="宋体"/>
                      <w:color w:val="auto"/>
                      <w:szCs w:val="21"/>
                      <w:highlight w:val="none"/>
                    </w:rPr>
                  </w:pPr>
                  <w:r>
                    <w:rPr>
                      <w:rFonts w:hint="eastAsia" w:ascii="宋体" w:hAnsi="宋体"/>
                      <w:color w:val="auto"/>
                      <w:szCs w:val="21"/>
                      <w:highlight w:val="none"/>
                    </w:rPr>
                    <w:t>沉淀循环水池</w:t>
                  </w:r>
                </w:p>
              </w:tc>
              <w:tc>
                <w:tcPr>
                  <w:tcW w:w="1678" w:type="pct"/>
                  <w:noWrap w:val="0"/>
                  <w:vAlign w:val="center"/>
                </w:tcPr>
                <w:p w14:paraId="48F07F81">
                  <w:pPr>
                    <w:widowControl/>
                    <w:adjustRightInd w:val="0"/>
                    <w:snapToGrid w:val="0"/>
                    <w:jc w:val="center"/>
                    <w:rPr>
                      <w:rFonts w:ascii="宋体" w:hAnsi="宋体"/>
                      <w:color w:val="auto"/>
                      <w:szCs w:val="21"/>
                      <w:highlight w:val="none"/>
                    </w:rPr>
                  </w:pPr>
                  <w:r>
                    <w:rPr>
                      <w:rFonts w:hint="eastAsia" w:ascii="宋体" w:hAnsi="宋体"/>
                      <w:color w:val="auto"/>
                      <w:szCs w:val="21"/>
                      <w:highlight w:val="none"/>
                    </w:rPr>
                    <w:t>在玻璃磨边处设置了1个沉淀循环水池，容积为</w:t>
                  </w:r>
                  <w:r>
                    <w:rPr>
                      <w:rFonts w:hint="default" w:ascii="Times New Roman" w:hAnsi="Times New Roman" w:cs="Times New Roman"/>
                      <w:color w:val="auto"/>
                      <w:szCs w:val="21"/>
                      <w:highlight w:val="none"/>
                    </w:rPr>
                    <w:t>2m</w:t>
                  </w:r>
                  <w:r>
                    <w:rPr>
                      <w:rFonts w:hint="default" w:ascii="Times New Roman" w:hAnsi="Times New Roman" w:cs="Times New Roman"/>
                      <w:color w:val="auto"/>
                      <w:szCs w:val="21"/>
                      <w:highlight w:val="none"/>
                      <w:vertAlign w:val="superscript"/>
                    </w:rPr>
                    <w:t>3</w:t>
                  </w:r>
                  <w:r>
                    <w:rPr>
                      <w:rFonts w:hint="eastAsia" w:ascii="宋体" w:hAnsi="宋体"/>
                      <w:color w:val="auto"/>
                      <w:szCs w:val="21"/>
                      <w:highlight w:val="none"/>
                    </w:rPr>
                    <w:t>。</w:t>
                  </w:r>
                </w:p>
              </w:tc>
              <w:tc>
                <w:tcPr>
                  <w:tcW w:w="1639" w:type="pct"/>
                  <w:noWrap w:val="0"/>
                  <w:vAlign w:val="center"/>
                </w:tcPr>
                <w:p w14:paraId="0D171775">
                  <w:pPr>
                    <w:widowControl/>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在玻璃磨边处设置了1个沉淀循环水池，容积为</w:t>
                  </w:r>
                  <w:r>
                    <w:rPr>
                      <w:rFonts w:hint="default" w:ascii="Times New Roman" w:hAnsi="Times New Roman" w:cs="Times New Roman"/>
                      <w:color w:val="auto"/>
                      <w:szCs w:val="21"/>
                      <w:highlight w:val="none"/>
                    </w:rPr>
                    <w:t>2m</w:t>
                  </w:r>
                  <w:r>
                    <w:rPr>
                      <w:rFonts w:hint="default" w:ascii="Times New Roman" w:hAnsi="Times New Roman" w:cs="Times New Roman"/>
                      <w:color w:val="auto"/>
                      <w:szCs w:val="21"/>
                      <w:highlight w:val="none"/>
                      <w:vertAlign w:val="superscript"/>
                    </w:rPr>
                    <w:t>3</w:t>
                  </w:r>
                  <w:r>
                    <w:rPr>
                      <w:rFonts w:hint="eastAsia" w:ascii="宋体" w:hAnsi="宋体"/>
                      <w:color w:val="auto"/>
                      <w:szCs w:val="21"/>
                      <w:highlight w:val="none"/>
                    </w:rPr>
                    <w:t>。</w:t>
                  </w:r>
                </w:p>
              </w:tc>
              <w:tc>
                <w:tcPr>
                  <w:tcW w:w="431" w:type="pct"/>
                  <w:noWrap w:val="0"/>
                  <w:vAlign w:val="center"/>
                </w:tcPr>
                <w:p w14:paraId="275F9AE6">
                  <w:pPr>
                    <w:widowControl/>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一致</w:t>
                  </w:r>
                </w:p>
              </w:tc>
            </w:tr>
            <w:tr w14:paraId="460F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7BBC604C">
                  <w:pPr>
                    <w:adjustRightInd w:val="0"/>
                    <w:snapToGrid w:val="0"/>
                    <w:jc w:val="center"/>
                    <w:rPr>
                      <w:rFonts w:ascii="宋体" w:hAnsi="宋体"/>
                      <w:color w:val="auto"/>
                      <w:szCs w:val="21"/>
                      <w:highlight w:val="none"/>
                    </w:rPr>
                  </w:pPr>
                </w:p>
              </w:tc>
              <w:tc>
                <w:tcPr>
                  <w:tcW w:w="212" w:type="pct"/>
                  <w:vMerge w:val="continue"/>
                  <w:noWrap w:val="0"/>
                  <w:vAlign w:val="center"/>
                </w:tcPr>
                <w:p w14:paraId="5F88A655">
                  <w:pPr>
                    <w:adjustRightInd w:val="0"/>
                    <w:snapToGrid w:val="0"/>
                    <w:jc w:val="center"/>
                    <w:rPr>
                      <w:rFonts w:ascii="宋体" w:hAnsi="宋体"/>
                      <w:color w:val="auto"/>
                      <w:szCs w:val="21"/>
                      <w:highlight w:val="none"/>
                    </w:rPr>
                  </w:pPr>
                </w:p>
              </w:tc>
              <w:tc>
                <w:tcPr>
                  <w:tcW w:w="645" w:type="pct"/>
                  <w:noWrap w:val="0"/>
                  <w:vAlign w:val="center"/>
                </w:tcPr>
                <w:p w14:paraId="184BBDB2">
                  <w:pPr>
                    <w:adjustRightInd w:val="0"/>
                    <w:snapToGrid w:val="0"/>
                    <w:jc w:val="center"/>
                    <w:rPr>
                      <w:rFonts w:ascii="宋体" w:hAnsi="宋体"/>
                      <w:color w:val="auto"/>
                      <w:szCs w:val="21"/>
                      <w:highlight w:val="none"/>
                    </w:rPr>
                  </w:pPr>
                  <w:r>
                    <w:rPr>
                      <w:rFonts w:hint="eastAsia" w:ascii="宋体" w:hAnsi="宋体"/>
                      <w:color w:val="auto"/>
                      <w:szCs w:val="21"/>
                      <w:highlight w:val="none"/>
                    </w:rPr>
                    <w:t>沉淀循环水池</w:t>
                  </w:r>
                </w:p>
              </w:tc>
              <w:tc>
                <w:tcPr>
                  <w:tcW w:w="1678" w:type="pct"/>
                  <w:noWrap w:val="0"/>
                  <w:vAlign w:val="center"/>
                </w:tcPr>
                <w:p w14:paraId="25103271">
                  <w:pPr>
                    <w:widowControl/>
                    <w:adjustRightInd w:val="0"/>
                    <w:snapToGrid w:val="0"/>
                    <w:jc w:val="center"/>
                    <w:rPr>
                      <w:rFonts w:ascii="宋体" w:hAnsi="宋体"/>
                      <w:color w:val="auto"/>
                      <w:szCs w:val="21"/>
                      <w:highlight w:val="none"/>
                    </w:rPr>
                  </w:pPr>
                  <w:r>
                    <w:rPr>
                      <w:rFonts w:hint="eastAsia" w:ascii="宋体" w:hAnsi="宋体"/>
                      <w:color w:val="auto"/>
                      <w:szCs w:val="21"/>
                      <w:highlight w:val="none"/>
                    </w:rPr>
                    <w:t>在玻璃磨砂处设置了1个沉淀循环水池，容积为</w:t>
                  </w:r>
                  <w:r>
                    <w:rPr>
                      <w:rFonts w:hint="default" w:ascii="Times New Roman" w:hAnsi="Times New Roman" w:cs="Times New Roman"/>
                      <w:color w:val="auto"/>
                      <w:szCs w:val="21"/>
                      <w:highlight w:val="none"/>
                    </w:rPr>
                    <w:t>2m</w:t>
                  </w:r>
                  <w:r>
                    <w:rPr>
                      <w:rFonts w:hint="default" w:ascii="Times New Roman" w:hAnsi="Times New Roman" w:cs="Times New Roman"/>
                      <w:color w:val="auto"/>
                      <w:szCs w:val="21"/>
                      <w:highlight w:val="none"/>
                      <w:vertAlign w:val="superscript"/>
                    </w:rPr>
                    <w:t>3</w:t>
                  </w:r>
                  <w:r>
                    <w:rPr>
                      <w:rFonts w:hint="eastAsia" w:ascii="宋体" w:hAnsi="宋体"/>
                      <w:color w:val="auto"/>
                      <w:szCs w:val="21"/>
                      <w:highlight w:val="none"/>
                    </w:rPr>
                    <w:t>。</w:t>
                  </w:r>
                </w:p>
              </w:tc>
              <w:tc>
                <w:tcPr>
                  <w:tcW w:w="1639" w:type="pct"/>
                  <w:noWrap w:val="0"/>
                  <w:vAlign w:val="center"/>
                </w:tcPr>
                <w:p w14:paraId="272C22F7">
                  <w:pPr>
                    <w:widowControl/>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在玻璃磨砂处设置了1个沉淀循环水池，容积为</w:t>
                  </w:r>
                  <w:r>
                    <w:rPr>
                      <w:rFonts w:hint="default" w:ascii="Times New Roman" w:hAnsi="Times New Roman" w:cs="Times New Roman"/>
                      <w:color w:val="auto"/>
                      <w:szCs w:val="21"/>
                      <w:highlight w:val="none"/>
                    </w:rPr>
                    <w:t>2m</w:t>
                  </w:r>
                  <w:r>
                    <w:rPr>
                      <w:rFonts w:hint="default" w:ascii="Times New Roman" w:hAnsi="Times New Roman" w:cs="Times New Roman"/>
                      <w:color w:val="auto"/>
                      <w:szCs w:val="21"/>
                      <w:highlight w:val="none"/>
                      <w:vertAlign w:val="superscript"/>
                    </w:rPr>
                    <w:t>3</w:t>
                  </w:r>
                  <w:r>
                    <w:rPr>
                      <w:rFonts w:hint="eastAsia" w:ascii="宋体" w:hAnsi="宋体"/>
                      <w:color w:val="auto"/>
                      <w:szCs w:val="21"/>
                      <w:highlight w:val="none"/>
                    </w:rPr>
                    <w:t>。</w:t>
                  </w:r>
                </w:p>
              </w:tc>
              <w:tc>
                <w:tcPr>
                  <w:tcW w:w="431" w:type="pct"/>
                  <w:noWrap w:val="0"/>
                  <w:vAlign w:val="center"/>
                </w:tcPr>
                <w:p w14:paraId="43543AEA">
                  <w:pPr>
                    <w:widowControl/>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一致</w:t>
                  </w:r>
                </w:p>
              </w:tc>
            </w:tr>
            <w:tr w14:paraId="43D5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754583F0">
                  <w:pPr>
                    <w:adjustRightInd w:val="0"/>
                    <w:snapToGrid w:val="0"/>
                    <w:jc w:val="center"/>
                    <w:rPr>
                      <w:rFonts w:ascii="宋体" w:hAnsi="宋体"/>
                      <w:color w:val="auto"/>
                      <w:szCs w:val="21"/>
                      <w:highlight w:val="none"/>
                    </w:rPr>
                  </w:pPr>
                </w:p>
              </w:tc>
              <w:tc>
                <w:tcPr>
                  <w:tcW w:w="212" w:type="pct"/>
                  <w:vMerge w:val="continue"/>
                  <w:noWrap w:val="0"/>
                  <w:vAlign w:val="center"/>
                </w:tcPr>
                <w:p w14:paraId="078237B2">
                  <w:pPr>
                    <w:adjustRightInd w:val="0"/>
                    <w:snapToGrid w:val="0"/>
                    <w:jc w:val="center"/>
                    <w:rPr>
                      <w:rFonts w:ascii="宋体" w:hAnsi="宋体"/>
                      <w:color w:val="auto"/>
                      <w:szCs w:val="21"/>
                      <w:highlight w:val="none"/>
                    </w:rPr>
                  </w:pPr>
                </w:p>
              </w:tc>
              <w:tc>
                <w:tcPr>
                  <w:tcW w:w="645" w:type="pct"/>
                  <w:noWrap w:val="0"/>
                  <w:vAlign w:val="center"/>
                </w:tcPr>
                <w:p w14:paraId="1B3CD896">
                  <w:pPr>
                    <w:adjustRightInd w:val="0"/>
                    <w:snapToGrid w:val="0"/>
                    <w:jc w:val="center"/>
                    <w:rPr>
                      <w:rFonts w:ascii="宋体" w:hAnsi="宋体"/>
                      <w:color w:val="auto"/>
                      <w:szCs w:val="21"/>
                      <w:highlight w:val="none"/>
                    </w:rPr>
                  </w:pPr>
                  <w:r>
                    <w:rPr>
                      <w:rFonts w:hint="eastAsia" w:ascii="宋体" w:hAnsi="宋体"/>
                      <w:color w:val="auto"/>
                      <w:szCs w:val="21"/>
                      <w:highlight w:val="none"/>
                    </w:rPr>
                    <w:t>生活污水处理设备</w:t>
                  </w:r>
                </w:p>
              </w:tc>
              <w:tc>
                <w:tcPr>
                  <w:tcW w:w="1678" w:type="pct"/>
                  <w:noWrap w:val="0"/>
                  <w:vAlign w:val="center"/>
                </w:tcPr>
                <w:p w14:paraId="3F5F5FF8">
                  <w:pPr>
                    <w:adjustRightInd w:val="0"/>
                    <w:snapToGrid w:val="0"/>
                    <w:jc w:val="center"/>
                    <w:rPr>
                      <w:rFonts w:ascii="宋体" w:hAnsi="宋体"/>
                      <w:color w:val="auto"/>
                      <w:szCs w:val="21"/>
                      <w:highlight w:val="none"/>
                    </w:rPr>
                  </w:pPr>
                  <w:r>
                    <w:rPr>
                      <w:rFonts w:hint="default" w:ascii="Times New Roman" w:hAnsi="Times New Roman" w:cs="Times New Roman"/>
                      <w:color w:val="auto"/>
                      <w:szCs w:val="21"/>
                      <w:highlight w:val="none"/>
                    </w:rPr>
                    <w:t>1</w:t>
                  </w:r>
                  <w:r>
                    <w:rPr>
                      <w:rFonts w:ascii="宋体" w:hAnsi="宋体"/>
                      <w:color w:val="auto"/>
                      <w:szCs w:val="21"/>
                      <w:highlight w:val="none"/>
                    </w:rPr>
                    <w:t>套</w:t>
                  </w:r>
                  <w:r>
                    <w:rPr>
                      <w:rFonts w:hint="eastAsia" w:ascii="宋体" w:hAnsi="宋体"/>
                      <w:color w:val="auto"/>
                      <w:szCs w:val="21"/>
                      <w:highlight w:val="none"/>
                    </w:rPr>
                    <w:t>，</w:t>
                  </w:r>
                  <w:r>
                    <w:rPr>
                      <w:rFonts w:ascii="宋体" w:hAnsi="宋体"/>
                      <w:color w:val="auto"/>
                      <w:szCs w:val="21"/>
                      <w:highlight w:val="none"/>
                    </w:rPr>
                    <w:t>处理规模为</w:t>
                  </w:r>
                  <w:r>
                    <w:rPr>
                      <w:rFonts w:hint="default" w:ascii="Times New Roman" w:hAnsi="Times New Roman" w:cs="Times New Roman"/>
                      <w:color w:val="auto"/>
                      <w:szCs w:val="21"/>
                      <w:highlight w:val="none"/>
                    </w:rPr>
                    <w:t>5m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w:t>
                  </w:r>
                  <w:r>
                    <w:rPr>
                      <w:rFonts w:ascii="宋体" w:hAnsi="宋体"/>
                      <w:color w:val="auto"/>
                      <w:szCs w:val="21"/>
                      <w:highlight w:val="none"/>
                    </w:rPr>
                    <w:t>的一体化污水处理站，对隔油池、化粪池预处理后的生活污水进一步处理，达《城市污水再生利用</w:t>
                  </w:r>
                  <w:r>
                    <w:rPr>
                      <w:rFonts w:hint="eastAsia" w:ascii="宋体" w:hAnsi="宋体"/>
                      <w:color w:val="auto"/>
                      <w:szCs w:val="21"/>
                      <w:highlight w:val="none"/>
                    </w:rPr>
                    <w:t xml:space="preserve"> </w:t>
                  </w:r>
                  <w:r>
                    <w:rPr>
                      <w:rFonts w:ascii="宋体" w:hAnsi="宋体"/>
                      <w:color w:val="auto"/>
                      <w:szCs w:val="21"/>
                      <w:highlight w:val="none"/>
                    </w:rPr>
                    <w:t>城市杂用水水质》</w:t>
                  </w:r>
                  <w:r>
                    <w:rPr>
                      <w:rFonts w:hint="default" w:ascii="Times New Roman" w:hAnsi="Times New Roman" w:cs="Times New Roman"/>
                      <w:color w:val="auto"/>
                      <w:szCs w:val="21"/>
                      <w:highlight w:val="none"/>
                    </w:rPr>
                    <w:t>（GB/T18920-2020）</w:t>
                  </w:r>
                  <w:r>
                    <w:rPr>
                      <w:rFonts w:ascii="宋体" w:hAnsi="宋体"/>
                      <w:color w:val="auto"/>
                      <w:szCs w:val="21"/>
                      <w:highlight w:val="none"/>
                    </w:rPr>
                    <w:t>中的</w:t>
                  </w:r>
                  <w:r>
                    <w:rPr>
                      <w:rFonts w:hint="eastAsia" w:ascii="宋体" w:hAnsi="宋体"/>
                      <w:color w:val="auto"/>
                      <w:szCs w:val="21"/>
                      <w:highlight w:val="none"/>
                    </w:rPr>
                    <w:t>城市绿化、道路清扫、消防、建筑施工标准后</w:t>
                  </w:r>
                  <w:r>
                    <w:rPr>
                      <w:rFonts w:ascii="宋体" w:hAnsi="宋体"/>
                      <w:color w:val="auto"/>
                      <w:szCs w:val="21"/>
                      <w:highlight w:val="none"/>
                    </w:rPr>
                    <w:t>回用于绿化和道路浇洒，雨天废水储存于蓄水池中待晴天回用。</w:t>
                  </w:r>
                </w:p>
              </w:tc>
              <w:tc>
                <w:tcPr>
                  <w:tcW w:w="1639" w:type="pct"/>
                  <w:noWrap w:val="0"/>
                  <w:vAlign w:val="center"/>
                </w:tcPr>
                <w:p w14:paraId="386E2E21">
                  <w:pPr>
                    <w:adjustRightInd w:val="0"/>
                    <w:snapToGrid w:val="0"/>
                    <w:jc w:val="center"/>
                    <w:rPr>
                      <w:rFonts w:hint="eastAsia" w:ascii="宋体" w:hAnsi="宋体"/>
                      <w:color w:val="auto"/>
                      <w:szCs w:val="21"/>
                      <w:highlight w:val="none"/>
                    </w:rPr>
                  </w:pPr>
                  <w:r>
                    <w:rPr>
                      <w:rFonts w:ascii="宋体" w:hAnsi="宋体"/>
                      <w:color w:val="auto"/>
                      <w:szCs w:val="21"/>
                      <w:highlight w:val="none"/>
                    </w:rPr>
                    <w:t>1套</w:t>
                  </w:r>
                  <w:r>
                    <w:rPr>
                      <w:rFonts w:hint="eastAsia" w:ascii="宋体" w:hAnsi="宋体"/>
                      <w:color w:val="auto"/>
                      <w:szCs w:val="21"/>
                      <w:highlight w:val="none"/>
                    </w:rPr>
                    <w:t>，</w:t>
                  </w:r>
                  <w:r>
                    <w:rPr>
                      <w:rFonts w:ascii="宋体" w:hAnsi="宋体"/>
                      <w:color w:val="auto"/>
                      <w:szCs w:val="21"/>
                      <w:highlight w:val="none"/>
                    </w:rPr>
                    <w:t>处理规模为</w:t>
                  </w:r>
                  <w:r>
                    <w:rPr>
                      <w:rFonts w:hint="default" w:ascii="Times New Roman" w:hAnsi="Times New Roman" w:cs="Times New Roman"/>
                      <w:color w:val="auto"/>
                      <w:szCs w:val="21"/>
                      <w:highlight w:val="none"/>
                    </w:rPr>
                    <w:t>5m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w:t>
                  </w:r>
                  <w:r>
                    <w:rPr>
                      <w:rFonts w:ascii="宋体" w:hAnsi="宋体"/>
                      <w:color w:val="auto"/>
                      <w:szCs w:val="21"/>
                      <w:highlight w:val="none"/>
                    </w:rPr>
                    <w:t>的</w:t>
                  </w:r>
                  <w:r>
                    <w:rPr>
                      <w:rFonts w:hint="eastAsia" w:ascii="宋体" w:hAnsi="宋体"/>
                      <w:color w:val="auto"/>
                      <w:szCs w:val="21"/>
                      <w:highlight w:val="none"/>
                      <w:lang w:eastAsia="zh-CN"/>
                    </w:rPr>
                    <w:t>一体化生活</w:t>
                  </w:r>
                  <w:r>
                    <w:rPr>
                      <w:rFonts w:ascii="宋体" w:hAnsi="宋体"/>
                      <w:color w:val="auto"/>
                      <w:szCs w:val="21"/>
                      <w:highlight w:val="none"/>
                    </w:rPr>
                    <w:t>污水处理站，对隔油池、化粪池预处理后的生活污水进一步处理，达《城市污水再生利用</w:t>
                  </w:r>
                  <w:r>
                    <w:rPr>
                      <w:rFonts w:hint="eastAsia" w:ascii="宋体" w:hAnsi="宋体"/>
                      <w:color w:val="auto"/>
                      <w:szCs w:val="21"/>
                      <w:highlight w:val="none"/>
                    </w:rPr>
                    <w:t xml:space="preserve"> </w:t>
                  </w:r>
                  <w:r>
                    <w:rPr>
                      <w:rFonts w:ascii="宋体" w:hAnsi="宋体"/>
                      <w:color w:val="auto"/>
                      <w:szCs w:val="21"/>
                      <w:highlight w:val="none"/>
                    </w:rPr>
                    <w:t>城市杂用水水质》</w:t>
                  </w:r>
                  <w:r>
                    <w:rPr>
                      <w:rFonts w:hint="default" w:ascii="Times New Roman" w:hAnsi="Times New Roman" w:cs="Times New Roman"/>
                      <w:color w:val="auto"/>
                      <w:szCs w:val="21"/>
                      <w:highlight w:val="none"/>
                    </w:rPr>
                    <w:t>（GB/T18920-2020）</w:t>
                  </w:r>
                  <w:r>
                    <w:rPr>
                      <w:rFonts w:ascii="宋体" w:hAnsi="宋体"/>
                      <w:color w:val="auto"/>
                      <w:szCs w:val="21"/>
                      <w:highlight w:val="none"/>
                    </w:rPr>
                    <w:t>中的</w:t>
                  </w:r>
                  <w:r>
                    <w:rPr>
                      <w:rFonts w:hint="eastAsia" w:ascii="宋体" w:hAnsi="宋体"/>
                      <w:color w:val="auto"/>
                      <w:szCs w:val="21"/>
                      <w:highlight w:val="none"/>
                    </w:rPr>
                    <w:t>城市绿化、道路清扫、消防、建筑施工标准后</w:t>
                  </w:r>
                  <w:r>
                    <w:rPr>
                      <w:rFonts w:ascii="宋体" w:hAnsi="宋体"/>
                      <w:color w:val="auto"/>
                      <w:szCs w:val="21"/>
                      <w:highlight w:val="none"/>
                    </w:rPr>
                    <w:t>回用于</w:t>
                  </w:r>
                  <w:r>
                    <w:rPr>
                      <w:rFonts w:hint="eastAsia" w:ascii="宋体" w:hAnsi="宋体"/>
                      <w:color w:val="auto"/>
                      <w:szCs w:val="21"/>
                      <w:highlight w:val="none"/>
                      <w:lang w:eastAsia="zh-CN"/>
                    </w:rPr>
                    <w:t>项目区</w:t>
                  </w:r>
                  <w:r>
                    <w:rPr>
                      <w:rFonts w:ascii="宋体" w:hAnsi="宋体"/>
                      <w:color w:val="auto"/>
                      <w:szCs w:val="21"/>
                      <w:highlight w:val="none"/>
                    </w:rPr>
                    <w:t>绿化和</w:t>
                  </w:r>
                  <w:r>
                    <w:rPr>
                      <w:rFonts w:hint="eastAsia" w:ascii="宋体" w:hAnsi="宋体"/>
                      <w:color w:val="auto"/>
                      <w:szCs w:val="21"/>
                      <w:highlight w:val="none"/>
                      <w:lang w:val="en-US" w:eastAsia="zh-CN"/>
                    </w:rPr>
                    <w:t>道路广场浇洒</w:t>
                  </w:r>
                  <w:r>
                    <w:rPr>
                      <w:rFonts w:ascii="宋体" w:hAnsi="宋体"/>
                      <w:color w:val="auto"/>
                      <w:szCs w:val="21"/>
                      <w:highlight w:val="none"/>
                    </w:rPr>
                    <w:t>，雨天废水储存于蓄水池中待</w:t>
                  </w:r>
                  <w:r>
                    <w:rPr>
                      <w:rFonts w:hint="eastAsia" w:ascii="宋体" w:hAnsi="宋体"/>
                      <w:color w:val="auto"/>
                      <w:szCs w:val="21"/>
                      <w:highlight w:val="none"/>
                      <w:lang w:eastAsia="zh-CN"/>
                    </w:rPr>
                    <w:t>非雨</w:t>
                  </w:r>
                  <w:r>
                    <w:rPr>
                      <w:rFonts w:ascii="宋体" w:hAnsi="宋体"/>
                      <w:color w:val="auto"/>
                      <w:szCs w:val="21"/>
                      <w:highlight w:val="none"/>
                    </w:rPr>
                    <w:t>天回用。</w:t>
                  </w:r>
                </w:p>
              </w:tc>
              <w:tc>
                <w:tcPr>
                  <w:tcW w:w="431" w:type="pct"/>
                  <w:noWrap w:val="0"/>
                  <w:vAlign w:val="center"/>
                </w:tcPr>
                <w:p w14:paraId="35B27A6D">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3ED2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473961BD">
                  <w:pPr>
                    <w:adjustRightInd w:val="0"/>
                    <w:snapToGrid w:val="0"/>
                    <w:jc w:val="center"/>
                    <w:rPr>
                      <w:rFonts w:ascii="宋体" w:hAnsi="宋体"/>
                      <w:color w:val="auto"/>
                      <w:szCs w:val="21"/>
                      <w:highlight w:val="none"/>
                    </w:rPr>
                  </w:pPr>
                </w:p>
              </w:tc>
              <w:tc>
                <w:tcPr>
                  <w:tcW w:w="212" w:type="pct"/>
                  <w:vMerge w:val="restart"/>
                  <w:noWrap w:val="0"/>
                  <w:vAlign w:val="center"/>
                </w:tcPr>
                <w:p w14:paraId="57027447">
                  <w:pPr>
                    <w:adjustRightInd w:val="0"/>
                    <w:snapToGrid w:val="0"/>
                    <w:jc w:val="center"/>
                    <w:rPr>
                      <w:rFonts w:ascii="宋体" w:hAnsi="宋体"/>
                      <w:color w:val="auto"/>
                      <w:szCs w:val="21"/>
                      <w:highlight w:val="none"/>
                    </w:rPr>
                  </w:pPr>
                  <w:r>
                    <w:rPr>
                      <w:rFonts w:ascii="宋体" w:hAnsi="宋体"/>
                      <w:color w:val="auto"/>
                      <w:szCs w:val="21"/>
                      <w:highlight w:val="none"/>
                    </w:rPr>
                    <w:t>废气</w:t>
                  </w:r>
                </w:p>
              </w:tc>
              <w:tc>
                <w:tcPr>
                  <w:tcW w:w="645" w:type="pct"/>
                  <w:noWrap w:val="0"/>
                  <w:vAlign w:val="center"/>
                </w:tcPr>
                <w:p w14:paraId="2ADC6FEE">
                  <w:pPr>
                    <w:adjustRightInd w:val="0"/>
                    <w:snapToGrid w:val="0"/>
                    <w:jc w:val="center"/>
                    <w:rPr>
                      <w:rFonts w:ascii="宋体" w:hAnsi="宋体"/>
                      <w:color w:val="auto"/>
                      <w:szCs w:val="21"/>
                      <w:highlight w:val="none"/>
                    </w:rPr>
                  </w:pPr>
                  <w:r>
                    <w:rPr>
                      <w:rFonts w:hint="eastAsia" w:ascii="宋体" w:hAnsi="宋体"/>
                      <w:color w:val="auto"/>
                      <w:szCs w:val="21"/>
                      <w:highlight w:val="none"/>
                    </w:rPr>
                    <w:t>有机废气处理</w:t>
                  </w:r>
                </w:p>
              </w:tc>
              <w:tc>
                <w:tcPr>
                  <w:tcW w:w="1678" w:type="pct"/>
                  <w:noWrap w:val="0"/>
                  <w:vAlign w:val="center"/>
                </w:tcPr>
                <w:p w14:paraId="38F1AAF7">
                  <w:pPr>
                    <w:adjustRightInd w:val="0"/>
                    <w:snapToGrid w:val="0"/>
                    <w:jc w:val="center"/>
                    <w:rPr>
                      <w:rFonts w:ascii="宋体" w:hAnsi="宋体"/>
                      <w:color w:val="auto"/>
                      <w:szCs w:val="21"/>
                      <w:highlight w:val="none"/>
                    </w:rPr>
                  </w:pPr>
                  <w:r>
                    <w:rPr>
                      <w:rFonts w:hint="eastAsia" w:ascii="宋体" w:hAnsi="宋体"/>
                      <w:color w:val="auto"/>
                      <w:szCs w:val="21"/>
                      <w:highlight w:val="none"/>
                    </w:rPr>
                    <w:t>有机废气产生的工段进行局部气体收集，废气经设置集气罩收集后进入处理系统(活性炭吸附处理效率</w:t>
                  </w:r>
                  <w:r>
                    <w:rPr>
                      <w:rFonts w:hint="default" w:ascii="Times New Roman" w:hAnsi="Times New Roman" w:cs="Times New Roman"/>
                      <w:color w:val="auto"/>
                      <w:szCs w:val="21"/>
                      <w:highlight w:val="none"/>
                    </w:rPr>
                    <w:t>80%</w:t>
                  </w:r>
                  <w:r>
                    <w:rPr>
                      <w:rFonts w:hint="eastAsia" w:ascii="宋体" w:hAnsi="宋体"/>
                      <w:color w:val="auto"/>
                      <w:szCs w:val="21"/>
                      <w:highlight w:val="none"/>
                    </w:rPr>
                    <w:t>）处理后通过1根</w:t>
                  </w:r>
                  <w:r>
                    <w:rPr>
                      <w:rFonts w:hint="default" w:ascii="Times New Roman" w:hAnsi="Times New Roman" w:cs="Times New Roman"/>
                      <w:color w:val="auto"/>
                      <w:szCs w:val="21"/>
                      <w:highlight w:val="none"/>
                    </w:rPr>
                    <w:t>15m</w:t>
                  </w:r>
                  <w:r>
                    <w:rPr>
                      <w:rFonts w:hint="eastAsia" w:ascii="宋体" w:hAnsi="宋体"/>
                      <w:color w:val="auto"/>
                      <w:szCs w:val="21"/>
                      <w:highlight w:val="none"/>
                    </w:rPr>
                    <w:t>高的排气筒外排。</w:t>
                  </w:r>
                </w:p>
              </w:tc>
              <w:tc>
                <w:tcPr>
                  <w:tcW w:w="1639" w:type="pct"/>
                  <w:noWrap w:val="0"/>
                  <w:vAlign w:val="center"/>
                </w:tcPr>
                <w:p w14:paraId="74C7B3A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有机废气产生的工段进行局部气体收集，废气经设置集气罩收集后进入处理系统(活性炭吸附处理效率</w:t>
                  </w:r>
                  <w:r>
                    <w:rPr>
                      <w:rFonts w:hint="default" w:ascii="Times New Roman" w:hAnsi="Times New Roman" w:cs="Times New Roman"/>
                      <w:color w:val="auto"/>
                      <w:szCs w:val="21"/>
                      <w:highlight w:val="none"/>
                    </w:rPr>
                    <w:t>80%</w:t>
                  </w:r>
                  <w:r>
                    <w:rPr>
                      <w:rFonts w:hint="eastAsia" w:ascii="宋体" w:hAnsi="宋体"/>
                      <w:color w:val="auto"/>
                      <w:szCs w:val="21"/>
                      <w:highlight w:val="none"/>
                    </w:rPr>
                    <w:t>）处理后通过1根</w:t>
                  </w:r>
                  <w:r>
                    <w:rPr>
                      <w:rFonts w:hint="default" w:ascii="Times New Roman" w:hAnsi="Times New Roman" w:cs="Times New Roman"/>
                      <w:color w:val="auto"/>
                      <w:szCs w:val="21"/>
                      <w:highlight w:val="none"/>
                    </w:rPr>
                    <w:t>15m</w:t>
                  </w:r>
                  <w:r>
                    <w:rPr>
                      <w:rFonts w:hint="eastAsia" w:ascii="宋体" w:hAnsi="宋体"/>
                      <w:color w:val="auto"/>
                      <w:szCs w:val="21"/>
                      <w:highlight w:val="none"/>
                    </w:rPr>
                    <w:t>高的排气筒外排。</w:t>
                  </w:r>
                </w:p>
              </w:tc>
              <w:tc>
                <w:tcPr>
                  <w:tcW w:w="431" w:type="pct"/>
                  <w:noWrap w:val="0"/>
                  <w:vAlign w:val="center"/>
                </w:tcPr>
                <w:p w14:paraId="0BEBCEAF">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77B0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51187F96">
                  <w:pPr>
                    <w:adjustRightInd w:val="0"/>
                    <w:snapToGrid w:val="0"/>
                    <w:jc w:val="center"/>
                    <w:rPr>
                      <w:rFonts w:ascii="宋体" w:hAnsi="宋体"/>
                      <w:color w:val="auto"/>
                      <w:szCs w:val="21"/>
                      <w:highlight w:val="none"/>
                    </w:rPr>
                  </w:pPr>
                </w:p>
              </w:tc>
              <w:tc>
                <w:tcPr>
                  <w:tcW w:w="212" w:type="pct"/>
                  <w:vMerge w:val="continue"/>
                  <w:noWrap w:val="0"/>
                  <w:vAlign w:val="center"/>
                </w:tcPr>
                <w:p w14:paraId="231E891B">
                  <w:pPr>
                    <w:adjustRightInd w:val="0"/>
                    <w:snapToGrid w:val="0"/>
                    <w:jc w:val="center"/>
                    <w:rPr>
                      <w:rFonts w:ascii="宋体" w:hAnsi="宋体"/>
                      <w:color w:val="auto"/>
                      <w:szCs w:val="21"/>
                      <w:highlight w:val="none"/>
                    </w:rPr>
                  </w:pPr>
                </w:p>
              </w:tc>
              <w:tc>
                <w:tcPr>
                  <w:tcW w:w="645" w:type="pct"/>
                  <w:noWrap w:val="0"/>
                  <w:vAlign w:val="center"/>
                </w:tcPr>
                <w:p w14:paraId="7699A99E">
                  <w:pPr>
                    <w:adjustRightInd w:val="0"/>
                    <w:snapToGrid w:val="0"/>
                    <w:jc w:val="center"/>
                    <w:rPr>
                      <w:rFonts w:ascii="宋体" w:hAnsi="宋体"/>
                      <w:color w:val="auto"/>
                      <w:szCs w:val="21"/>
                      <w:highlight w:val="none"/>
                    </w:rPr>
                  </w:pPr>
                  <w:r>
                    <w:rPr>
                      <w:rFonts w:hint="eastAsia" w:ascii="宋体" w:hAnsi="宋体"/>
                      <w:color w:val="auto"/>
                      <w:szCs w:val="21"/>
                      <w:highlight w:val="none"/>
                    </w:rPr>
                    <w:t>食堂油烟</w:t>
                  </w:r>
                </w:p>
              </w:tc>
              <w:tc>
                <w:tcPr>
                  <w:tcW w:w="1678" w:type="pct"/>
                  <w:noWrap w:val="0"/>
                  <w:vAlign w:val="center"/>
                </w:tcPr>
                <w:p w14:paraId="1FEB4AE4">
                  <w:pPr>
                    <w:adjustRightInd w:val="0"/>
                    <w:snapToGrid w:val="0"/>
                    <w:jc w:val="center"/>
                    <w:rPr>
                      <w:rFonts w:ascii="宋体" w:hAnsi="宋体"/>
                      <w:color w:val="auto"/>
                      <w:szCs w:val="21"/>
                      <w:highlight w:val="none"/>
                    </w:rPr>
                  </w:pPr>
                  <w:r>
                    <w:rPr>
                      <w:rFonts w:hint="eastAsia" w:ascii="宋体" w:hAnsi="宋体"/>
                      <w:color w:val="auto"/>
                      <w:szCs w:val="21"/>
                      <w:highlight w:val="none"/>
                    </w:rPr>
                    <w:t>项目安装1套食堂油烟净化装置，净化效率</w:t>
                  </w:r>
                  <w:r>
                    <w:rPr>
                      <w:rFonts w:hint="default" w:ascii="Times New Roman" w:hAnsi="Times New Roman" w:cs="Times New Roman"/>
                      <w:color w:val="auto"/>
                      <w:szCs w:val="21"/>
                      <w:highlight w:val="none"/>
                    </w:rPr>
                    <w:t>60%</w:t>
                  </w:r>
                  <w:r>
                    <w:rPr>
                      <w:rFonts w:hint="eastAsia" w:ascii="宋体" w:hAnsi="宋体"/>
                      <w:color w:val="auto"/>
                      <w:szCs w:val="21"/>
                      <w:highlight w:val="none"/>
                    </w:rPr>
                    <w:t>，风机风量为</w:t>
                  </w:r>
                  <w:r>
                    <w:rPr>
                      <w:rFonts w:hint="default" w:ascii="Times New Roman" w:hAnsi="Times New Roman" w:cs="Times New Roman"/>
                      <w:color w:val="auto"/>
                      <w:szCs w:val="21"/>
                      <w:highlight w:val="none"/>
                    </w:rPr>
                    <w:t>2000m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/h</w:t>
                  </w:r>
                  <w:r>
                    <w:rPr>
                      <w:rFonts w:hint="eastAsia" w:ascii="宋体" w:hAnsi="宋体"/>
                      <w:color w:val="auto"/>
                      <w:szCs w:val="21"/>
                      <w:highlight w:val="none"/>
                    </w:rPr>
                    <w:t>。食堂油烟经处理后由高于食堂屋顶</w:t>
                  </w:r>
                  <w:r>
                    <w:rPr>
                      <w:rFonts w:hint="default" w:ascii="Times New Roman" w:hAnsi="Times New Roman" w:cs="Times New Roman"/>
                      <w:color w:val="auto"/>
                      <w:szCs w:val="21"/>
                      <w:highlight w:val="none"/>
                    </w:rPr>
                    <w:t>1.5m</w:t>
                  </w:r>
                  <w:r>
                    <w:rPr>
                      <w:rFonts w:hint="eastAsia" w:ascii="宋体" w:hAnsi="宋体"/>
                      <w:color w:val="auto"/>
                      <w:szCs w:val="21"/>
                      <w:highlight w:val="none"/>
                    </w:rPr>
                    <w:t>的排气筒排放。</w:t>
                  </w:r>
                </w:p>
              </w:tc>
              <w:tc>
                <w:tcPr>
                  <w:tcW w:w="1639" w:type="pct"/>
                  <w:noWrap w:val="0"/>
                  <w:vAlign w:val="center"/>
                </w:tcPr>
                <w:p w14:paraId="176B01AE">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项目安装1套食堂油烟净化装置，净化效率</w:t>
                  </w:r>
                  <w:r>
                    <w:rPr>
                      <w:rFonts w:hint="default" w:ascii="Times New Roman" w:hAnsi="Times New Roman" w:cs="Times New Roman"/>
                      <w:color w:val="auto"/>
                      <w:szCs w:val="21"/>
                      <w:highlight w:val="none"/>
                    </w:rPr>
                    <w:t>60%</w:t>
                  </w:r>
                  <w:r>
                    <w:rPr>
                      <w:rFonts w:hint="eastAsia" w:ascii="宋体" w:hAnsi="宋体"/>
                      <w:color w:val="auto"/>
                      <w:szCs w:val="21"/>
                      <w:highlight w:val="none"/>
                    </w:rPr>
                    <w:t>，风机风量为</w:t>
                  </w:r>
                  <w:r>
                    <w:rPr>
                      <w:rFonts w:hint="default" w:ascii="Times New Roman" w:hAnsi="Times New Roman" w:cs="Times New Roman"/>
                      <w:color w:val="auto"/>
                      <w:szCs w:val="21"/>
                      <w:highlight w:val="none"/>
                    </w:rPr>
                    <w:t>2000m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/h</w:t>
                  </w:r>
                  <w:r>
                    <w:rPr>
                      <w:rFonts w:hint="eastAsia" w:ascii="宋体" w:hAnsi="宋体"/>
                      <w:color w:val="auto"/>
                      <w:szCs w:val="21"/>
                      <w:highlight w:val="none"/>
                    </w:rPr>
                    <w:t>。食堂油烟经处理后由高于食堂屋顶</w:t>
                  </w:r>
                  <w:r>
                    <w:rPr>
                      <w:rFonts w:hint="default" w:ascii="Times New Roman" w:hAnsi="Times New Roman" w:cs="Times New Roman"/>
                      <w:color w:val="auto"/>
                      <w:szCs w:val="21"/>
                      <w:highlight w:val="none"/>
                    </w:rPr>
                    <w:t>1.5m</w:t>
                  </w:r>
                  <w:r>
                    <w:rPr>
                      <w:rFonts w:hint="eastAsia" w:ascii="宋体" w:hAnsi="宋体"/>
                      <w:color w:val="auto"/>
                      <w:szCs w:val="21"/>
                      <w:highlight w:val="none"/>
                    </w:rPr>
                    <w:t>的排气筒排放。</w:t>
                  </w:r>
                </w:p>
              </w:tc>
              <w:tc>
                <w:tcPr>
                  <w:tcW w:w="431" w:type="pct"/>
                  <w:noWrap w:val="0"/>
                  <w:vAlign w:val="center"/>
                </w:tcPr>
                <w:p w14:paraId="6B9899CB">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74AA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5171ED1C">
                  <w:pPr>
                    <w:adjustRightInd w:val="0"/>
                    <w:snapToGrid w:val="0"/>
                    <w:jc w:val="center"/>
                    <w:rPr>
                      <w:rFonts w:ascii="宋体" w:hAnsi="宋体"/>
                      <w:color w:val="auto"/>
                      <w:szCs w:val="21"/>
                      <w:highlight w:val="none"/>
                    </w:rPr>
                  </w:pPr>
                </w:p>
              </w:tc>
              <w:tc>
                <w:tcPr>
                  <w:tcW w:w="858" w:type="pct"/>
                  <w:gridSpan w:val="2"/>
                  <w:noWrap w:val="0"/>
                  <w:vAlign w:val="center"/>
                </w:tcPr>
                <w:p w14:paraId="2C68AACE">
                  <w:pPr>
                    <w:adjustRightInd w:val="0"/>
                    <w:snapToGrid w:val="0"/>
                    <w:jc w:val="center"/>
                    <w:rPr>
                      <w:rFonts w:ascii="宋体" w:hAnsi="宋体"/>
                      <w:color w:val="auto"/>
                      <w:szCs w:val="21"/>
                      <w:highlight w:val="none"/>
                    </w:rPr>
                  </w:pPr>
                  <w:r>
                    <w:rPr>
                      <w:rFonts w:ascii="宋体" w:hAnsi="宋体"/>
                      <w:color w:val="auto"/>
                      <w:szCs w:val="21"/>
                      <w:highlight w:val="none"/>
                    </w:rPr>
                    <w:t>噪声</w:t>
                  </w:r>
                </w:p>
              </w:tc>
              <w:tc>
                <w:tcPr>
                  <w:tcW w:w="1678" w:type="pct"/>
                  <w:noWrap w:val="0"/>
                  <w:vAlign w:val="center"/>
                </w:tcPr>
                <w:p w14:paraId="675CC0BF">
                  <w:pPr>
                    <w:adjustRightInd w:val="0"/>
                    <w:snapToGrid w:val="0"/>
                    <w:jc w:val="center"/>
                    <w:rPr>
                      <w:rFonts w:ascii="宋体" w:hAnsi="宋体"/>
                      <w:color w:val="auto"/>
                      <w:szCs w:val="21"/>
                      <w:highlight w:val="none"/>
                    </w:rPr>
                  </w:pPr>
                  <w:r>
                    <w:rPr>
                      <w:rFonts w:hint="eastAsia" w:ascii="宋体" w:hAnsi="宋体"/>
                      <w:color w:val="auto"/>
                      <w:szCs w:val="21"/>
                      <w:highlight w:val="none"/>
                    </w:rPr>
                    <w:t>项目</w:t>
                  </w:r>
                  <w:r>
                    <w:rPr>
                      <w:rFonts w:ascii="宋体" w:hAnsi="宋体"/>
                      <w:color w:val="auto"/>
                      <w:szCs w:val="21"/>
                      <w:highlight w:val="none"/>
                    </w:rPr>
                    <w:t>设</w:t>
                  </w:r>
                  <w:r>
                    <w:rPr>
                      <w:rFonts w:hint="default" w:ascii="Times New Roman" w:hAnsi="Times New Roman" w:cs="Times New Roman"/>
                      <w:color w:val="auto"/>
                      <w:szCs w:val="21"/>
                      <w:highlight w:val="none"/>
                    </w:rPr>
                    <w:t>1</w:t>
                  </w:r>
                  <w:r>
                    <w:rPr>
                      <w:rFonts w:ascii="宋体" w:hAnsi="宋体"/>
                      <w:color w:val="auto"/>
                      <w:szCs w:val="21"/>
                      <w:highlight w:val="none"/>
                    </w:rPr>
                    <w:t>间</w:t>
                  </w:r>
                  <w:r>
                    <w:rPr>
                      <w:rFonts w:hint="default" w:ascii="Times New Roman" w:hAnsi="Times New Roman" w:cs="Times New Roman"/>
                      <w:color w:val="auto"/>
                      <w:szCs w:val="21"/>
                      <w:highlight w:val="none"/>
                    </w:rPr>
                    <w:t>20m</w:t>
                  </w:r>
                  <w:r>
                    <w:rPr>
                      <w:rFonts w:hint="default" w:ascii="Times New Roman" w:hAnsi="Times New Roman" w:cs="Times New Roman"/>
                      <w:color w:val="auto"/>
                      <w:szCs w:val="21"/>
                      <w:highlight w:val="none"/>
                      <w:vertAlign w:val="superscript"/>
                    </w:rPr>
                    <w:t>2</w:t>
                  </w:r>
                  <w:r>
                    <w:rPr>
                      <w:rFonts w:hint="eastAsia" w:ascii="宋体" w:hAnsi="宋体"/>
                      <w:color w:val="auto"/>
                      <w:szCs w:val="21"/>
                      <w:highlight w:val="none"/>
                    </w:rPr>
                    <w:t>风机隔声房</w:t>
                  </w:r>
                  <w:r>
                    <w:rPr>
                      <w:rFonts w:ascii="宋体" w:hAnsi="宋体"/>
                      <w:color w:val="auto"/>
                      <w:szCs w:val="21"/>
                      <w:highlight w:val="none"/>
                    </w:rPr>
                    <w:t>，主要产噪设备设置于厂房内，主要产噪设备基础安装减震垫。</w:t>
                  </w:r>
                </w:p>
              </w:tc>
              <w:tc>
                <w:tcPr>
                  <w:tcW w:w="1639" w:type="pct"/>
                  <w:noWrap w:val="0"/>
                  <w:vAlign w:val="center"/>
                </w:tcPr>
                <w:p w14:paraId="3C35058E">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项目</w:t>
                  </w:r>
                  <w:r>
                    <w:rPr>
                      <w:rFonts w:ascii="宋体" w:hAnsi="宋体"/>
                      <w:color w:val="auto"/>
                      <w:szCs w:val="21"/>
                      <w:highlight w:val="none"/>
                    </w:rPr>
                    <w:t>设</w:t>
                  </w:r>
                  <w:r>
                    <w:rPr>
                      <w:rFonts w:hint="default" w:ascii="Times New Roman" w:hAnsi="Times New Roman" w:cs="Times New Roman"/>
                      <w:color w:val="auto"/>
                      <w:szCs w:val="21"/>
                      <w:highlight w:val="none"/>
                    </w:rPr>
                    <w:t>1</w:t>
                  </w:r>
                  <w:r>
                    <w:rPr>
                      <w:rFonts w:ascii="宋体" w:hAnsi="宋体"/>
                      <w:color w:val="auto"/>
                      <w:szCs w:val="21"/>
                      <w:highlight w:val="none"/>
                    </w:rPr>
                    <w:t>间</w:t>
                  </w:r>
                  <w:r>
                    <w:rPr>
                      <w:rFonts w:hint="default" w:ascii="Times New Roman" w:hAnsi="Times New Roman" w:cs="Times New Roman"/>
                      <w:color w:val="auto"/>
                      <w:szCs w:val="21"/>
                      <w:highlight w:val="none"/>
                    </w:rPr>
                    <w:t>20m</w:t>
                  </w:r>
                  <w:r>
                    <w:rPr>
                      <w:rFonts w:hint="default" w:ascii="Times New Roman" w:hAnsi="Times New Roman" w:cs="Times New Roman"/>
                      <w:color w:val="auto"/>
                      <w:szCs w:val="21"/>
                      <w:highlight w:val="none"/>
                      <w:vertAlign w:val="superscript"/>
                    </w:rPr>
                    <w:t>2</w:t>
                  </w:r>
                  <w:r>
                    <w:rPr>
                      <w:rFonts w:hint="eastAsia" w:ascii="宋体" w:hAnsi="宋体"/>
                      <w:color w:val="auto"/>
                      <w:szCs w:val="21"/>
                      <w:highlight w:val="none"/>
                    </w:rPr>
                    <w:t>风机隔声房</w:t>
                  </w:r>
                  <w:r>
                    <w:rPr>
                      <w:rFonts w:ascii="宋体" w:hAnsi="宋体"/>
                      <w:color w:val="auto"/>
                      <w:szCs w:val="21"/>
                      <w:highlight w:val="none"/>
                    </w:rPr>
                    <w:t>，主要产噪设备设置于厂房内，主要产噪设备基础安装减震垫。</w:t>
                  </w:r>
                </w:p>
              </w:tc>
              <w:tc>
                <w:tcPr>
                  <w:tcW w:w="431" w:type="pct"/>
                  <w:noWrap w:val="0"/>
                  <w:vAlign w:val="center"/>
                </w:tcPr>
                <w:p w14:paraId="1A3D81B7">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44CE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517BD197">
                  <w:pPr>
                    <w:adjustRightInd w:val="0"/>
                    <w:snapToGrid w:val="0"/>
                    <w:jc w:val="center"/>
                    <w:rPr>
                      <w:rFonts w:ascii="宋体" w:hAnsi="宋体"/>
                      <w:color w:val="auto"/>
                      <w:szCs w:val="21"/>
                      <w:highlight w:val="none"/>
                    </w:rPr>
                  </w:pPr>
                </w:p>
              </w:tc>
              <w:tc>
                <w:tcPr>
                  <w:tcW w:w="212" w:type="pct"/>
                  <w:vMerge w:val="restart"/>
                  <w:noWrap w:val="0"/>
                  <w:vAlign w:val="center"/>
                </w:tcPr>
                <w:p w14:paraId="70913CB2">
                  <w:pPr>
                    <w:adjustRightInd w:val="0"/>
                    <w:snapToGrid w:val="0"/>
                    <w:jc w:val="center"/>
                    <w:rPr>
                      <w:rFonts w:ascii="宋体" w:hAnsi="宋体"/>
                      <w:color w:val="auto"/>
                      <w:szCs w:val="21"/>
                      <w:highlight w:val="none"/>
                    </w:rPr>
                  </w:pPr>
                  <w:r>
                    <w:rPr>
                      <w:rFonts w:ascii="宋体" w:hAnsi="宋体"/>
                      <w:color w:val="auto"/>
                      <w:szCs w:val="21"/>
                      <w:highlight w:val="none"/>
                    </w:rPr>
                    <w:t>固体废物</w:t>
                  </w:r>
                </w:p>
              </w:tc>
              <w:tc>
                <w:tcPr>
                  <w:tcW w:w="645" w:type="pct"/>
                  <w:noWrap w:val="0"/>
                  <w:vAlign w:val="center"/>
                </w:tcPr>
                <w:p w14:paraId="064B823E">
                  <w:pPr>
                    <w:adjustRightInd w:val="0"/>
                    <w:snapToGrid w:val="0"/>
                    <w:jc w:val="center"/>
                    <w:rPr>
                      <w:rFonts w:ascii="宋体" w:hAnsi="宋体"/>
                      <w:color w:val="auto"/>
                      <w:szCs w:val="21"/>
                      <w:highlight w:val="none"/>
                    </w:rPr>
                  </w:pPr>
                  <w:r>
                    <w:rPr>
                      <w:rFonts w:ascii="宋体" w:hAnsi="宋体"/>
                      <w:color w:val="auto"/>
                      <w:szCs w:val="21"/>
                      <w:highlight w:val="none"/>
                    </w:rPr>
                    <w:t>垃圾桶</w:t>
                  </w:r>
                </w:p>
              </w:tc>
              <w:tc>
                <w:tcPr>
                  <w:tcW w:w="1678" w:type="pct"/>
                  <w:noWrap w:val="0"/>
                  <w:vAlign w:val="center"/>
                </w:tcPr>
                <w:p w14:paraId="3539CC6B">
                  <w:pPr>
                    <w:widowControl/>
                    <w:snapToGrid w:val="0"/>
                    <w:jc w:val="center"/>
                    <w:rPr>
                      <w:rFonts w:ascii="宋体" w:hAnsi="宋体"/>
                      <w:color w:val="auto"/>
                      <w:szCs w:val="21"/>
                      <w:highlight w:val="none"/>
                    </w:rPr>
                  </w:pPr>
                  <w:r>
                    <w:rPr>
                      <w:rFonts w:ascii="宋体" w:hAnsi="宋体"/>
                      <w:color w:val="auto"/>
                      <w:szCs w:val="21"/>
                      <w:highlight w:val="none"/>
                    </w:rPr>
                    <w:t>项目区设带盖生活垃圾桶若干，合理分布在厂区内。</w:t>
                  </w:r>
                </w:p>
              </w:tc>
              <w:tc>
                <w:tcPr>
                  <w:tcW w:w="1639" w:type="pct"/>
                  <w:noWrap w:val="0"/>
                  <w:vAlign w:val="center"/>
                </w:tcPr>
                <w:p w14:paraId="5DC94A54">
                  <w:pPr>
                    <w:widowControl/>
                    <w:snapToGrid w:val="0"/>
                    <w:jc w:val="center"/>
                    <w:rPr>
                      <w:rFonts w:hint="eastAsia" w:ascii="宋体" w:hAnsi="宋体"/>
                      <w:color w:val="auto"/>
                      <w:szCs w:val="21"/>
                      <w:highlight w:val="none"/>
                    </w:rPr>
                  </w:pPr>
                  <w:r>
                    <w:rPr>
                      <w:rFonts w:ascii="宋体" w:hAnsi="宋体"/>
                      <w:color w:val="auto"/>
                      <w:szCs w:val="21"/>
                      <w:highlight w:val="none"/>
                    </w:rPr>
                    <w:t>项目区设带盖生活垃圾桶若干，合理分布在厂区内。</w:t>
                  </w:r>
                </w:p>
              </w:tc>
              <w:tc>
                <w:tcPr>
                  <w:tcW w:w="431" w:type="pct"/>
                  <w:noWrap w:val="0"/>
                  <w:vAlign w:val="center"/>
                </w:tcPr>
                <w:p w14:paraId="40D063AA">
                  <w:pPr>
                    <w:widowControl/>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34AE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7385189F">
                  <w:pPr>
                    <w:adjustRightInd w:val="0"/>
                    <w:snapToGrid w:val="0"/>
                    <w:jc w:val="center"/>
                    <w:rPr>
                      <w:rFonts w:ascii="宋体" w:hAnsi="宋体"/>
                      <w:color w:val="auto"/>
                      <w:szCs w:val="21"/>
                      <w:highlight w:val="none"/>
                    </w:rPr>
                  </w:pPr>
                </w:p>
              </w:tc>
              <w:tc>
                <w:tcPr>
                  <w:tcW w:w="212" w:type="pct"/>
                  <w:vMerge w:val="continue"/>
                  <w:noWrap w:val="0"/>
                  <w:vAlign w:val="center"/>
                </w:tcPr>
                <w:p w14:paraId="28A112EB">
                  <w:pPr>
                    <w:adjustRightInd w:val="0"/>
                    <w:snapToGrid w:val="0"/>
                    <w:jc w:val="center"/>
                    <w:rPr>
                      <w:rFonts w:ascii="宋体" w:hAnsi="宋体"/>
                      <w:color w:val="auto"/>
                      <w:szCs w:val="21"/>
                      <w:highlight w:val="none"/>
                    </w:rPr>
                  </w:pPr>
                </w:p>
              </w:tc>
              <w:tc>
                <w:tcPr>
                  <w:tcW w:w="645" w:type="pct"/>
                  <w:noWrap w:val="0"/>
                  <w:vAlign w:val="center"/>
                </w:tcPr>
                <w:p w14:paraId="77EC9882">
                  <w:pPr>
                    <w:adjustRightInd w:val="0"/>
                    <w:snapToGrid w:val="0"/>
                    <w:jc w:val="center"/>
                    <w:rPr>
                      <w:rFonts w:ascii="宋体" w:hAnsi="宋体"/>
                      <w:color w:val="auto"/>
                      <w:szCs w:val="21"/>
                      <w:highlight w:val="none"/>
                    </w:rPr>
                  </w:pPr>
                  <w:r>
                    <w:rPr>
                      <w:rFonts w:hint="eastAsia" w:ascii="宋体" w:hAnsi="宋体"/>
                      <w:color w:val="auto"/>
                      <w:szCs w:val="21"/>
                      <w:highlight w:val="none"/>
                    </w:rPr>
                    <w:t>碎玻璃收集箱</w:t>
                  </w:r>
                </w:p>
              </w:tc>
              <w:tc>
                <w:tcPr>
                  <w:tcW w:w="1678" w:type="pct"/>
                  <w:noWrap w:val="0"/>
                  <w:vAlign w:val="center"/>
                </w:tcPr>
                <w:p w14:paraId="6AAFAB8F">
                  <w:pPr>
                    <w:widowControl/>
                    <w:snapToGrid w:val="0"/>
                    <w:jc w:val="center"/>
                    <w:rPr>
                      <w:rFonts w:ascii="宋体" w:hAnsi="宋体"/>
                      <w:color w:val="auto"/>
                      <w:szCs w:val="21"/>
                      <w:highlight w:val="none"/>
                    </w:rPr>
                  </w:pPr>
                  <w:r>
                    <w:rPr>
                      <w:rFonts w:hint="eastAsia" w:ascii="宋体" w:hAnsi="宋体"/>
                      <w:color w:val="auto"/>
                      <w:szCs w:val="21"/>
                      <w:highlight w:val="none"/>
                    </w:rPr>
                    <w:t>项目加工区设碎玻璃收集箱数个</w:t>
                  </w:r>
                </w:p>
              </w:tc>
              <w:tc>
                <w:tcPr>
                  <w:tcW w:w="1639" w:type="pct"/>
                  <w:noWrap w:val="0"/>
                  <w:vAlign w:val="center"/>
                </w:tcPr>
                <w:p w14:paraId="5801F054">
                  <w:pPr>
                    <w:widowControl/>
                    <w:snapToGrid w:val="0"/>
                    <w:jc w:val="center"/>
                    <w:rPr>
                      <w:rFonts w:ascii="宋体" w:hAnsi="宋体"/>
                      <w:color w:val="auto"/>
                      <w:szCs w:val="21"/>
                      <w:highlight w:val="none"/>
                    </w:rPr>
                  </w:pPr>
                  <w:r>
                    <w:rPr>
                      <w:rFonts w:hint="eastAsia" w:ascii="宋体" w:hAnsi="宋体"/>
                      <w:color w:val="auto"/>
                      <w:szCs w:val="21"/>
                      <w:highlight w:val="none"/>
                    </w:rPr>
                    <w:t>项目加工区设碎玻璃收集箱数个</w:t>
                  </w:r>
                </w:p>
              </w:tc>
              <w:tc>
                <w:tcPr>
                  <w:tcW w:w="431" w:type="pct"/>
                  <w:noWrap w:val="0"/>
                  <w:vAlign w:val="center"/>
                </w:tcPr>
                <w:p w14:paraId="07EB2FB4">
                  <w:pPr>
                    <w:widowControl/>
                    <w:snapToGrid w:val="0"/>
                    <w:jc w:val="center"/>
                    <w:rPr>
                      <w:rFonts w:hint="eastAsia" w:ascii="宋体" w:hAnsi="宋体"/>
                      <w:color w:val="auto"/>
                      <w:szCs w:val="21"/>
                      <w:highlight w:val="none"/>
                    </w:rPr>
                  </w:pPr>
                  <w:r>
                    <w:rPr>
                      <w:rFonts w:hint="eastAsia" w:ascii="宋体" w:hAnsi="宋体"/>
                      <w:color w:val="auto"/>
                      <w:szCs w:val="21"/>
                      <w:highlight w:val="none"/>
                    </w:rPr>
                    <w:t>一致</w:t>
                  </w:r>
                </w:p>
              </w:tc>
            </w:tr>
            <w:tr w14:paraId="5ACA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69DFB19C">
                  <w:pPr>
                    <w:adjustRightInd w:val="0"/>
                    <w:snapToGrid w:val="0"/>
                    <w:jc w:val="center"/>
                    <w:rPr>
                      <w:rFonts w:ascii="宋体" w:hAnsi="宋体"/>
                      <w:color w:val="auto"/>
                      <w:szCs w:val="21"/>
                      <w:highlight w:val="none"/>
                    </w:rPr>
                  </w:pPr>
                </w:p>
              </w:tc>
              <w:tc>
                <w:tcPr>
                  <w:tcW w:w="212" w:type="pct"/>
                  <w:vMerge w:val="continue"/>
                  <w:noWrap w:val="0"/>
                  <w:vAlign w:val="center"/>
                </w:tcPr>
                <w:p w14:paraId="5CB9842D">
                  <w:pPr>
                    <w:pStyle w:val="92"/>
                    <w:tabs>
                      <w:tab w:val="clear" w:pos="1848"/>
                      <w:tab w:val="clear" w:pos="6061"/>
                      <w:tab w:val="clear" w:pos="8665"/>
                    </w:tabs>
                    <w:adjustRightInd w:val="0"/>
                    <w:spacing w:before="0" w:beforeLines="0" w:line="240" w:lineRule="auto"/>
                    <w:ind w:firstLine="0" w:firstLineChars="0"/>
                    <w:rPr>
                      <w:color w:val="auto"/>
                      <w:sz w:val="21"/>
                      <w:szCs w:val="21"/>
                      <w:highlight w:val="none"/>
                    </w:rPr>
                  </w:pPr>
                </w:p>
              </w:tc>
              <w:tc>
                <w:tcPr>
                  <w:tcW w:w="645" w:type="pct"/>
                  <w:noWrap w:val="0"/>
                  <w:vAlign w:val="center"/>
                </w:tcPr>
                <w:p w14:paraId="2D823826">
                  <w:pPr>
                    <w:adjustRightInd w:val="0"/>
                    <w:snapToGrid w:val="0"/>
                    <w:jc w:val="center"/>
                    <w:rPr>
                      <w:rFonts w:ascii="宋体" w:hAnsi="宋体"/>
                      <w:color w:val="auto"/>
                      <w:szCs w:val="21"/>
                      <w:highlight w:val="none"/>
                    </w:rPr>
                  </w:pPr>
                  <w:r>
                    <w:rPr>
                      <w:rFonts w:ascii="宋体" w:hAnsi="宋体"/>
                      <w:color w:val="auto"/>
                      <w:szCs w:val="21"/>
                      <w:highlight w:val="none"/>
                    </w:rPr>
                    <w:t>一般固废间</w:t>
                  </w:r>
                </w:p>
              </w:tc>
              <w:tc>
                <w:tcPr>
                  <w:tcW w:w="1678" w:type="pct"/>
                  <w:noWrap w:val="0"/>
                  <w:vAlign w:val="center"/>
                </w:tcPr>
                <w:p w14:paraId="0DDA176E">
                  <w:pPr>
                    <w:adjustRightInd w:val="0"/>
                    <w:snapToGrid w:val="0"/>
                    <w:jc w:val="center"/>
                    <w:rPr>
                      <w:rFonts w:hint="default" w:ascii="宋体" w:hAnsi="宋体"/>
                      <w:color w:val="auto"/>
                      <w:kern w:val="0"/>
                      <w:sz w:val="21"/>
                      <w:szCs w:val="21"/>
                      <w:highlight w:val="none"/>
                    </w:rPr>
                  </w:pPr>
                  <w:r>
                    <w:rPr>
                      <w:rFonts w:ascii="宋体" w:hAnsi="宋体"/>
                      <w:color w:val="auto"/>
                      <w:kern w:val="0"/>
                      <w:szCs w:val="21"/>
                      <w:highlight w:val="none"/>
                    </w:rPr>
                    <w:t>1间面积为</w:t>
                  </w:r>
                  <w:r>
                    <w:rPr>
                      <w:rFonts w:hint="default" w:ascii="Times New Roman" w:hAnsi="Times New Roman" w:cs="Times New Roman"/>
                      <w:color w:val="auto"/>
                      <w:kern w:val="0"/>
                      <w:szCs w:val="21"/>
                      <w:highlight w:val="none"/>
                    </w:rPr>
                    <w:t>20m</w:t>
                  </w:r>
                  <w:r>
                    <w:rPr>
                      <w:rFonts w:hint="default" w:ascii="Times New Roman" w:hAnsi="Times New Roman" w:cs="Times New Roman"/>
                      <w:color w:val="auto"/>
                      <w:kern w:val="0"/>
                      <w:szCs w:val="21"/>
                      <w:highlight w:val="none"/>
                      <w:vertAlign w:val="superscript"/>
                    </w:rPr>
                    <w:t>2</w:t>
                  </w:r>
                  <w:r>
                    <w:rPr>
                      <w:rFonts w:ascii="宋体" w:hAnsi="宋体"/>
                      <w:color w:val="auto"/>
                      <w:kern w:val="0"/>
                      <w:szCs w:val="21"/>
                      <w:highlight w:val="none"/>
                    </w:rPr>
                    <w:t>的一般固废间，用于收集暂存生产过程中产生的一般固体废物。</w:t>
                  </w:r>
                </w:p>
              </w:tc>
              <w:tc>
                <w:tcPr>
                  <w:tcW w:w="1639" w:type="pct"/>
                  <w:noWrap w:val="0"/>
                  <w:vAlign w:val="center"/>
                </w:tcPr>
                <w:p w14:paraId="59805140">
                  <w:pPr>
                    <w:adjustRightInd w:val="0"/>
                    <w:snapToGrid w:val="0"/>
                    <w:jc w:val="center"/>
                    <w:rPr>
                      <w:rFonts w:hint="eastAsia" w:ascii="宋体" w:hAnsi="宋体"/>
                      <w:color w:val="auto"/>
                      <w:szCs w:val="21"/>
                      <w:highlight w:val="none"/>
                    </w:rPr>
                  </w:pPr>
                  <w:r>
                    <w:rPr>
                      <w:rFonts w:ascii="宋体" w:hAnsi="宋体"/>
                      <w:color w:val="auto"/>
                      <w:kern w:val="0"/>
                      <w:szCs w:val="21"/>
                      <w:highlight w:val="none"/>
                    </w:rPr>
                    <w:t>面积为</w:t>
                  </w:r>
                  <w:r>
                    <w:rPr>
                      <w:rFonts w:hint="default" w:ascii="Times New Roman" w:hAnsi="Times New Roman" w:cs="Times New Roman"/>
                      <w:color w:val="auto"/>
                      <w:kern w:val="0"/>
                      <w:szCs w:val="21"/>
                      <w:highlight w:val="none"/>
                    </w:rPr>
                    <w:t>20m</w:t>
                  </w:r>
                  <w:r>
                    <w:rPr>
                      <w:rFonts w:hint="default" w:ascii="Times New Roman" w:hAnsi="Times New Roman" w:cs="Times New Roman"/>
                      <w:color w:val="auto"/>
                      <w:kern w:val="0"/>
                      <w:szCs w:val="21"/>
                      <w:highlight w:val="none"/>
                      <w:vertAlign w:val="superscript"/>
                    </w:rPr>
                    <w:t>2</w:t>
                  </w:r>
                  <w:r>
                    <w:rPr>
                      <w:rFonts w:ascii="宋体" w:hAnsi="宋体"/>
                      <w:color w:val="auto"/>
                      <w:kern w:val="0"/>
                      <w:szCs w:val="21"/>
                      <w:highlight w:val="none"/>
                    </w:rPr>
                    <w:t>的一般固废</w:t>
                  </w:r>
                  <w:r>
                    <w:rPr>
                      <w:rFonts w:hint="eastAsia" w:ascii="宋体" w:hAnsi="宋体"/>
                      <w:color w:val="auto"/>
                      <w:kern w:val="0"/>
                      <w:szCs w:val="21"/>
                      <w:highlight w:val="none"/>
                      <w:lang w:eastAsia="zh-CN"/>
                    </w:rPr>
                    <w:t>暂存处</w:t>
                  </w:r>
                  <w:r>
                    <w:rPr>
                      <w:rFonts w:ascii="宋体" w:hAnsi="宋体"/>
                      <w:color w:val="auto"/>
                      <w:kern w:val="0"/>
                      <w:szCs w:val="21"/>
                      <w:highlight w:val="none"/>
                    </w:rPr>
                    <w:t>，用于收集暂存生产过程中产生的一般固体废物。</w:t>
                  </w:r>
                </w:p>
              </w:tc>
              <w:tc>
                <w:tcPr>
                  <w:tcW w:w="431" w:type="pct"/>
                  <w:noWrap w:val="0"/>
                  <w:vAlign w:val="center"/>
                </w:tcPr>
                <w:p w14:paraId="2AEF6200">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6D47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573790BB">
                  <w:pPr>
                    <w:adjustRightInd w:val="0"/>
                    <w:snapToGrid w:val="0"/>
                    <w:jc w:val="center"/>
                    <w:rPr>
                      <w:rFonts w:ascii="宋体" w:hAnsi="宋体"/>
                      <w:color w:val="auto"/>
                      <w:szCs w:val="21"/>
                      <w:highlight w:val="none"/>
                    </w:rPr>
                  </w:pPr>
                </w:p>
              </w:tc>
              <w:tc>
                <w:tcPr>
                  <w:tcW w:w="212" w:type="pct"/>
                  <w:vMerge w:val="continue"/>
                  <w:noWrap w:val="0"/>
                  <w:vAlign w:val="center"/>
                </w:tcPr>
                <w:p w14:paraId="24674438">
                  <w:pPr>
                    <w:pStyle w:val="92"/>
                    <w:tabs>
                      <w:tab w:val="clear" w:pos="1848"/>
                      <w:tab w:val="clear" w:pos="6061"/>
                      <w:tab w:val="clear" w:pos="8665"/>
                    </w:tabs>
                    <w:adjustRightInd w:val="0"/>
                    <w:spacing w:before="0" w:beforeLines="0" w:line="240" w:lineRule="auto"/>
                    <w:ind w:firstLine="0" w:firstLineChars="0"/>
                    <w:rPr>
                      <w:color w:val="auto"/>
                      <w:sz w:val="21"/>
                      <w:szCs w:val="21"/>
                      <w:highlight w:val="none"/>
                    </w:rPr>
                  </w:pPr>
                </w:p>
              </w:tc>
              <w:tc>
                <w:tcPr>
                  <w:tcW w:w="645" w:type="pct"/>
                  <w:noWrap w:val="0"/>
                  <w:vAlign w:val="center"/>
                </w:tcPr>
                <w:p w14:paraId="0A773118">
                  <w:pPr>
                    <w:adjustRightInd w:val="0"/>
                    <w:snapToGrid w:val="0"/>
                    <w:jc w:val="center"/>
                    <w:rPr>
                      <w:rFonts w:ascii="宋体" w:hAnsi="宋体"/>
                      <w:color w:val="auto"/>
                      <w:szCs w:val="21"/>
                      <w:highlight w:val="none"/>
                    </w:rPr>
                  </w:pPr>
                  <w:r>
                    <w:rPr>
                      <w:rFonts w:ascii="宋体" w:hAnsi="宋体"/>
                      <w:color w:val="auto"/>
                      <w:szCs w:val="21"/>
                      <w:highlight w:val="none"/>
                    </w:rPr>
                    <w:t>危险废物暂存间</w:t>
                  </w:r>
                </w:p>
              </w:tc>
              <w:tc>
                <w:tcPr>
                  <w:tcW w:w="1678" w:type="pct"/>
                  <w:noWrap w:val="0"/>
                  <w:vAlign w:val="center"/>
                </w:tcPr>
                <w:p w14:paraId="29F30565">
                  <w:pPr>
                    <w:adjustRightInd w:val="0"/>
                    <w:snapToGrid w:val="0"/>
                    <w:jc w:val="center"/>
                    <w:rPr>
                      <w:rFonts w:hint="default" w:ascii="宋体" w:hAnsi="宋体"/>
                      <w:color w:val="auto"/>
                      <w:kern w:val="0"/>
                      <w:sz w:val="21"/>
                      <w:szCs w:val="21"/>
                      <w:highlight w:val="none"/>
                    </w:rPr>
                  </w:pPr>
                  <w:r>
                    <w:rPr>
                      <w:rFonts w:ascii="宋体" w:hAnsi="宋体"/>
                      <w:color w:val="auto"/>
                      <w:kern w:val="0"/>
                      <w:szCs w:val="21"/>
                      <w:highlight w:val="none"/>
                    </w:rPr>
                    <w:t>1间面积为</w:t>
                  </w:r>
                  <w:r>
                    <w:rPr>
                      <w:rFonts w:hint="default" w:ascii="Times New Roman" w:hAnsi="Times New Roman" w:cs="Times New Roman"/>
                      <w:color w:val="auto"/>
                      <w:kern w:val="0"/>
                      <w:szCs w:val="21"/>
                      <w:highlight w:val="none"/>
                    </w:rPr>
                    <w:t>10m</w:t>
                  </w:r>
                  <w:r>
                    <w:rPr>
                      <w:rFonts w:hint="default" w:ascii="Times New Roman" w:hAnsi="Times New Roman" w:cs="Times New Roman"/>
                      <w:color w:val="auto"/>
                      <w:kern w:val="0"/>
                      <w:szCs w:val="21"/>
                      <w:highlight w:val="none"/>
                      <w:vertAlign w:val="superscript"/>
                    </w:rPr>
                    <w:t>2</w:t>
                  </w:r>
                  <w:r>
                    <w:rPr>
                      <w:rFonts w:ascii="宋体" w:hAnsi="宋体"/>
                      <w:color w:val="auto"/>
                      <w:kern w:val="0"/>
                      <w:szCs w:val="21"/>
                      <w:highlight w:val="none"/>
                    </w:rPr>
                    <w:t>的危险废物暂存间，配套设置危废收集容器，危险废物分类分区存放，</w:t>
                  </w:r>
                  <w:r>
                    <w:rPr>
                      <w:rFonts w:hint="eastAsia" w:ascii="宋体" w:hAnsi="宋体"/>
                      <w:color w:val="auto"/>
                      <w:kern w:val="0"/>
                      <w:szCs w:val="21"/>
                      <w:highlight w:val="none"/>
                    </w:rPr>
                    <w:t>定期</w:t>
                  </w:r>
                  <w:r>
                    <w:rPr>
                      <w:rFonts w:ascii="宋体" w:hAnsi="宋体"/>
                      <w:color w:val="auto"/>
                      <w:kern w:val="0"/>
                      <w:szCs w:val="21"/>
                      <w:highlight w:val="none"/>
                    </w:rPr>
                    <w:t>委托云南大地丰源环保有限公司清运处置</w:t>
                  </w:r>
                </w:p>
              </w:tc>
              <w:tc>
                <w:tcPr>
                  <w:tcW w:w="1639" w:type="pct"/>
                  <w:noWrap w:val="0"/>
                  <w:vAlign w:val="center"/>
                </w:tcPr>
                <w:p w14:paraId="5EDF1604">
                  <w:pPr>
                    <w:adjustRightInd w:val="0"/>
                    <w:snapToGrid w:val="0"/>
                    <w:jc w:val="center"/>
                    <w:rPr>
                      <w:rFonts w:hint="eastAsia" w:ascii="宋体" w:hAnsi="宋体"/>
                      <w:color w:val="auto"/>
                      <w:szCs w:val="21"/>
                      <w:highlight w:val="none"/>
                    </w:rPr>
                  </w:pPr>
                  <w:r>
                    <w:rPr>
                      <w:rFonts w:ascii="宋体" w:hAnsi="宋体"/>
                      <w:color w:val="auto"/>
                      <w:kern w:val="0"/>
                      <w:szCs w:val="21"/>
                      <w:highlight w:val="none"/>
                    </w:rPr>
                    <w:t>1间面积为</w:t>
                  </w:r>
                  <w:r>
                    <w:rPr>
                      <w:rFonts w:hint="default" w:ascii="Times New Roman" w:hAnsi="Times New Roman" w:cs="Times New Roman"/>
                      <w:color w:val="auto"/>
                      <w:kern w:val="0"/>
                      <w:szCs w:val="21"/>
                      <w:highlight w:val="none"/>
                    </w:rPr>
                    <w:t>10m</w:t>
                  </w:r>
                  <w:r>
                    <w:rPr>
                      <w:rFonts w:hint="default" w:ascii="Times New Roman" w:hAnsi="Times New Roman" w:cs="Times New Roman"/>
                      <w:color w:val="auto"/>
                      <w:kern w:val="0"/>
                      <w:szCs w:val="21"/>
                      <w:highlight w:val="none"/>
                      <w:vertAlign w:val="superscript"/>
                    </w:rPr>
                    <w:t>2</w:t>
                  </w:r>
                  <w:r>
                    <w:rPr>
                      <w:rFonts w:ascii="宋体" w:hAnsi="宋体"/>
                      <w:color w:val="auto"/>
                      <w:kern w:val="0"/>
                      <w:szCs w:val="21"/>
                      <w:highlight w:val="none"/>
                    </w:rPr>
                    <w:t>的危险废物暂存间，配套设置危废收集容器，危险废物分类分区存放，</w:t>
                  </w:r>
                  <w:r>
                    <w:rPr>
                      <w:rFonts w:hint="eastAsia" w:ascii="宋体" w:hAnsi="宋体"/>
                      <w:color w:val="auto"/>
                      <w:kern w:val="0"/>
                      <w:szCs w:val="21"/>
                      <w:highlight w:val="none"/>
                    </w:rPr>
                    <w:t>定期</w:t>
                  </w:r>
                  <w:r>
                    <w:rPr>
                      <w:rFonts w:ascii="宋体" w:hAnsi="宋体"/>
                      <w:color w:val="auto"/>
                      <w:kern w:val="0"/>
                      <w:szCs w:val="21"/>
                      <w:highlight w:val="none"/>
                    </w:rPr>
                    <w:t>委托</w:t>
                  </w:r>
                  <w:r>
                    <w:rPr>
                      <w:rFonts w:hint="eastAsia" w:ascii="宋体" w:hAnsi="宋体"/>
                      <w:color w:val="auto"/>
                      <w:kern w:val="0"/>
                      <w:szCs w:val="21"/>
                      <w:highlight w:val="none"/>
                      <w:lang w:eastAsia="zh-CN"/>
                    </w:rPr>
                    <w:t>有资质的单位</w:t>
                  </w:r>
                  <w:r>
                    <w:rPr>
                      <w:rFonts w:ascii="宋体" w:hAnsi="宋体"/>
                      <w:color w:val="auto"/>
                      <w:kern w:val="0"/>
                      <w:szCs w:val="21"/>
                      <w:highlight w:val="none"/>
                    </w:rPr>
                    <w:t>清运处置</w:t>
                  </w:r>
                </w:p>
              </w:tc>
              <w:tc>
                <w:tcPr>
                  <w:tcW w:w="431" w:type="pct"/>
                  <w:noWrap w:val="0"/>
                  <w:vAlign w:val="center"/>
                </w:tcPr>
                <w:p w14:paraId="163E3475">
                  <w:pPr>
                    <w:adjustRightInd w:val="0"/>
                    <w:snapToGrid w:val="0"/>
                    <w:jc w:val="center"/>
                    <w:rPr>
                      <w:rFonts w:ascii="宋体" w:hAnsi="宋体"/>
                      <w:color w:val="auto"/>
                      <w:szCs w:val="21"/>
                      <w:highlight w:val="none"/>
                    </w:rPr>
                  </w:pPr>
                  <w:r>
                    <w:rPr>
                      <w:rFonts w:hint="eastAsia" w:ascii="宋体" w:hAnsi="宋体"/>
                      <w:color w:val="auto"/>
                      <w:szCs w:val="21"/>
                      <w:highlight w:val="none"/>
                    </w:rPr>
                    <w:t>一致</w:t>
                  </w:r>
                </w:p>
              </w:tc>
            </w:tr>
            <w:tr w14:paraId="00DF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6EDD9185">
                  <w:pPr>
                    <w:adjustRightInd w:val="0"/>
                    <w:snapToGrid w:val="0"/>
                    <w:jc w:val="center"/>
                    <w:rPr>
                      <w:rFonts w:ascii="宋体" w:hAnsi="宋体"/>
                      <w:color w:val="auto"/>
                      <w:szCs w:val="21"/>
                      <w:highlight w:val="none"/>
                    </w:rPr>
                  </w:pPr>
                </w:p>
              </w:tc>
              <w:tc>
                <w:tcPr>
                  <w:tcW w:w="212" w:type="pct"/>
                  <w:vMerge w:val="continue"/>
                  <w:noWrap w:val="0"/>
                  <w:vAlign w:val="center"/>
                </w:tcPr>
                <w:p w14:paraId="4E506942">
                  <w:pPr>
                    <w:pStyle w:val="92"/>
                    <w:tabs>
                      <w:tab w:val="clear" w:pos="1848"/>
                      <w:tab w:val="clear" w:pos="6061"/>
                      <w:tab w:val="clear" w:pos="8665"/>
                    </w:tabs>
                    <w:adjustRightInd w:val="0"/>
                    <w:spacing w:before="0" w:beforeLines="0" w:line="240" w:lineRule="auto"/>
                    <w:ind w:firstLine="0" w:firstLineChars="0"/>
                    <w:rPr>
                      <w:color w:val="auto"/>
                      <w:sz w:val="21"/>
                      <w:szCs w:val="21"/>
                      <w:highlight w:val="none"/>
                    </w:rPr>
                  </w:pPr>
                </w:p>
              </w:tc>
              <w:tc>
                <w:tcPr>
                  <w:tcW w:w="645" w:type="pct"/>
                  <w:noWrap w:val="0"/>
                  <w:vAlign w:val="center"/>
                </w:tcPr>
                <w:p w14:paraId="6A84FEFD">
                  <w:pPr>
                    <w:adjustRightInd w:val="0"/>
                    <w:snapToGrid w:val="0"/>
                    <w:jc w:val="center"/>
                    <w:rPr>
                      <w:rFonts w:ascii="宋体" w:hAnsi="宋体"/>
                      <w:color w:val="auto"/>
                      <w:szCs w:val="21"/>
                      <w:highlight w:val="none"/>
                    </w:rPr>
                  </w:pPr>
                  <w:r>
                    <w:rPr>
                      <w:rFonts w:hint="eastAsia" w:ascii="宋体" w:hAnsi="宋体"/>
                      <w:color w:val="auto"/>
                      <w:szCs w:val="21"/>
                      <w:highlight w:val="none"/>
                    </w:rPr>
                    <w:t>污泥干化场</w:t>
                  </w:r>
                </w:p>
              </w:tc>
              <w:tc>
                <w:tcPr>
                  <w:tcW w:w="1678" w:type="pct"/>
                  <w:noWrap w:val="0"/>
                  <w:vAlign w:val="center"/>
                </w:tcPr>
                <w:p w14:paraId="4CA75F54">
                  <w:pPr>
                    <w:adjustRightInd w:val="0"/>
                    <w:snapToGrid w:val="0"/>
                    <w:jc w:val="center"/>
                    <w:rPr>
                      <w:rFonts w:hint="default" w:ascii="宋体" w:hAnsi="宋体"/>
                      <w:color w:val="auto"/>
                      <w:kern w:val="0"/>
                      <w:sz w:val="21"/>
                      <w:szCs w:val="21"/>
                      <w:highlight w:val="none"/>
                    </w:rPr>
                  </w:pPr>
                  <w:r>
                    <w:rPr>
                      <w:rFonts w:hint="eastAsia" w:ascii="宋体" w:hAnsi="宋体"/>
                      <w:color w:val="auto"/>
                      <w:kern w:val="0"/>
                      <w:szCs w:val="21"/>
                      <w:highlight w:val="none"/>
                    </w:rPr>
                    <w:t>项目区设置了中水站污泥干化场</w:t>
                  </w:r>
                  <w:r>
                    <w:rPr>
                      <w:rFonts w:hint="default" w:ascii="Times New Roman" w:hAnsi="Times New Roman" w:cs="Times New Roman"/>
                      <w:color w:val="auto"/>
                      <w:kern w:val="0"/>
                      <w:szCs w:val="21"/>
                      <w:highlight w:val="none"/>
                    </w:rPr>
                    <w:t>5m</w:t>
                  </w:r>
                  <w:r>
                    <w:rPr>
                      <w:rFonts w:hint="default" w:ascii="Times New Roman" w:hAnsi="Times New Roman" w:cs="Times New Roman"/>
                      <w:color w:val="auto"/>
                      <w:kern w:val="0"/>
                      <w:szCs w:val="21"/>
                      <w:highlight w:val="none"/>
                      <w:vertAlign w:val="superscript"/>
                    </w:rPr>
                    <w:t>2</w:t>
                  </w:r>
                  <w:r>
                    <w:rPr>
                      <w:rFonts w:hint="eastAsia" w:ascii="宋体" w:hAnsi="宋体"/>
                      <w:color w:val="auto"/>
                      <w:kern w:val="0"/>
                      <w:szCs w:val="21"/>
                      <w:highlight w:val="none"/>
                    </w:rPr>
                    <w:t>（采用自然干化）</w:t>
                  </w:r>
                </w:p>
              </w:tc>
              <w:tc>
                <w:tcPr>
                  <w:tcW w:w="1639" w:type="pct"/>
                  <w:noWrap w:val="0"/>
                  <w:vAlign w:val="center"/>
                </w:tcPr>
                <w:p w14:paraId="59846462">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项目区设置了中水站污泥干化场</w:t>
                  </w:r>
                  <w:r>
                    <w:rPr>
                      <w:rFonts w:hint="default" w:ascii="Times New Roman" w:hAnsi="Times New Roman" w:cs="Times New Roman"/>
                      <w:color w:val="auto"/>
                      <w:kern w:val="0"/>
                      <w:szCs w:val="21"/>
                      <w:highlight w:val="none"/>
                    </w:rPr>
                    <w:t>5m</w:t>
                  </w:r>
                  <w:r>
                    <w:rPr>
                      <w:rFonts w:hint="default" w:ascii="Times New Roman" w:hAnsi="Times New Roman" w:cs="Times New Roman"/>
                      <w:color w:val="auto"/>
                      <w:kern w:val="0"/>
                      <w:szCs w:val="21"/>
                      <w:highlight w:val="none"/>
                      <w:vertAlign w:val="superscript"/>
                    </w:rPr>
                    <w:t>2</w:t>
                  </w:r>
                  <w:r>
                    <w:rPr>
                      <w:rFonts w:hint="eastAsia" w:ascii="宋体" w:hAnsi="宋体"/>
                      <w:color w:val="auto"/>
                      <w:kern w:val="0"/>
                      <w:szCs w:val="21"/>
                      <w:highlight w:val="none"/>
                    </w:rPr>
                    <w:t>（采用自然干化）</w:t>
                  </w:r>
                </w:p>
              </w:tc>
              <w:tc>
                <w:tcPr>
                  <w:tcW w:w="431" w:type="pct"/>
                  <w:noWrap w:val="0"/>
                  <w:vAlign w:val="center"/>
                </w:tcPr>
                <w:p w14:paraId="6BC767BF">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一致</w:t>
                  </w:r>
                </w:p>
              </w:tc>
            </w:tr>
          </w:tbl>
          <w:p w14:paraId="788CA421">
            <w:pPr>
              <w:pStyle w:val="23"/>
              <w:spacing w:after="0" w:line="240" w:lineRule="auto"/>
              <w:ind w:firstLine="0" w:firstLineChars="0"/>
              <w:jc w:val="center"/>
              <w:rPr>
                <w:rFonts w:hint="default" w:ascii="Times New Roman" w:hAnsi="Times New Roman" w:eastAsia="宋体" w:cs="Times New Roman"/>
                <w:b/>
                <w:bCs/>
                <w:color w:val="auto"/>
                <w:sz w:val="21"/>
                <w:szCs w:val="21"/>
                <w:highlight w:val="none"/>
              </w:rPr>
            </w:pPr>
          </w:p>
          <w:p w14:paraId="54531A3A">
            <w:pPr>
              <w:pStyle w:val="23"/>
              <w:spacing w:after="0" w:line="240" w:lineRule="auto"/>
              <w:ind w:firstLine="0" w:firstLineChars="0"/>
              <w:jc w:val="center"/>
              <w:rPr>
                <w:rFonts w:hint="default" w:ascii="Times New Roman" w:hAnsi="Times New Roman" w:eastAsia="宋体" w:cs="Times New Roman"/>
                <w:b/>
                <w:bCs/>
                <w:color w:val="auto"/>
                <w:sz w:val="21"/>
                <w:szCs w:val="21"/>
                <w:highlight w:val="none"/>
              </w:rPr>
            </w:pPr>
          </w:p>
          <w:p w14:paraId="4CD4E92E">
            <w:pPr>
              <w:pStyle w:val="23"/>
              <w:spacing w:after="0" w:line="240" w:lineRule="auto"/>
              <w:ind w:firstLine="0" w:firstLineChars="0"/>
              <w:jc w:val="center"/>
              <w:rPr>
                <w:rFonts w:hint="default" w:ascii="Times New Roman" w:hAnsi="Times New Roman" w:eastAsia="宋体" w:cs="Times New Roman"/>
                <w:b/>
                <w:bCs/>
                <w:color w:val="auto"/>
                <w:sz w:val="21"/>
                <w:szCs w:val="21"/>
                <w:highlight w:val="none"/>
              </w:rPr>
            </w:pPr>
          </w:p>
          <w:p w14:paraId="3D0C04D8">
            <w:pPr>
              <w:pStyle w:val="23"/>
              <w:spacing w:after="0" w:line="240" w:lineRule="auto"/>
              <w:ind w:firstLine="0" w:firstLineChars="0"/>
              <w:jc w:val="center"/>
              <w:rPr>
                <w:rFonts w:hint="eastAsia"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2-1</w:t>
            </w:r>
            <w:r>
              <w:rPr>
                <w:rFonts w:hint="eastAsia"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eastAsia="zh-CN"/>
              </w:rPr>
              <w:t>原项目</w:t>
            </w:r>
            <w:r>
              <w:rPr>
                <w:rFonts w:hint="eastAsia" w:ascii="Times New Roman" w:hAnsi="Times New Roman" w:eastAsia="宋体" w:cs="Times New Roman"/>
                <w:b/>
                <w:bCs/>
                <w:color w:val="auto"/>
                <w:sz w:val="21"/>
                <w:szCs w:val="21"/>
                <w:highlight w:val="none"/>
              </w:rPr>
              <w:t>主要设备对比</w:t>
            </w:r>
            <w:r>
              <w:rPr>
                <w:rFonts w:hint="eastAsia" w:ascii="Times New Roman" w:hAnsi="Times New Roman" w:eastAsia="宋体" w:cs="Times New Roman"/>
                <w:b/>
                <w:bCs/>
                <w:color w:val="auto"/>
                <w:sz w:val="21"/>
                <w:szCs w:val="21"/>
                <w:highlight w:val="none"/>
                <w:lang w:eastAsia="zh-CN"/>
              </w:rPr>
              <w:t>一览</w:t>
            </w:r>
            <w:r>
              <w:rPr>
                <w:rFonts w:hint="eastAsia" w:ascii="Times New Roman" w:hAnsi="Times New Roman" w:eastAsia="宋体" w:cs="Times New Roman"/>
                <w:b/>
                <w:bCs/>
                <w:color w:val="auto"/>
                <w:sz w:val="21"/>
                <w:szCs w:val="21"/>
                <w:highlight w:val="none"/>
              </w:rPr>
              <w:t>表</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0"/>
              <w:gridCol w:w="2700"/>
              <w:gridCol w:w="1065"/>
              <w:gridCol w:w="1245"/>
              <w:gridCol w:w="1170"/>
              <w:gridCol w:w="1260"/>
            </w:tblGrid>
            <w:tr w14:paraId="4E293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760" w:type="dxa"/>
                  <w:noWrap w:val="0"/>
                  <w:vAlign w:val="center"/>
                </w:tcPr>
                <w:p w14:paraId="0BC7FB39">
                  <w:pPr>
                    <w:widowControl/>
                    <w:snapToGrid w:val="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2700" w:type="dxa"/>
                  <w:noWrap w:val="0"/>
                  <w:vAlign w:val="center"/>
                </w:tcPr>
                <w:p w14:paraId="3D5F554F">
                  <w:pPr>
                    <w:widowControl/>
                    <w:snapToGrid w:val="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名称</w:t>
                  </w:r>
                </w:p>
              </w:tc>
              <w:tc>
                <w:tcPr>
                  <w:tcW w:w="1065" w:type="dxa"/>
                  <w:noWrap w:val="0"/>
                  <w:vAlign w:val="center"/>
                </w:tcPr>
                <w:p w14:paraId="560B9E9D">
                  <w:pPr>
                    <w:widowControl/>
                    <w:snapToGrid w:val="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单位</w:t>
                  </w:r>
                </w:p>
              </w:tc>
              <w:tc>
                <w:tcPr>
                  <w:tcW w:w="1245" w:type="dxa"/>
                  <w:noWrap w:val="0"/>
                  <w:vAlign w:val="center"/>
                </w:tcPr>
                <w:p w14:paraId="58429518">
                  <w:pPr>
                    <w:widowControl/>
                    <w:snapToGrid w:val="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验收数量</w:t>
                  </w:r>
                </w:p>
              </w:tc>
              <w:tc>
                <w:tcPr>
                  <w:tcW w:w="1170" w:type="dxa"/>
                  <w:noWrap w:val="0"/>
                  <w:vAlign w:val="center"/>
                </w:tcPr>
                <w:p w14:paraId="1FD58C1E">
                  <w:pPr>
                    <w:widowControl/>
                    <w:snapToGrid w:val="0"/>
                    <w:jc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实际数量</w:t>
                  </w:r>
                </w:p>
              </w:tc>
              <w:tc>
                <w:tcPr>
                  <w:tcW w:w="1260" w:type="dxa"/>
                  <w:noWrap w:val="0"/>
                  <w:vAlign w:val="center"/>
                </w:tcPr>
                <w:p w14:paraId="269CD19A">
                  <w:pPr>
                    <w:widowControl/>
                    <w:snapToGrid w:val="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对比情况</w:t>
                  </w:r>
                </w:p>
              </w:tc>
            </w:tr>
            <w:tr w14:paraId="26702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dxa"/>
                  <w:noWrap w:val="0"/>
                  <w:vAlign w:val="center"/>
                </w:tcPr>
                <w:p w14:paraId="14055C62">
                  <w:pPr>
                    <w:widowControl/>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p>
              </w:tc>
              <w:tc>
                <w:tcPr>
                  <w:tcW w:w="2700" w:type="dxa"/>
                  <w:noWrap w:val="0"/>
                  <w:vAlign w:val="center"/>
                </w:tcPr>
                <w:p w14:paraId="7916C325">
                  <w:pPr>
                    <w:widowControl/>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玻璃钢化机组（含电加热玻璃钢化炉）</w:t>
                  </w:r>
                </w:p>
              </w:tc>
              <w:tc>
                <w:tcPr>
                  <w:tcW w:w="1065" w:type="dxa"/>
                  <w:noWrap w:val="0"/>
                  <w:vAlign w:val="center"/>
                </w:tcPr>
                <w:p w14:paraId="3A4A2633">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1245" w:type="dxa"/>
                  <w:noWrap w:val="0"/>
                  <w:vAlign w:val="center"/>
                </w:tcPr>
                <w:p w14:paraId="5DF45FCD">
                  <w:pPr>
                    <w:widowControl/>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c>
                <w:tcPr>
                  <w:tcW w:w="1170" w:type="dxa"/>
                  <w:noWrap w:val="0"/>
                  <w:vAlign w:val="center"/>
                </w:tcPr>
                <w:p w14:paraId="0BE4819A">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60" w:type="dxa"/>
                  <w:noWrap w:val="0"/>
                  <w:vAlign w:val="center"/>
                </w:tcPr>
                <w:p w14:paraId="0B7EB3B0">
                  <w:pPr>
                    <w:widowControl/>
                    <w:snapToGrid w:val="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lang w:val="en-US" w:eastAsia="zh-CN"/>
                    </w:rPr>
                    <w:t>-1</w:t>
                  </w:r>
                </w:p>
              </w:tc>
            </w:tr>
            <w:tr w14:paraId="0156D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760" w:type="dxa"/>
                  <w:noWrap w:val="0"/>
                  <w:vAlign w:val="center"/>
                </w:tcPr>
                <w:p w14:paraId="7616B158">
                  <w:pPr>
                    <w:widowControl/>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2</w:t>
                  </w:r>
                </w:p>
              </w:tc>
              <w:tc>
                <w:tcPr>
                  <w:tcW w:w="2700" w:type="dxa"/>
                  <w:noWrap w:val="0"/>
                  <w:vAlign w:val="center"/>
                </w:tcPr>
                <w:p w14:paraId="07A24EC8">
                  <w:pPr>
                    <w:widowControl/>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切片</w:t>
                  </w:r>
                  <w:r>
                    <w:rPr>
                      <w:rFonts w:hint="eastAsia" w:ascii="宋体" w:hAnsi="宋体" w:eastAsia="宋体" w:cs="宋体"/>
                      <w:color w:val="auto"/>
                      <w:sz w:val="21"/>
                      <w:szCs w:val="21"/>
                      <w:highlight w:val="none"/>
                    </w:rPr>
                    <w:t>机</w:t>
                  </w:r>
                </w:p>
              </w:tc>
              <w:tc>
                <w:tcPr>
                  <w:tcW w:w="1065" w:type="dxa"/>
                  <w:noWrap w:val="0"/>
                  <w:vAlign w:val="center"/>
                </w:tcPr>
                <w:p w14:paraId="66122645">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1245" w:type="dxa"/>
                  <w:noWrap w:val="0"/>
                  <w:vAlign w:val="center"/>
                </w:tcPr>
                <w:p w14:paraId="4769FA10">
                  <w:pPr>
                    <w:widowControl/>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1170" w:type="dxa"/>
                  <w:noWrap w:val="0"/>
                  <w:vAlign w:val="center"/>
                </w:tcPr>
                <w:p w14:paraId="6C9385E8">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260" w:type="dxa"/>
                  <w:noWrap w:val="0"/>
                  <w:vAlign w:val="center"/>
                </w:tcPr>
                <w:p w14:paraId="6EFC96FB">
                  <w:pPr>
                    <w:widowControl/>
                    <w:snapToGrid w:val="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lang w:val="en-US" w:eastAsia="zh-CN"/>
                    </w:rPr>
                    <w:t>+2</w:t>
                  </w:r>
                </w:p>
              </w:tc>
            </w:tr>
            <w:tr w14:paraId="7E909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760" w:type="dxa"/>
                  <w:noWrap w:val="0"/>
                  <w:vAlign w:val="center"/>
                </w:tcPr>
                <w:p w14:paraId="659E4DC2">
                  <w:pPr>
                    <w:widowControl/>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2700" w:type="dxa"/>
                  <w:noWrap w:val="0"/>
                  <w:vAlign w:val="center"/>
                </w:tcPr>
                <w:p w14:paraId="2389D984">
                  <w:pPr>
                    <w:widowControl/>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磨边机</w:t>
                  </w:r>
                </w:p>
              </w:tc>
              <w:tc>
                <w:tcPr>
                  <w:tcW w:w="1065" w:type="dxa"/>
                  <w:noWrap w:val="0"/>
                  <w:vAlign w:val="center"/>
                </w:tcPr>
                <w:p w14:paraId="4DB22CA5">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1245" w:type="dxa"/>
                  <w:noWrap w:val="0"/>
                  <w:vAlign w:val="center"/>
                </w:tcPr>
                <w:p w14:paraId="4A2737A7">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170" w:type="dxa"/>
                  <w:noWrap w:val="0"/>
                  <w:vAlign w:val="bottom"/>
                </w:tcPr>
                <w:p w14:paraId="46D28351">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260" w:type="dxa"/>
                  <w:noWrap w:val="0"/>
                  <w:vAlign w:val="bottom"/>
                </w:tcPr>
                <w:p w14:paraId="7891D016">
                  <w:pPr>
                    <w:widowControl/>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4</w:t>
                  </w:r>
                </w:p>
              </w:tc>
            </w:tr>
            <w:tr w14:paraId="2695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760" w:type="dxa"/>
                  <w:noWrap w:val="0"/>
                  <w:vAlign w:val="center"/>
                </w:tcPr>
                <w:p w14:paraId="2DEB81D4">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w:t>
                  </w:r>
                </w:p>
              </w:tc>
              <w:tc>
                <w:tcPr>
                  <w:tcW w:w="2700" w:type="dxa"/>
                  <w:noWrap w:val="0"/>
                  <w:vAlign w:val="center"/>
                </w:tcPr>
                <w:p w14:paraId="264DB91C">
                  <w:pPr>
                    <w:widowControl/>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清洗机</w:t>
                  </w:r>
                </w:p>
              </w:tc>
              <w:tc>
                <w:tcPr>
                  <w:tcW w:w="1065" w:type="dxa"/>
                  <w:noWrap w:val="0"/>
                  <w:vAlign w:val="center"/>
                </w:tcPr>
                <w:p w14:paraId="456DD498">
                  <w:pPr>
                    <w:widowControl/>
                    <w:snapToGrid w:val="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台</w:t>
                  </w:r>
                </w:p>
              </w:tc>
              <w:tc>
                <w:tcPr>
                  <w:tcW w:w="1245" w:type="dxa"/>
                  <w:noWrap w:val="0"/>
                  <w:vAlign w:val="center"/>
                </w:tcPr>
                <w:p w14:paraId="3FABB57E">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70" w:type="dxa"/>
                  <w:noWrap w:val="0"/>
                  <w:vAlign w:val="center"/>
                </w:tcPr>
                <w:p w14:paraId="7DAAD45F">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260" w:type="dxa"/>
                  <w:noWrap w:val="0"/>
                  <w:vAlign w:val="center"/>
                </w:tcPr>
                <w:p w14:paraId="2CBF6809">
                  <w:pPr>
                    <w:widowControl/>
                    <w:snapToGrid w:val="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lang w:val="en-US" w:eastAsia="zh-CN"/>
                    </w:rPr>
                    <w:t>+6</w:t>
                  </w:r>
                </w:p>
              </w:tc>
            </w:tr>
            <w:tr w14:paraId="0CA04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760" w:type="dxa"/>
                  <w:noWrap w:val="0"/>
                  <w:vAlign w:val="center"/>
                </w:tcPr>
                <w:p w14:paraId="10D31DF4">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w:t>
                  </w:r>
                </w:p>
              </w:tc>
              <w:tc>
                <w:tcPr>
                  <w:tcW w:w="2700" w:type="dxa"/>
                  <w:noWrap w:val="0"/>
                  <w:vAlign w:val="center"/>
                </w:tcPr>
                <w:p w14:paraId="4475DEB4">
                  <w:pPr>
                    <w:widowControl/>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水刀</w:t>
                  </w:r>
                </w:p>
              </w:tc>
              <w:tc>
                <w:tcPr>
                  <w:tcW w:w="1065" w:type="dxa"/>
                  <w:noWrap w:val="0"/>
                  <w:vAlign w:val="center"/>
                </w:tcPr>
                <w:p w14:paraId="1E245610">
                  <w:pPr>
                    <w:widowControl/>
                    <w:snapToGrid w:val="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台</w:t>
                  </w:r>
                </w:p>
              </w:tc>
              <w:tc>
                <w:tcPr>
                  <w:tcW w:w="1245" w:type="dxa"/>
                  <w:noWrap w:val="0"/>
                  <w:vAlign w:val="center"/>
                </w:tcPr>
                <w:p w14:paraId="73D90EBC">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70" w:type="dxa"/>
                  <w:noWrap w:val="0"/>
                  <w:vAlign w:val="center"/>
                </w:tcPr>
                <w:p w14:paraId="4B3A2AC8">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60" w:type="dxa"/>
                  <w:noWrap w:val="0"/>
                  <w:vAlign w:val="center"/>
                </w:tcPr>
                <w:p w14:paraId="178303DB">
                  <w:pPr>
                    <w:widowControl/>
                    <w:snapToGrid w:val="0"/>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lang w:val="en-US" w:eastAsia="zh-CN"/>
                    </w:rPr>
                    <w:t>+2</w:t>
                  </w:r>
                </w:p>
              </w:tc>
            </w:tr>
            <w:tr w14:paraId="7AE42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760" w:type="dxa"/>
                  <w:noWrap w:val="0"/>
                  <w:vAlign w:val="center"/>
                </w:tcPr>
                <w:p w14:paraId="24CD9AE9">
                  <w:pPr>
                    <w:widowControl/>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6</w:t>
                  </w:r>
                </w:p>
              </w:tc>
              <w:tc>
                <w:tcPr>
                  <w:tcW w:w="2700" w:type="dxa"/>
                  <w:noWrap w:val="0"/>
                  <w:vAlign w:val="center"/>
                </w:tcPr>
                <w:p w14:paraId="23B24508">
                  <w:pPr>
                    <w:widowControl/>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玻璃磨砂机</w:t>
                  </w:r>
                </w:p>
              </w:tc>
              <w:tc>
                <w:tcPr>
                  <w:tcW w:w="1065" w:type="dxa"/>
                  <w:noWrap w:val="0"/>
                  <w:vAlign w:val="center"/>
                </w:tcPr>
                <w:p w14:paraId="4541A473">
                  <w:pPr>
                    <w:widowControl/>
                    <w:snapToGrid w:val="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台</w:t>
                  </w:r>
                </w:p>
              </w:tc>
              <w:tc>
                <w:tcPr>
                  <w:tcW w:w="1245" w:type="dxa"/>
                  <w:noWrap w:val="0"/>
                  <w:vAlign w:val="center"/>
                </w:tcPr>
                <w:p w14:paraId="6D0527E1">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170" w:type="dxa"/>
                  <w:noWrap w:val="0"/>
                  <w:vAlign w:val="center"/>
                </w:tcPr>
                <w:p w14:paraId="29744567">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w:t>
                  </w:r>
                </w:p>
              </w:tc>
              <w:tc>
                <w:tcPr>
                  <w:tcW w:w="1260" w:type="dxa"/>
                  <w:noWrap w:val="0"/>
                  <w:vAlign w:val="center"/>
                </w:tcPr>
                <w:p w14:paraId="7C018653">
                  <w:pPr>
                    <w:widowControl/>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sz w:val="21"/>
                      <w:szCs w:val="21"/>
                      <w:highlight w:val="none"/>
                      <w:shd w:val="clear" w:color="auto" w:fill="FFFFFF"/>
                    </w:rPr>
                    <w:t>一致</w:t>
                  </w:r>
                </w:p>
              </w:tc>
            </w:tr>
            <w:tr w14:paraId="21835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760" w:type="dxa"/>
                  <w:noWrap w:val="0"/>
                  <w:vAlign w:val="center"/>
                </w:tcPr>
                <w:p w14:paraId="1180B095">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2700" w:type="dxa"/>
                  <w:noWrap w:val="0"/>
                  <w:vAlign w:val="center"/>
                </w:tcPr>
                <w:p w14:paraId="536F3DEE">
                  <w:pPr>
                    <w:widowControl/>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中空玻璃生产设备</w:t>
                  </w:r>
                </w:p>
              </w:tc>
              <w:tc>
                <w:tcPr>
                  <w:tcW w:w="1065" w:type="dxa"/>
                  <w:noWrap w:val="0"/>
                  <w:vAlign w:val="center"/>
                </w:tcPr>
                <w:p w14:paraId="4CBFA568">
                  <w:pPr>
                    <w:widowControl/>
                    <w:snapToGrid w:val="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台</w:t>
                  </w:r>
                </w:p>
              </w:tc>
              <w:tc>
                <w:tcPr>
                  <w:tcW w:w="1245" w:type="dxa"/>
                  <w:noWrap w:val="0"/>
                  <w:vAlign w:val="center"/>
                </w:tcPr>
                <w:p w14:paraId="5782AE58">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170" w:type="dxa"/>
                  <w:noWrap w:val="0"/>
                  <w:vAlign w:val="center"/>
                </w:tcPr>
                <w:p w14:paraId="4E6531E6">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1260" w:type="dxa"/>
                  <w:noWrap w:val="0"/>
                  <w:vAlign w:val="center"/>
                </w:tcPr>
                <w:p w14:paraId="1DEBAF11">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shd w:val="clear" w:color="auto" w:fill="FFFFFF"/>
                    </w:rPr>
                    <w:t>一致</w:t>
                  </w:r>
                </w:p>
              </w:tc>
            </w:tr>
            <w:tr w14:paraId="5CDE5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760" w:type="dxa"/>
                  <w:noWrap w:val="0"/>
                  <w:vAlign w:val="center"/>
                </w:tcPr>
                <w:p w14:paraId="5F584FC5">
                  <w:pPr>
                    <w:widowControl/>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8　</w:t>
                  </w:r>
                </w:p>
              </w:tc>
              <w:tc>
                <w:tcPr>
                  <w:tcW w:w="2700" w:type="dxa"/>
                  <w:noWrap w:val="0"/>
                  <w:vAlign w:val="center"/>
                </w:tcPr>
                <w:p w14:paraId="1C79396F">
                  <w:pPr>
                    <w:widowControl/>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涂胶机</w:t>
                  </w:r>
                </w:p>
              </w:tc>
              <w:tc>
                <w:tcPr>
                  <w:tcW w:w="1065" w:type="dxa"/>
                  <w:noWrap w:val="0"/>
                  <w:vAlign w:val="center"/>
                </w:tcPr>
                <w:p w14:paraId="0BC77904">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1245" w:type="dxa"/>
                  <w:noWrap w:val="0"/>
                  <w:vAlign w:val="center"/>
                </w:tcPr>
                <w:p w14:paraId="0DD85D36">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170" w:type="dxa"/>
                  <w:noWrap w:val="0"/>
                  <w:vAlign w:val="center"/>
                </w:tcPr>
                <w:p w14:paraId="47CAE07B">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60" w:type="dxa"/>
                  <w:noWrap w:val="0"/>
                  <w:vAlign w:val="center"/>
                </w:tcPr>
                <w:p w14:paraId="56200414">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shd w:val="clear" w:color="auto" w:fill="FFFFFF"/>
                    </w:rPr>
                    <w:t>一致</w:t>
                  </w:r>
                </w:p>
              </w:tc>
            </w:tr>
            <w:tr w14:paraId="6CC99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760" w:type="dxa"/>
                  <w:noWrap w:val="0"/>
                  <w:vAlign w:val="center"/>
                </w:tcPr>
                <w:p w14:paraId="117354A3">
                  <w:pPr>
                    <w:widowControl/>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w:t>
                  </w:r>
                </w:p>
              </w:tc>
              <w:tc>
                <w:tcPr>
                  <w:tcW w:w="2700" w:type="dxa"/>
                  <w:noWrap w:val="0"/>
                  <w:vAlign w:val="center"/>
                </w:tcPr>
                <w:p w14:paraId="47E4554B">
                  <w:pPr>
                    <w:widowControl/>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铝条切割、折弯一体机</w:t>
                  </w:r>
                </w:p>
              </w:tc>
              <w:tc>
                <w:tcPr>
                  <w:tcW w:w="1065" w:type="dxa"/>
                  <w:noWrap w:val="0"/>
                  <w:vAlign w:val="center"/>
                </w:tcPr>
                <w:p w14:paraId="240E82C8">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1245" w:type="dxa"/>
                  <w:noWrap w:val="0"/>
                  <w:vAlign w:val="center"/>
                </w:tcPr>
                <w:p w14:paraId="7CBDA072">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170" w:type="dxa"/>
                  <w:noWrap w:val="0"/>
                  <w:vAlign w:val="center"/>
                </w:tcPr>
                <w:p w14:paraId="30C3A2A3">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60" w:type="dxa"/>
                  <w:noWrap w:val="0"/>
                  <w:vAlign w:val="bottom"/>
                </w:tcPr>
                <w:p w14:paraId="6507E9DD">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一致</w:t>
                  </w:r>
                </w:p>
              </w:tc>
            </w:tr>
            <w:tr w14:paraId="1E54C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760" w:type="dxa"/>
                  <w:noWrap w:val="0"/>
                  <w:vAlign w:val="center"/>
                </w:tcPr>
                <w:p w14:paraId="5DD0E888">
                  <w:pPr>
                    <w:widowControl/>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10</w:t>
                  </w:r>
                </w:p>
              </w:tc>
              <w:tc>
                <w:tcPr>
                  <w:tcW w:w="2700" w:type="dxa"/>
                  <w:noWrap w:val="0"/>
                  <w:vAlign w:val="center"/>
                </w:tcPr>
                <w:p w14:paraId="08945D17">
                  <w:pPr>
                    <w:widowControl/>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预压机</w:t>
                  </w:r>
                </w:p>
              </w:tc>
              <w:tc>
                <w:tcPr>
                  <w:tcW w:w="1065" w:type="dxa"/>
                  <w:noWrap w:val="0"/>
                  <w:vAlign w:val="center"/>
                </w:tcPr>
                <w:p w14:paraId="2CD4ED48">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1245" w:type="dxa"/>
                  <w:noWrap w:val="0"/>
                  <w:vAlign w:val="center"/>
                </w:tcPr>
                <w:p w14:paraId="43384FFC">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170" w:type="dxa"/>
                  <w:noWrap w:val="0"/>
                  <w:vAlign w:val="center"/>
                </w:tcPr>
                <w:p w14:paraId="3D235929">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60" w:type="dxa"/>
                  <w:noWrap w:val="0"/>
                  <w:vAlign w:val="bottom"/>
                </w:tcPr>
                <w:p w14:paraId="409B7E7A">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shd w:val="clear" w:color="auto" w:fill="FFFFFF"/>
                    </w:rPr>
                    <w:t>一致</w:t>
                  </w:r>
                </w:p>
              </w:tc>
            </w:tr>
            <w:tr w14:paraId="4FEE2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760" w:type="dxa"/>
                  <w:noWrap w:val="0"/>
                  <w:vAlign w:val="center"/>
                </w:tcPr>
                <w:p w14:paraId="237144E7">
                  <w:pPr>
                    <w:widowControl/>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11</w:t>
                  </w:r>
                </w:p>
              </w:tc>
              <w:tc>
                <w:tcPr>
                  <w:tcW w:w="2700" w:type="dxa"/>
                  <w:noWrap w:val="0"/>
                  <w:vAlign w:val="center"/>
                </w:tcPr>
                <w:p w14:paraId="4838ADCF">
                  <w:pPr>
                    <w:widowControl/>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叉车</w:t>
                  </w:r>
                </w:p>
              </w:tc>
              <w:tc>
                <w:tcPr>
                  <w:tcW w:w="1065" w:type="dxa"/>
                  <w:noWrap w:val="0"/>
                  <w:vAlign w:val="center"/>
                </w:tcPr>
                <w:p w14:paraId="1CDC6448">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1245" w:type="dxa"/>
                  <w:noWrap w:val="0"/>
                  <w:vAlign w:val="center"/>
                </w:tcPr>
                <w:p w14:paraId="14F7CA92">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170" w:type="dxa"/>
                  <w:noWrap w:val="0"/>
                  <w:vAlign w:val="center"/>
                </w:tcPr>
                <w:p w14:paraId="7868EC33">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60" w:type="dxa"/>
                  <w:noWrap w:val="0"/>
                  <w:vAlign w:val="bottom"/>
                </w:tcPr>
                <w:p w14:paraId="6F6E991F">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shd w:val="clear" w:color="auto" w:fill="FFFFFF"/>
                    </w:rPr>
                    <w:t>一致</w:t>
                  </w:r>
                </w:p>
              </w:tc>
            </w:tr>
            <w:tr w14:paraId="4169D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760" w:type="dxa"/>
                  <w:noWrap w:val="0"/>
                  <w:vAlign w:val="center"/>
                </w:tcPr>
                <w:p w14:paraId="54F9BEA6">
                  <w:pPr>
                    <w:widowControl/>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12</w:t>
                  </w:r>
                </w:p>
              </w:tc>
              <w:tc>
                <w:tcPr>
                  <w:tcW w:w="2700" w:type="dxa"/>
                  <w:noWrap w:val="0"/>
                  <w:vAlign w:val="center"/>
                </w:tcPr>
                <w:p w14:paraId="16B856A5">
                  <w:pPr>
                    <w:widowControl/>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玻璃储存架</w:t>
                  </w:r>
                </w:p>
              </w:tc>
              <w:tc>
                <w:tcPr>
                  <w:tcW w:w="1065" w:type="dxa"/>
                  <w:noWrap w:val="0"/>
                  <w:vAlign w:val="center"/>
                </w:tcPr>
                <w:p w14:paraId="0050C934">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c>
                <w:tcPr>
                  <w:tcW w:w="1245" w:type="dxa"/>
                  <w:noWrap w:val="0"/>
                  <w:vAlign w:val="center"/>
                </w:tcPr>
                <w:p w14:paraId="4AE4037F">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1170" w:type="dxa"/>
                  <w:noWrap w:val="0"/>
                  <w:vAlign w:val="center"/>
                </w:tcPr>
                <w:p w14:paraId="136123A6">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1260" w:type="dxa"/>
                  <w:noWrap w:val="0"/>
                  <w:vAlign w:val="bottom"/>
                </w:tcPr>
                <w:p w14:paraId="64BD566D">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shd w:val="clear" w:color="auto" w:fill="FFFFFF"/>
                    </w:rPr>
                    <w:t>一致</w:t>
                  </w:r>
                </w:p>
              </w:tc>
            </w:tr>
            <w:tr w14:paraId="68A81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760" w:type="dxa"/>
                  <w:noWrap w:val="0"/>
                  <w:vAlign w:val="center"/>
                </w:tcPr>
                <w:p w14:paraId="27AFA322">
                  <w:pPr>
                    <w:widowControl/>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13</w:t>
                  </w:r>
                </w:p>
              </w:tc>
              <w:tc>
                <w:tcPr>
                  <w:tcW w:w="2700" w:type="dxa"/>
                  <w:noWrap w:val="0"/>
                  <w:vAlign w:val="center"/>
                </w:tcPr>
                <w:p w14:paraId="3BCD35C1">
                  <w:pPr>
                    <w:widowControl/>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运送滑轮车</w:t>
                  </w:r>
                </w:p>
              </w:tc>
              <w:tc>
                <w:tcPr>
                  <w:tcW w:w="1065" w:type="dxa"/>
                  <w:noWrap w:val="0"/>
                  <w:vAlign w:val="center"/>
                </w:tcPr>
                <w:p w14:paraId="22CA35C9">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1245" w:type="dxa"/>
                  <w:noWrap w:val="0"/>
                  <w:vAlign w:val="center"/>
                </w:tcPr>
                <w:p w14:paraId="53409F7B">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170" w:type="dxa"/>
                  <w:noWrap w:val="0"/>
                  <w:vAlign w:val="center"/>
                </w:tcPr>
                <w:p w14:paraId="53190229">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260" w:type="dxa"/>
                  <w:noWrap w:val="0"/>
                  <w:vAlign w:val="bottom"/>
                </w:tcPr>
                <w:p w14:paraId="4D30C743">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shd w:val="clear" w:color="auto" w:fill="FFFFFF"/>
                    </w:rPr>
                    <w:t>一致</w:t>
                  </w:r>
                </w:p>
              </w:tc>
            </w:tr>
            <w:tr w14:paraId="17FCD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760" w:type="dxa"/>
                  <w:noWrap w:val="0"/>
                  <w:vAlign w:val="center"/>
                </w:tcPr>
                <w:p w14:paraId="1CC4457E">
                  <w:pPr>
                    <w:widowControl/>
                    <w:adjustRightInd w:val="0"/>
                    <w:snapToGrid w:val="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14</w:t>
                  </w:r>
                </w:p>
              </w:tc>
              <w:tc>
                <w:tcPr>
                  <w:tcW w:w="2700" w:type="dxa"/>
                  <w:noWrap w:val="0"/>
                  <w:vAlign w:val="center"/>
                </w:tcPr>
                <w:p w14:paraId="44A93A85">
                  <w:pPr>
                    <w:widowControl/>
                    <w:adjustRightInd w:val="0"/>
                    <w:snapToGrid w:val="0"/>
                    <w:jc w:val="center"/>
                    <w:rPr>
                      <w:rFonts w:hint="eastAsia" w:ascii="宋体" w:hAnsi="宋体" w:eastAsia="宋体" w:cs="宋体"/>
                      <w:color w:val="auto"/>
                      <w:sz w:val="21"/>
                      <w:szCs w:val="21"/>
                      <w:highlight w:val="none"/>
                    </w:rPr>
                  </w:pPr>
                  <w:r>
                    <w:rPr>
                      <w:rFonts w:hint="default" w:ascii="Times New Roman" w:hAnsi="Times New Roman" w:eastAsia="宋体" w:cs="Times New Roman"/>
                      <w:color w:val="auto"/>
                      <w:sz w:val="21"/>
                      <w:szCs w:val="21"/>
                      <w:highlight w:val="none"/>
                    </w:rPr>
                    <w:t>2t</w:t>
                  </w:r>
                  <w:r>
                    <w:rPr>
                      <w:rFonts w:hint="eastAsia" w:ascii="宋体" w:hAnsi="宋体" w:eastAsia="宋体" w:cs="宋体"/>
                      <w:color w:val="auto"/>
                      <w:sz w:val="21"/>
                      <w:szCs w:val="21"/>
                      <w:highlight w:val="none"/>
                    </w:rPr>
                    <w:t>行车</w:t>
                  </w:r>
                </w:p>
              </w:tc>
              <w:tc>
                <w:tcPr>
                  <w:tcW w:w="1065" w:type="dxa"/>
                  <w:noWrap w:val="0"/>
                  <w:vAlign w:val="center"/>
                </w:tcPr>
                <w:p w14:paraId="4267D058">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1245" w:type="dxa"/>
                  <w:noWrap w:val="0"/>
                  <w:vAlign w:val="center"/>
                </w:tcPr>
                <w:p w14:paraId="02B67E84">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170" w:type="dxa"/>
                  <w:noWrap w:val="0"/>
                  <w:vAlign w:val="center"/>
                </w:tcPr>
                <w:p w14:paraId="387435A8">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60" w:type="dxa"/>
                  <w:noWrap w:val="0"/>
                  <w:vAlign w:val="center"/>
                </w:tcPr>
                <w:p w14:paraId="00A46DAD">
                  <w:pPr>
                    <w:widowControl/>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shd w:val="clear" w:color="auto" w:fill="FFFFFF"/>
                    </w:rPr>
                    <w:t>一致</w:t>
                  </w:r>
                </w:p>
              </w:tc>
            </w:tr>
          </w:tbl>
          <w:p w14:paraId="0832465F">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3、原项目排污许可执行情况</w:t>
            </w:r>
          </w:p>
          <w:p w14:paraId="0F8458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昆明日盛玻璃制造有限公司</w:t>
            </w:r>
            <w:r>
              <w:rPr>
                <w:rFonts w:hint="eastAsia" w:cs="Times New Roman"/>
                <w:color w:val="auto"/>
                <w:sz w:val="24"/>
                <w:szCs w:val="24"/>
                <w:highlight w:val="none"/>
                <w:lang w:val="en-US" w:eastAsia="zh-CN"/>
              </w:rPr>
              <w:t>已</w:t>
            </w:r>
            <w:r>
              <w:rPr>
                <w:rFonts w:hint="default" w:ascii="Times New Roman" w:hAnsi="Times New Roman" w:eastAsia="宋体" w:cs="Times New Roman"/>
                <w:color w:val="auto"/>
                <w:sz w:val="24"/>
                <w:szCs w:val="24"/>
                <w:highlight w:val="none"/>
                <w:lang w:val="en-US" w:eastAsia="zh-CN"/>
              </w:rPr>
              <w:t>于</w:t>
            </w:r>
            <w:r>
              <w:rPr>
                <w:rFonts w:hint="eastAsia" w:ascii="Times New Roman" w:hAnsi="Times New Roman" w:eastAsia="宋体" w:cs="Times New Roman"/>
                <w:color w:val="auto"/>
                <w:sz w:val="24"/>
                <w:szCs w:val="24"/>
                <w:highlight w:val="none"/>
                <w:lang w:val="en-US" w:eastAsia="zh-CN"/>
              </w:rPr>
              <w:t>20</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17</w:t>
            </w:r>
            <w:r>
              <w:rPr>
                <w:rFonts w:hint="eastAsia"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lang w:val="en-US" w:eastAsia="zh-CN"/>
              </w:rPr>
              <w:t>取得</w:t>
            </w:r>
            <w:r>
              <w:rPr>
                <w:rFonts w:hint="eastAsia" w:ascii="Times New Roman" w:hAnsi="Times New Roman" w:eastAsia="宋体" w:cs="Times New Roman"/>
                <w:color w:val="auto"/>
                <w:sz w:val="24"/>
                <w:szCs w:val="24"/>
                <w:highlight w:val="none"/>
                <w:lang w:val="en-US" w:eastAsia="zh-CN"/>
              </w:rPr>
              <w:t>排污许可证</w:t>
            </w:r>
            <w:r>
              <w:rPr>
                <w:rFonts w:hint="default" w:ascii="Times New Roman" w:hAnsi="Times New Roman" w:eastAsia="宋体" w:cs="Times New Roman"/>
                <w:color w:val="auto"/>
                <w:sz w:val="24"/>
                <w:szCs w:val="24"/>
                <w:highlight w:val="none"/>
                <w:lang w:val="en-US" w:eastAsia="zh-CN"/>
              </w:rPr>
              <w:t>，</w:t>
            </w:r>
            <w:r>
              <w:rPr>
                <w:rFonts w:hint="eastAsia" w:cs="Times New Roman"/>
                <w:bCs/>
                <w:color w:val="auto"/>
                <w:sz w:val="24"/>
                <w:szCs w:val="24"/>
                <w:highlight w:val="none"/>
                <w:lang w:val="en-US" w:eastAsia="zh-CN"/>
              </w:rPr>
              <w:t>许可证编号</w:t>
            </w:r>
            <w:r>
              <w:rPr>
                <w:rFonts w:hint="default" w:ascii="Times New Roman" w:hAnsi="Times New Roman" w:eastAsia="宋体" w:cs="Times New Roman"/>
                <w:color w:val="auto"/>
                <w:sz w:val="24"/>
                <w:szCs w:val="24"/>
                <w:highlight w:val="none"/>
                <w:lang w:val="en-US" w:eastAsia="zh-CN"/>
              </w:rPr>
              <w:t>：91530129309686792H001U</w:t>
            </w:r>
            <w:r>
              <w:rPr>
                <w:rFonts w:hint="eastAsia" w:cs="Times New Roman"/>
                <w:color w:val="auto"/>
                <w:sz w:val="24"/>
                <w:szCs w:val="24"/>
                <w:highlight w:val="none"/>
                <w:lang w:val="en-US" w:eastAsia="zh-CN"/>
              </w:rPr>
              <w:t>，</w:t>
            </w:r>
            <w:r>
              <w:rPr>
                <w:rFonts w:hint="eastAsia" w:cs="Times New Roman"/>
                <w:bCs/>
                <w:color w:val="auto"/>
                <w:sz w:val="24"/>
                <w:szCs w:val="24"/>
                <w:highlight w:val="none"/>
                <w:lang w:val="en-US" w:eastAsia="zh-CN"/>
              </w:rPr>
              <w:t>有效日期为2021年12月17日至2026年12月16日。原项目排污许可执行情况见下表。</w:t>
            </w:r>
          </w:p>
          <w:p w14:paraId="3819CA2F">
            <w:pPr>
              <w:adjustRightInd w:val="0"/>
              <w:snapToGrid w:val="0"/>
              <w:jc w:val="center"/>
              <w:rPr>
                <w:rFonts w:hint="eastAsia"/>
                <w:color w:val="auto"/>
                <w:highlight w:val="none"/>
                <w:lang w:val="en-US" w:eastAsia="zh-CN"/>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-1</w:t>
            </w:r>
            <w:r>
              <w:rPr>
                <w:rFonts w:hint="eastAsia"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  </w:t>
            </w:r>
            <w:r>
              <w:rPr>
                <w:rFonts w:hint="eastAsia" w:cs="Times New Roman"/>
                <w:b/>
                <w:bCs/>
                <w:color w:val="auto"/>
                <w:szCs w:val="21"/>
                <w:highlight w:val="none"/>
                <w:lang w:val="en-US" w:eastAsia="zh-CN"/>
              </w:rPr>
              <w:t>原项目排污许可执行情况一览表</w:t>
            </w:r>
          </w:p>
          <w:tbl>
            <w:tblPr>
              <w:tblStyle w:val="25"/>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945"/>
              <w:gridCol w:w="1110"/>
              <w:gridCol w:w="1440"/>
              <w:gridCol w:w="1650"/>
              <w:gridCol w:w="915"/>
              <w:gridCol w:w="705"/>
              <w:gridCol w:w="662"/>
            </w:tblGrid>
            <w:tr w14:paraId="50F7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4" w:hRule="atLeast"/>
                <w:jc w:val="center"/>
              </w:trPr>
              <w:tc>
                <w:tcPr>
                  <w:tcW w:w="907" w:type="dxa"/>
                  <w:vAlign w:val="center"/>
                </w:tcPr>
                <w:p w14:paraId="531DEEB7">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污染源类别/监测类别</w:t>
                  </w:r>
                </w:p>
              </w:tc>
              <w:tc>
                <w:tcPr>
                  <w:tcW w:w="945" w:type="dxa"/>
                  <w:vAlign w:val="center"/>
                </w:tcPr>
                <w:p w14:paraId="4E70EE3A">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eastAsia="宋体" w:cs="Times New Roman"/>
                      <w:b/>
                      <w:color w:val="auto"/>
                      <w:sz w:val="21"/>
                      <w:szCs w:val="21"/>
                      <w:highlight w:val="none"/>
                      <w:lang w:eastAsia="zh-CN"/>
                    </w:rPr>
                    <w:t>排放口编号</w:t>
                  </w:r>
                  <w:r>
                    <w:rPr>
                      <w:rFonts w:hint="eastAsia" w:eastAsia="宋体" w:cs="Times New Roman"/>
                      <w:b/>
                      <w:color w:val="auto"/>
                      <w:sz w:val="21"/>
                      <w:szCs w:val="21"/>
                      <w:highlight w:val="none"/>
                      <w:lang w:val="en-US" w:eastAsia="zh-CN"/>
                    </w:rPr>
                    <w:t>/监测点位</w:t>
                  </w:r>
                </w:p>
              </w:tc>
              <w:tc>
                <w:tcPr>
                  <w:tcW w:w="1110" w:type="dxa"/>
                  <w:vAlign w:val="center"/>
                </w:tcPr>
                <w:p w14:paraId="04F4EBA6">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eastAsia="宋体" w:cs="Times New Roman"/>
                      <w:b/>
                      <w:color w:val="auto"/>
                      <w:sz w:val="21"/>
                      <w:szCs w:val="21"/>
                      <w:highlight w:val="none"/>
                      <w:lang w:eastAsia="zh-CN"/>
                    </w:rPr>
                    <w:t>排放口名称</w:t>
                  </w:r>
                  <w:r>
                    <w:rPr>
                      <w:rFonts w:hint="eastAsia" w:eastAsia="宋体" w:cs="Times New Roman"/>
                      <w:b/>
                      <w:color w:val="auto"/>
                      <w:sz w:val="21"/>
                      <w:szCs w:val="21"/>
                      <w:highlight w:val="none"/>
                      <w:lang w:val="en-US" w:eastAsia="zh-CN"/>
                    </w:rPr>
                    <w:t>/监测点位名称</w:t>
                  </w:r>
                </w:p>
              </w:tc>
              <w:tc>
                <w:tcPr>
                  <w:tcW w:w="1440" w:type="dxa"/>
                  <w:vAlign w:val="center"/>
                </w:tcPr>
                <w:p w14:paraId="0124E98A">
                  <w:pPr>
                    <w:adjustRightInd w:val="0"/>
                    <w:snapToGrid w:val="0"/>
                    <w:spacing w:line="0" w:lineRule="atLeast"/>
                    <w:jc w:val="center"/>
                    <w:rPr>
                      <w:rFonts w:hint="default" w:cs="Times New Roman"/>
                      <w:b/>
                      <w:color w:val="auto"/>
                      <w:sz w:val="21"/>
                      <w:szCs w:val="21"/>
                      <w:highlight w:val="none"/>
                      <w:lang w:val="en-US" w:eastAsia="zh-CN"/>
                    </w:rPr>
                  </w:pPr>
                  <w:r>
                    <w:rPr>
                      <w:rFonts w:hint="eastAsia" w:cs="Times New Roman"/>
                      <w:b/>
                      <w:color w:val="auto"/>
                      <w:sz w:val="21"/>
                      <w:szCs w:val="21"/>
                      <w:highlight w:val="none"/>
                      <w:lang w:val="en-US" w:eastAsia="zh-CN"/>
                    </w:rPr>
                    <w:t>监测内容</w:t>
                  </w:r>
                </w:p>
              </w:tc>
              <w:tc>
                <w:tcPr>
                  <w:tcW w:w="1650" w:type="dxa"/>
                  <w:vAlign w:val="center"/>
                </w:tcPr>
                <w:p w14:paraId="11A518A6">
                  <w:pPr>
                    <w:adjustRightInd w:val="0"/>
                    <w:snapToGrid w:val="0"/>
                    <w:spacing w:line="0" w:lineRule="atLeast"/>
                    <w:jc w:val="center"/>
                    <w:rPr>
                      <w:rFonts w:hint="eastAsia"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污染物名称</w:t>
                  </w:r>
                </w:p>
              </w:tc>
              <w:tc>
                <w:tcPr>
                  <w:tcW w:w="915" w:type="dxa"/>
                  <w:vAlign w:val="center"/>
                </w:tcPr>
                <w:p w14:paraId="50CD0951">
                  <w:pPr>
                    <w:adjustRightInd w:val="0"/>
                    <w:snapToGrid w:val="0"/>
                    <w:spacing w:line="0" w:lineRule="atLeast"/>
                    <w:jc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手工监测采样方法及个数</w:t>
                  </w:r>
                </w:p>
              </w:tc>
              <w:tc>
                <w:tcPr>
                  <w:tcW w:w="705" w:type="dxa"/>
                  <w:vAlign w:val="center"/>
                </w:tcPr>
                <w:p w14:paraId="5C904590">
                  <w:pPr>
                    <w:adjustRightInd w:val="0"/>
                    <w:snapToGrid w:val="0"/>
                    <w:spacing w:line="0" w:lineRule="atLeast"/>
                    <w:jc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监测频次</w:t>
                  </w:r>
                </w:p>
              </w:tc>
              <w:tc>
                <w:tcPr>
                  <w:tcW w:w="662" w:type="dxa"/>
                  <w:vAlign w:val="center"/>
                </w:tcPr>
                <w:p w14:paraId="645B9729">
                  <w:pPr>
                    <w:adjustRightInd w:val="0"/>
                    <w:snapToGrid w:val="0"/>
                    <w:spacing w:line="0" w:lineRule="atLeast"/>
                    <w:jc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实际执行情况</w:t>
                  </w:r>
                </w:p>
              </w:tc>
            </w:tr>
            <w:tr w14:paraId="155C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4" w:hRule="atLeast"/>
                <w:jc w:val="center"/>
              </w:trPr>
              <w:tc>
                <w:tcPr>
                  <w:tcW w:w="907" w:type="dxa"/>
                  <w:vMerge w:val="restart"/>
                  <w:vAlign w:val="center"/>
                </w:tcPr>
                <w:p w14:paraId="1D75A39D">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945" w:type="dxa"/>
                  <w:vAlign w:val="center"/>
                </w:tcPr>
                <w:p w14:paraId="7D488CB5">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DA001</w:t>
                  </w:r>
                </w:p>
              </w:tc>
              <w:tc>
                <w:tcPr>
                  <w:tcW w:w="1110" w:type="dxa"/>
                  <w:vAlign w:val="center"/>
                </w:tcPr>
                <w:p w14:paraId="1CD2A6D8">
                  <w:pPr>
                    <w:pStyle w:val="16"/>
                    <w:adjustRightInd w:val="0"/>
                    <w:snapToGrid w:val="0"/>
                    <w:spacing w:line="0" w:lineRule="atLeast"/>
                    <w:jc w:val="both"/>
                    <w:rPr>
                      <w:rFonts w:hint="default"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活性炭吸附装置排气口</w:t>
                  </w:r>
                </w:p>
              </w:tc>
              <w:tc>
                <w:tcPr>
                  <w:tcW w:w="1440" w:type="dxa"/>
                  <w:vAlign w:val="center"/>
                </w:tcPr>
                <w:p w14:paraId="1B8554A9">
                  <w:pPr>
                    <w:pStyle w:val="16"/>
                    <w:adjustRightInd w:val="0"/>
                    <w:snapToGrid w:val="0"/>
                    <w:spacing w:line="0" w:lineRule="atLeast"/>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氧含量，烟气流速，烟气温度，烟气压力，烟气含湿量，烟道截面积，烟气量</w:t>
                  </w:r>
                </w:p>
              </w:tc>
              <w:tc>
                <w:tcPr>
                  <w:tcW w:w="1650" w:type="dxa"/>
                  <w:vAlign w:val="center"/>
                </w:tcPr>
                <w:p w14:paraId="2C6E05F4">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非甲烷总烃</w:t>
                  </w:r>
                </w:p>
              </w:tc>
              <w:tc>
                <w:tcPr>
                  <w:tcW w:w="915" w:type="dxa"/>
                  <w:vMerge w:val="restart"/>
                  <w:vAlign w:val="center"/>
                </w:tcPr>
                <w:p w14:paraId="67B78EBA">
                  <w:pPr>
                    <w:adjustRightInd w:val="0"/>
                    <w:snapToGrid w:val="0"/>
                    <w:spacing w:line="0" w:lineRule="atLeast"/>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非连续采样至少3个</w:t>
                  </w:r>
                </w:p>
              </w:tc>
              <w:tc>
                <w:tcPr>
                  <w:tcW w:w="705" w:type="dxa"/>
                  <w:vMerge w:val="restart"/>
                  <w:vAlign w:val="center"/>
                </w:tcPr>
                <w:p w14:paraId="2587C499">
                  <w:pPr>
                    <w:adjustRightInd w:val="0"/>
                    <w:snapToGrid w:val="0"/>
                    <w:spacing w:line="0" w:lineRule="atLeast"/>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1次/年</w:t>
                  </w:r>
                </w:p>
              </w:tc>
              <w:tc>
                <w:tcPr>
                  <w:tcW w:w="662" w:type="dxa"/>
                  <w:vMerge w:val="restart"/>
                  <w:vAlign w:val="center"/>
                </w:tcPr>
                <w:p w14:paraId="3E5C60A7">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与排污许可证一致</w:t>
                  </w:r>
                </w:p>
              </w:tc>
            </w:tr>
            <w:tr w14:paraId="7002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907" w:type="dxa"/>
                  <w:vMerge w:val="continue"/>
                  <w:vAlign w:val="center"/>
                </w:tcPr>
                <w:p w14:paraId="383C1F05">
                  <w:pPr>
                    <w:pStyle w:val="16"/>
                    <w:adjustRightInd w:val="0"/>
                    <w:snapToGrid w:val="0"/>
                    <w:spacing w:line="0" w:lineRule="atLeast"/>
                    <w:jc w:val="center"/>
                    <w:rPr>
                      <w:rFonts w:hint="default" w:cs="Times New Roman"/>
                      <w:color w:val="auto"/>
                      <w:kern w:val="0"/>
                      <w:sz w:val="21"/>
                      <w:szCs w:val="21"/>
                      <w:highlight w:val="none"/>
                      <w:lang w:val="en-US" w:eastAsia="zh-CN" w:bidi="ar"/>
                    </w:rPr>
                  </w:pPr>
                </w:p>
              </w:tc>
              <w:tc>
                <w:tcPr>
                  <w:tcW w:w="945" w:type="dxa"/>
                  <w:vAlign w:val="center"/>
                </w:tcPr>
                <w:p w14:paraId="4FA7E181">
                  <w:pPr>
                    <w:pStyle w:val="16"/>
                    <w:adjustRightInd w:val="0"/>
                    <w:snapToGrid w:val="0"/>
                    <w:spacing w:line="0" w:lineRule="atLeast"/>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MF0020</w:t>
                  </w:r>
                </w:p>
              </w:tc>
              <w:tc>
                <w:tcPr>
                  <w:tcW w:w="1110" w:type="dxa"/>
                  <w:vAlign w:val="center"/>
                </w:tcPr>
                <w:p w14:paraId="15054FB5">
                  <w:pPr>
                    <w:pStyle w:val="16"/>
                    <w:adjustRightInd w:val="0"/>
                    <w:snapToGrid w:val="0"/>
                    <w:spacing w:line="0" w:lineRule="atLeast"/>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w:t>
                  </w:r>
                </w:p>
              </w:tc>
              <w:tc>
                <w:tcPr>
                  <w:tcW w:w="1440" w:type="dxa"/>
                  <w:vAlign w:val="center"/>
                </w:tcPr>
                <w:p w14:paraId="75553489">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温度，气压，风速，风向</w:t>
                  </w:r>
                </w:p>
              </w:tc>
              <w:tc>
                <w:tcPr>
                  <w:tcW w:w="1650" w:type="dxa"/>
                  <w:vAlign w:val="center"/>
                </w:tcPr>
                <w:p w14:paraId="44953D5B">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非甲烷总烃</w:t>
                  </w:r>
                </w:p>
              </w:tc>
              <w:tc>
                <w:tcPr>
                  <w:tcW w:w="915" w:type="dxa"/>
                  <w:vMerge w:val="continue"/>
                  <w:vAlign w:val="center"/>
                </w:tcPr>
                <w:p w14:paraId="47DF9699">
                  <w:pPr>
                    <w:adjustRightInd w:val="0"/>
                    <w:snapToGrid w:val="0"/>
                    <w:spacing w:line="0" w:lineRule="atLeast"/>
                    <w:jc w:val="center"/>
                    <w:rPr>
                      <w:rFonts w:hint="eastAsia" w:cs="Times New Roman"/>
                      <w:color w:val="auto"/>
                      <w:kern w:val="2"/>
                      <w:sz w:val="21"/>
                      <w:szCs w:val="21"/>
                      <w:highlight w:val="none"/>
                      <w:lang w:val="en-US" w:eastAsia="zh-CN" w:bidi="ar-SA"/>
                    </w:rPr>
                  </w:pPr>
                </w:p>
              </w:tc>
              <w:tc>
                <w:tcPr>
                  <w:tcW w:w="705" w:type="dxa"/>
                  <w:vMerge w:val="continue"/>
                  <w:vAlign w:val="center"/>
                </w:tcPr>
                <w:p w14:paraId="342710C7">
                  <w:pPr>
                    <w:adjustRightInd w:val="0"/>
                    <w:snapToGrid w:val="0"/>
                    <w:spacing w:line="0" w:lineRule="atLeast"/>
                    <w:jc w:val="center"/>
                    <w:rPr>
                      <w:rFonts w:hint="eastAsia" w:cs="Times New Roman"/>
                      <w:color w:val="auto"/>
                      <w:kern w:val="2"/>
                      <w:sz w:val="21"/>
                      <w:szCs w:val="21"/>
                      <w:highlight w:val="none"/>
                      <w:lang w:val="en-US" w:eastAsia="zh-CN" w:bidi="ar-SA"/>
                    </w:rPr>
                  </w:pPr>
                </w:p>
              </w:tc>
              <w:tc>
                <w:tcPr>
                  <w:tcW w:w="662" w:type="dxa"/>
                  <w:vMerge w:val="continue"/>
                  <w:vAlign w:val="center"/>
                </w:tcPr>
                <w:p w14:paraId="235267F4">
                  <w:pPr>
                    <w:adjustRightInd w:val="0"/>
                    <w:snapToGrid w:val="0"/>
                    <w:spacing w:line="0" w:lineRule="atLeast"/>
                    <w:jc w:val="center"/>
                    <w:rPr>
                      <w:rFonts w:hint="eastAsia" w:cs="Times New Roman"/>
                      <w:color w:val="auto"/>
                      <w:kern w:val="2"/>
                      <w:sz w:val="21"/>
                      <w:szCs w:val="21"/>
                      <w:highlight w:val="none"/>
                      <w:lang w:val="en-US" w:eastAsia="zh-CN" w:bidi="ar-SA"/>
                    </w:rPr>
                  </w:pPr>
                </w:p>
              </w:tc>
            </w:tr>
            <w:tr w14:paraId="014E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907" w:type="dxa"/>
                  <w:vMerge w:val="continue"/>
                  <w:vAlign w:val="center"/>
                </w:tcPr>
                <w:p w14:paraId="56BC14C3">
                  <w:pPr>
                    <w:pStyle w:val="16"/>
                    <w:adjustRightInd w:val="0"/>
                    <w:snapToGrid w:val="0"/>
                    <w:spacing w:line="0" w:lineRule="atLeast"/>
                    <w:jc w:val="center"/>
                    <w:rPr>
                      <w:rFonts w:hint="eastAsia" w:cs="Times New Roman"/>
                      <w:color w:val="auto"/>
                      <w:sz w:val="21"/>
                      <w:szCs w:val="21"/>
                      <w:highlight w:val="none"/>
                      <w:lang w:val="en-US" w:eastAsia="zh-CN"/>
                    </w:rPr>
                  </w:pPr>
                </w:p>
              </w:tc>
              <w:tc>
                <w:tcPr>
                  <w:tcW w:w="945" w:type="dxa"/>
                  <w:vAlign w:val="center"/>
                </w:tcPr>
                <w:p w14:paraId="3363EDBF">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厂界</w:t>
                  </w:r>
                </w:p>
              </w:tc>
              <w:tc>
                <w:tcPr>
                  <w:tcW w:w="1110" w:type="dxa"/>
                  <w:vAlign w:val="center"/>
                </w:tcPr>
                <w:p w14:paraId="69B67EB4">
                  <w:pPr>
                    <w:pStyle w:val="16"/>
                    <w:adjustRightInd w:val="0"/>
                    <w:snapToGrid w:val="0"/>
                    <w:spacing w:line="0" w:lineRule="atLeast"/>
                    <w:jc w:val="center"/>
                    <w:rPr>
                      <w:rFonts w:hint="eastAsia" w:cs="Times New Roman"/>
                      <w:color w:val="auto"/>
                      <w:kern w:val="0"/>
                      <w:sz w:val="21"/>
                      <w:szCs w:val="21"/>
                      <w:highlight w:val="none"/>
                      <w:lang w:val="en-US" w:eastAsia="zh-CN" w:bidi="ar"/>
                    </w:rPr>
                  </w:pPr>
                  <w:r>
                    <w:rPr>
                      <w:rFonts w:hint="default" w:eastAsia="宋体" w:cs="Times New Roman"/>
                      <w:color w:val="auto"/>
                      <w:sz w:val="21"/>
                      <w:szCs w:val="21"/>
                      <w:highlight w:val="none"/>
                      <w:lang w:val="en-US" w:eastAsia="zh-CN"/>
                    </w:rPr>
                    <w:t>/</w:t>
                  </w:r>
                </w:p>
              </w:tc>
              <w:tc>
                <w:tcPr>
                  <w:tcW w:w="1440" w:type="dxa"/>
                  <w:vAlign w:val="center"/>
                </w:tcPr>
                <w:p w14:paraId="5748EE01">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温度，气压，风速，风向</w:t>
                  </w:r>
                </w:p>
              </w:tc>
              <w:tc>
                <w:tcPr>
                  <w:tcW w:w="1650" w:type="dxa"/>
                  <w:vAlign w:val="center"/>
                </w:tcPr>
                <w:p w14:paraId="30D14437">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臭气浓度、颗粒物、非甲烷总烃</w:t>
                  </w:r>
                </w:p>
              </w:tc>
              <w:tc>
                <w:tcPr>
                  <w:tcW w:w="915" w:type="dxa"/>
                  <w:vMerge w:val="continue"/>
                  <w:vAlign w:val="center"/>
                </w:tcPr>
                <w:p w14:paraId="131180E2">
                  <w:pPr>
                    <w:adjustRightInd w:val="0"/>
                    <w:snapToGrid w:val="0"/>
                    <w:spacing w:line="0" w:lineRule="atLeast"/>
                    <w:jc w:val="center"/>
                    <w:rPr>
                      <w:rFonts w:hint="eastAsia" w:cs="Times New Roman"/>
                      <w:color w:val="auto"/>
                      <w:kern w:val="2"/>
                      <w:sz w:val="21"/>
                      <w:szCs w:val="21"/>
                      <w:highlight w:val="none"/>
                      <w:lang w:val="en-US" w:eastAsia="zh-CN" w:bidi="ar-SA"/>
                    </w:rPr>
                  </w:pPr>
                </w:p>
              </w:tc>
              <w:tc>
                <w:tcPr>
                  <w:tcW w:w="705" w:type="dxa"/>
                  <w:vMerge w:val="continue"/>
                  <w:vAlign w:val="center"/>
                </w:tcPr>
                <w:p w14:paraId="0A428FAE">
                  <w:pPr>
                    <w:adjustRightInd w:val="0"/>
                    <w:snapToGrid w:val="0"/>
                    <w:spacing w:line="0" w:lineRule="atLeast"/>
                    <w:jc w:val="center"/>
                    <w:rPr>
                      <w:rFonts w:hint="eastAsia" w:cs="Times New Roman"/>
                      <w:color w:val="auto"/>
                      <w:kern w:val="2"/>
                      <w:sz w:val="21"/>
                      <w:szCs w:val="21"/>
                      <w:highlight w:val="none"/>
                      <w:lang w:val="en-US" w:eastAsia="zh-CN" w:bidi="ar-SA"/>
                    </w:rPr>
                  </w:pPr>
                </w:p>
              </w:tc>
              <w:tc>
                <w:tcPr>
                  <w:tcW w:w="662" w:type="dxa"/>
                  <w:vMerge w:val="continue"/>
                  <w:vAlign w:val="center"/>
                </w:tcPr>
                <w:p w14:paraId="47C887DB">
                  <w:pPr>
                    <w:adjustRightInd w:val="0"/>
                    <w:snapToGrid w:val="0"/>
                    <w:spacing w:line="0" w:lineRule="atLeast"/>
                    <w:jc w:val="center"/>
                    <w:rPr>
                      <w:rFonts w:hint="eastAsia" w:cs="Times New Roman"/>
                      <w:color w:val="auto"/>
                      <w:kern w:val="2"/>
                      <w:sz w:val="21"/>
                      <w:szCs w:val="21"/>
                      <w:highlight w:val="none"/>
                      <w:lang w:val="en-US" w:eastAsia="zh-CN" w:bidi="ar-SA"/>
                    </w:rPr>
                  </w:pPr>
                </w:p>
              </w:tc>
            </w:tr>
            <w:tr w14:paraId="3726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07" w:type="dxa"/>
                  <w:vAlign w:val="center"/>
                </w:tcPr>
                <w:p w14:paraId="6DAD9C55">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废水</w:t>
                  </w:r>
                </w:p>
              </w:tc>
              <w:tc>
                <w:tcPr>
                  <w:tcW w:w="945" w:type="dxa"/>
                  <w:vAlign w:val="center"/>
                </w:tcPr>
                <w:p w14:paraId="29BC2628">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DW001</w:t>
                  </w:r>
                </w:p>
              </w:tc>
              <w:tc>
                <w:tcPr>
                  <w:tcW w:w="1110" w:type="dxa"/>
                  <w:vAlign w:val="center"/>
                </w:tcPr>
                <w:p w14:paraId="5C275572">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一体化生活污水处理设备出口</w:t>
                  </w:r>
                </w:p>
              </w:tc>
              <w:tc>
                <w:tcPr>
                  <w:tcW w:w="1440" w:type="dxa"/>
                  <w:vAlign w:val="center"/>
                </w:tcPr>
                <w:p w14:paraId="765C3895">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流量</w:t>
                  </w:r>
                </w:p>
              </w:tc>
              <w:tc>
                <w:tcPr>
                  <w:tcW w:w="1650" w:type="dxa"/>
                  <w:vAlign w:val="center"/>
                </w:tcPr>
                <w:p w14:paraId="5B9FA620">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pH</w:t>
                  </w:r>
                  <w:r>
                    <w:rPr>
                      <w:rFonts w:hint="default" w:ascii="Times New Roman" w:hAnsi="Times New Roman" w:eastAsia="宋体" w:cs="Times New Roman"/>
                      <w:color w:val="auto"/>
                      <w:kern w:val="2"/>
                      <w:sz w:val="21"/>
                      <w:szCs w:val="21"/>
                      <w:highlight w:val="none"/>
                      <w:lang w:val="en-US" w:eastAsia="zh-CN" w:bidi="ar-SA"/>
                    </w:rPr>
                    <w:t>、色度、浑浊度、嗅和味、溶解性总固体、溶解氧、BOD</w:t>
                  </w:r>
                  <w:r>
                    <w:rPr>
                      <w:rFonts w:hint="default" w:ascii="Times New Roman" w:hAnsi="Times New Roman" w:eastAsia="宋体" w:cs="Times New Roman"/>
                      <w:color w:val="auto"/>
                      <w:kern w:val="2"/>
                      <w:sz w:val="21"/>
                      <w:szCs w:val="21"/>
                      <w:highlight w:val="none"/>
                      <w:vertAlign w:val="subscript"/>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w:t>
                  </w:r>
                </w:p>
                <w:p w14:paraId="2B051596">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氨氮（</w:t>
                  </w:r>
                  <w:r>
                    <w:rPr>
                      <w:rFonts w:hint="default" w:ascii="Times New Roman" w:hAnsi="Times New Roman" w:eastAsia="宋体" w:cs="Times New Roman"/>
                      <w:color w:val="auto"/>
                      <w:kern w:val="2"/>
                      <w:sz w:val="21"/>
                      <w:szCs w:val="21"/>
                      <w:highlight w:val="none"/>
                      <w:lang w:val="en-US" w:eastAsia="zh-CN" w:bidi="ar-SA"/>
                    </w:rPr>
                    <w:t>NH</w:t>
                  </w:r>
                  <w:r>
                    <w:rPr>
                      <w:rFonts w:hint="default"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-N</w:t>
                  </w:r>
                  <w:r>
                    <w:rPr>
                      <w:rFonts w:hint="eastAsia"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w:t>
                  </w:r>
                </w:p>
                <w:p w14:paraId="48C0903E">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阴离子表面活性剂</w:t>
                  </w:r>
                  <w:r>
                    <w:rPr>
                      <w:rFonts w:hint="default" w:ascii="Times New Roman" w:hAnsi="Times New Roman" w:eastAsia="宋体" w:cs="Times New Roman"/>
                      <w:color w:val="auto"/>
                      <w:kern w:val="2"/>
                      <w:sz w:val="21"/>
                      <w:szCs w:val="21"/>
                      <w:highlight w:val="none"/>
                      <w:lang w:val="en-US" w:eastAsia="zh-CN" w:bidi="ar-SA"/>
                    </w:rPr>
                    <w:t>、总余氯</w:t>
                  </w:r>
                  <w:r>
                    <w:rPr>
                      <w:rFonts w:hint="eastAsia" w:eastAsia="宋体" w:cs="Times New Roman"/>
                      <w:color w:val="auto"/>
                      <w:kern w:val="2"/>
                      <w:sz w:val="21"/>
                      <w:szCs w:val="21"/>
                      <w:highlight w:val="none"/>
                      <w:lang w:val="en-US" w:eastAsia="zh-CN" w:bidi="ar-SA"/>
                    </w:rPr>
                    <w:t>（以Cl计）</w:t>
                  </w:r>
                  <w:r>
                    <w:rPr>
                      <w:rFonts w:hint="default" w:ascii="Times New Roman" w:hAnsi="Times New Roman" w:eastAsia="宋体" w:cs="Times New Roman"/>
                      <w:color w:val="auto"/>
                      <w:kern w:val="2"/>
                      <w:sz w:val="21"/>
                      <w:szCs w:val="21"/>
                      <w:highlight w:val="none"/>
                      <w:lang w:val="en-US" w:eastAsia="zh-CN" w:bidi="ar-SA"/>
                    </w:rPr>
                    <w:t>、大肠埃希氏菌</w:t>
                  </w:r>
                </w:p>
              </w:tc>
              <w:tc>
                <w:tcPr>
                  <w:tcW w:w="915" w:type="dxa"/>
                  <w:vAlign w:val="center"/>
                </w:tcPr>
                <w:p w14:paraId="0AD72BB8">
                  <w:pPr>
                    <w:pStyle w:val="16"/>
                    <w:adjustRightInd w:val="0"/>
                    <w:snapToGrid w:val="0"/>
                    <w:spacing w:line="0" w:lineRule="atLeast"/>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混合采样至少3个混合样</w:t>
                  </w:r>
                </w:p>
              </w:tc>
              <w:tc>
                <w:tcPr>
                  <w:tcW w:w="705" w:type="dxa"/>
                  <w:vAlign w:val="center"/>
                </w:tcPr>
                <w:p w14:paraId="3407C06D">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1次/年</w:t>
                  </w:r>
                </w:p>
              </w:tc>
              <w:tc>
                <w:tcPr>
                  <w:tcW w:w="662" w:type="dxa"/>
                  <w:vAlign w:val="center"/>
                </w:tcPr>
                <w:p w14:paraId="153B1ACA">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与排污许可证一致</w:t>
                  </w:r>
                </w:p>
              </w:tc>
            </w:tr>
            <w:tr w14:paraId="55E4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907" w:type="dxa"/>
                  <w:vAlign w:val="center"/>
                </w:tcPr>
                <w:p w14:paraId="58DE5474">
                  <w:pPr>
                    <w:adjustRightInd w:val="0"/>
                    <w:snapToGrid w:val="0"/>
                    <w:spacing w:line="0" w:lineRule="atLeast"/>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噪声</w:t>
                  </w:r>
                </w:p>
              </w:tc>
              <w:tc>
                <w:tcPr>
                  <w:tcW w:w="945" w:type="dxa"/>
                  <w:vAlign w:val="center"/>
                </w:tcPr>
                <w:p w14:paraId="6F0E3B8A">
                  <w:pPr>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1110" w:type="dxa"/>
                  <w:vAlign w:val="center"/>
                </w:tcPr>
                <w:p w14:paraId="260839ED">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厂界外东、南、西、北1米处</w:t>
                  </w:r>
                </w:p>
              </w:tc>
              <w:tc>
                <w:tcPr>
                  <w:tcW w:w="1440" w:type="dxa"/>
                  <w:vAlign w:val="center"/>
                </w:tcPr>
                <w:p w14:paraId="76BD7536">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等效连续A声级</w:t>
                  </w:r>
                </w:p>
              </w:tc>
              <w:tc>
                <w:tcPr>
                  <w:tcW w:w="1650" w:type="dxa"/>
                  <w:vAlign w:val="center"/>
                </w:tcPr>
                <w:p w14:paraId="12320FE2">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噪声值（Leq）</w:t>
                  </w:r>
                </w:p>
              </w:tc>
              <w:tc>
                <w:tcPr>
                  <w:tcW w:w="915" w:type="dxa"/>
                  <w:vAlign w:val="center"/>
                </w:tcPr>
                <w:p w14:paraId="156C4461">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default" w:eastAsia="宋体" w:cs="Times New Roman"/>
                      <w:color w:val="auto"/>
                      <w:sz w:val="21"/>
                      <w:szCs w:val="21"/>
                      <w:highlight w:val="none"/>
                      <w:lang w:val="en-US" w:eastAsia="zh-CN"/>
                    </w:rPr>
                    <w:t>/</w:t>
                  </w:r>
                </w:p>
              </w:tc>
              <w:tc>
                <w:tcPr>
                  <w:tcW w:w="705" w:type="dxa"/>
                  <w:vAlign w:val="center"/>
                </w:tcPr>
                <w:p w14:paraId="403EB511">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1次/季度</w:t>
                  </w:r>
                </w:p>
              </w:tc>
              <w:tc>
                <w:tcPr>
                  <w:tcW w:w="662" w:type="dxa"/>
                  <w:vAlign w:val="center"/>
                </w:tcPr>
                <w:p w14:paraId="1DE29FA9">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与排污许可证一致</w:t>
                  </w:r>
                </w:p>
              </w:tc>
            </w:tr>
          </w:tbl>
          <w:p w14:paraId="1E04768B">
            <w:pPr>
              <w:adjustRightInd w:val="0"/>
              <w:snapToGrid w:val="0"/>
              <w:jc w:val="center"/>
              <w:rPr>
                <w:rFonts w:hint="eastAsia"/>
                <w:color w:val="auto"/>
                <w:highlight w:val="none"/>
                <w:lang w:val="en-US" w:eastAsia="zh-CN"/>
              </w:rPr>
            </w:pPr>
          </w:p>
          <w:p w14:paraId="79DA8ED0">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4、原项目污染物产排情况</w:t>
            </w:r>
          </w:p>
          <w:p w14:paraId="5929E89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（1）废气</w:t>
            </w:r>
          </w:p>
          <w:p w14:paraId="0A82CE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1）原项目废气治理措施</w:t>
            </w:r>
          </w:p>
          <w:p w14:paraId="332011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eastAsia="zh-CN"/>
              </w:rPr>
            </w:pPr>
            <w:r>
              <w:rPr>
                <w:rFonts w:hint="eastAsia" w:cs="Times New Roman"/>
                <w:bCs/>
                <w:color w:val="auto"/>
                <w:sz w:val="24"/>
                <w:szCs w:val="24"/>
                <w:highlight w:val="none"/>
                <w:lang w:val="en-US" w:eastAsia="zh-CN"/>
              </w:rPr>
              <w:t>根据项目实际情况，原项目废气污染防治措施见表2-13。</w:t>
            </w:r>
          </w:p>
          <w:p w14:paraId="78BCD8AD">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-1</w:t>
            </w:r>
            <w:r>
              <w:rPr>
                <w:rFonts w:hint="eastAsia"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 xml:space="preserve">  </w:t>
            </w:r>
            <w:r>
              <w:rPr>
                <w:rFonts w:hint="eastAsia" w:cs="Times New Roman"/>
                <w:b/>
                <w:bCs/>
                <w:color w:val="auto"/>
                <w:szCs w:val="21"/>
                <w:highlight w:val="none"/>
                <w:lang w:val="en-US" w:eastAsia="zh-CN"/>
              </w:rPr>
              <w:t>原项目废气污染源、防治措施及排放情况一览表</w:t>
            </w:r>
          </w:p>
          <w:tbl>
            <w:tblPr>
              <w:tblStyle w:val="25"/>
              <w:tblW w:w="8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915"/>
              <w:gridCol w:w="1635"/>
              <w:gridCol w:w="2268"/>
              <w:gridCol w:w="825"/>
              <w:gridCol w:w="1342"/>
            </w:tblGrid>
            <w:tr w14:paraId="1A61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1329" w:type="dxa"/>
                  <w:vAlign w:val="center"/>
                </w:tcPr>
                <w:p w14:paraId="158B86E3">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废气种类</w:t>
                  </w:r>
                </w:p>
              </w:tc>
              <w:tc>
                <w:tcPr>
                  <w:tcW w:w="915" w:type="dxa"/>
                  <w:vAlign w:val="center"/>
                </w:tcPr>
                <w:p w14:paraId="5B6187D1">
                  <w:pPr>
                    <w:adjustRightInd w:val="0"/>
                    <w:snapToGrid w:val="0"/>
                    <w:spacing w:line="0" w:lineRule="atLeast"/>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污染物</w:t>
                  </w:r>
                </w:p>
              </w:tc>
              <w:tc>
                <w:tcPr>
                  <w:tcW w:w="1635" w:type="dxa"/>
                  <w:vAlign w:val="center"/>
                </w:tcPr>
                <w:p w14:paraId="4BEA2C88">
                  <w:pPr>
                    <w:adjustRightInd w:val="0"/>
                    <w:snapToGrid w:val="0"/>
                    <w:spacing w:line="0" w:lineRule="atLeast"/>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治理措施</w:t>
                  </w:r>
                </w:p>
              </w:tc>
              <w:tc>
                <w:tcPr>
                  <w:tcW w:w="2268" w:type="dxa"/>
                  <w:vAlign w:val="center"/>
                </w:tcPr>
                <w:p w14:paraId="6BE5AB16">
                  <w:pPr>
                    <w:adjustRightInd w:val="0"/>
                    <w:snapToGrid w:val="0"/>
                    <w:spacing w:line="0" w:lineRule="atLeast"/>
                    <w:jc w:val="center"/>
                    <w:rPr>
                      <w:rFonts w:hint="default" w:cs="Times New Roman"/>
                      <w:b/>
                      <w:color w:val="auto"/>
                      <w:sz w:val="21"/>
                      <w:szCs w:val="21"/>
                      <w:highlight w:val="none"/>
                      <w:lang w:val="en-US" w:eastAsia="zh-CN"/>
                    </w:rPr>
                  </w:pPr>
                  <w:r>
                    <w:rPr>
                      <w:rFonts w:hint="eastAsia" w:cs="Times New Roman"/>
                      <w:b/>
                      <w:color w:val="auto"/>
                      <w:sz w:val="21"/>
                      <w:szCs w:val="21"/>
                      <w:highlight w:val="none"/>
                      <w:lang w:val="en-US" w:eastAsia="zh-CN"/>
                    </w:rPr>
                    <w:t>排放标准</w:t>
                  </w:r>
                </w:p>
              </w:tc>
              <w:tc>
                <w:tcPr>
                  <w:tcW w:w="825" w:type="dxa"/>
                  <w:vAlign w:val="center"/>
                </w:tcPr>
                <w:p w14:paraId="31CFA5B7">
                  <w:pPr>
                    <w:adjustRightInd w:val="0"/>
                    <w:snapToGrid w:val="0"/>
                    <w:spacing w:line="0" w:lineRule="atLeast"/>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排放形式</w:t>
                  </w:r>
                </w:p>
              </w:tc>
              <w:tc>
                <w:tcPr>
                  <w:tcW w:w="1342" w:type="dxa"/>
                  <w:vAlign w:val="center"/>
                </w:tcPr>
                <w:p w14:paraId="781B8EFD">
                  <w:pPr>
                    <w:adjustRightInd w:val="0"/>
                    <w:snapToGrid w:val="0"/>
                    <w:spacing w:line="0" w:lineRule="atLeast"/>
                    <w:jc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备注</w:t>
                  </w:r>
                </w:p>
              </w:tc>
            </w:tr>
            <w:tr w14:paraId="05B1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9" w:hRule="atLeast"/>
                <w:jc w:val="center"/>
              </w:trPr>
              <w:tc>
                <w:tcPr>
                  <w:tcW w:w="1329" w:type="dxa"/>
                  <w:vAlign w:val="center"/>
                </w:tcPr>
                <w:p w14:paraId="5CB94A01">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涂胶工段和封边密封工段产生的挥发性有机废气</w:t>
                  </w:r>
                </w:p>
              </w:tc>
              <w:tc>
                <w:tcPr>
                  <w:tcW w:w="915" w:type="dxa"/>
                  <w:vAlign w:val="center"/>
                </w:tcPr>
                <w:p w14:paraId="6991F5FF">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挥发性有机物</w:t>
                  </w:r>
                  <w:r>
                    <w:rPr>
                      <w:rFonts w:hint="eastAsia" w:eastAsia="宋体" w:cs="Times New Roman"/>
                      <w:color w:val="auto"/>
                      <w:sz w:val="21"/>
                      <w:szCs w:val="21"/>
                      <w:highlight w:val="none"/>
                      <w:lang w:val="en-US" w:eastAsia="zh-CN"/>
                    </w:rPr>
                    <w:t>（非甲烷总烃）</w:t>
                  </w:r>
                </w:p>
              </w:tc>
              <w:tc>
                <w:tcPr>
                  <w:tcW w:w="1635" w:type="dxa"/>
                  <w:vAlign w:val="center"/>
                </w:tcPr>
                <w:p w14:paraId="679198F3">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活性炭</w:t>
                  </w:r>
                  <w:r>
                    <w:rPr>
                      <w:rFonts w:hint="eastAsia" w:cs="Times New Roman"/>
                      <w:color w:val="auto"/>
                      <w:sz w:val="21"/>
                      <w:szCs w:val="21"/>
                      <w:highlight w:val="none"/>
                      <w:lang w:val="en-US" w:eastAsia="zh-CN"/>
                    </w:rPr>
                    <w:t>吸附净化装置</w:t>
                  </w:r>
                  <w:r>
                    <w:rPr>
                      <w:rFonts w:hint="eastAsia" w:eastAsia="宋体" w:cs="Times New Roman"/>
                      <w:color w:val="auto"/>
                      <w:sz w:val="21"/>
                      <w:szCs w:val="21"/>
                      <w:highlight w:val="none"/>
                      <w:lang w:val="en-US" w:eastAsia="zh-CN"/>
                    </w:rPr>
                    <w:t>（处理效率80%）</w:t>
                  </w:r>
                  <w:r>
                    <w:rPr>
                      <w:rFonts w:hint="eastAsia"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1 根 15m 高排气筒排放</w:t>
                  </w:r>
                </w:p>
              </w:tc>
              <w:tc>
                <w:tcPr>
                  <w:tcW w:w="2268" w:type="dxa"/>
                  <w:vAlign w:val="center"/>
                </w:tcPr>
                <w:p w14:paraId="21C5B802">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《大气污染物综合排放标准》（GB16297-1996）表2中的二级标准</w:t>
                  </w:r>
                </w:p>
              </w:tc>
              <w:tc>
                <w:tcPr>
                  <w:tcW w:w="825" w:type="dxa"/>
                  <w:vAlign w:val="center"/>
                </w:tcPr>
                <w:p w14:paraId="49F8DD2D">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w:t>
                  </w:r>
                  <w:r>
                    <w:rPr>
                      <w:rFonts w:hint="eastAsia" w:cs="Times New Roman"/>
                      <w:color w:val="auto"/>
                      <w:sz w:val="21"/>
                      <w:szCs w:val="21"/>
                      <w:highlight w:val="none"/>
                      <w:lang w:val="en-US" w:eastAsia="zh-CN"/>
                    </w:rPr>
                    <w:t>组织、无组织</w:t>
                  </w:r>
                </w:p>
              </w:tc>
              <w:tc>
                <w:tcPr>
                  <w:tcW w:w="1342" w:type="dxa"/>
                  <w:vAlign w:val="center"/>
                </w:tcPr>
                <w:p w14:paraId="4EB91374">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与环评及排污许可证一致</w:t>
                  </w:r>
                </w:p>
              </w:tc>
            </w:tr>
            <w:tr w14:paraId="6755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1329" w:type="dxa"/>
                  <w:vAlign w:val="center"/>
                </w:tcPr>
                <w:p w14:paraId="6F8DEC39">
                  <w:pPr>
                    <w:pStyle w:val="16"/>
                    <w:adjustRightInd w:val="0"/>
                    <w:snapToGrid w:val="0"/>
                    <w:spacing w:line="0" w:lineRule="atLeast"/>
                    <w:jc w:val="center"/>
                    <w:rPr>
                      <w:rFonts w:hint="default"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厂界颗粒物</w:t>
                  </w:r>
                </w:p>
              </w:tc>
              <w:tc>
                <w:tcPr>
                  <w:tcW w:w="915" w:type="dxa"/>
                  <w:vAlign w:val="center"/>
                </w:tcPr>
                <w:p w14:paraId="27DE7A33">
                  <w:pPr>
                    <w:pStyle w:val="16"/>
                    <w:adjustRightInd w:val="0"/>
                    <w:snapToGrid w:val="0"/>
                    <w:spacing w:line="0" w:lineRule="atLeast"/>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635" w:type="dxa"/>
                  <w:vAlign w:val="center"/>
                </w:tcPr>
                <w:p w14:paraId="20663888">
                  <w:pPr>
                    <w:pStyle w:val="16"/>
                    <w:adjustRightInd w:val="0"/>
                    <w:snapToGrid w:val="0"/>
                    <w:spacing w:line="0" w:lineRule="atLeast"/>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加强通风</w:t>
                  </w:r>
                </w:p>
              </w:tc>
              <w:tc>
                <w:tcPr>
                  <w:tcW w:w="2268" w:type="dxa"/>
                  <w:vAlign w:val="center"/>
                </w:tcPr>
                <w:p w14:paraId="1003683F">
                  <w:pPr>
                    <w:pStyle w:val="16"/>
                    <w:adjustRightInd w:val="0"/>
                    <w:snapToGrid w:val="0"/>
                    <w:spacing w:line="0" w:lineRule="atLeast"/>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《大气污染物综合排放标准》（GB16297-1996）表2中的二级标准</w:t>
                  </w:r>
                </w:p>
              </w:tc>
              <w:tc>
                <w:tcPr>
                  <w:tcW w:w="825" w:type="dxa"/>
                  <w:vAlign w:val="center"/>
                </w:tcPr>
                <w:p w14:paraId="05214268">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w:t>
                  </w:r>
                </w:p>
              </w:tc>
              <w:tc>
                <w:tcPr>
                  <w:tcW w:w="1342" w:type="dxa"/>
                  <w:vAlign w:val="center"/>
                </w:tcPr>
                <w:p w14:paraId="59D25601">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与环评及排污许可证一致</w:t>
                  </w:r>
                </w:p>
              </w:tc>
            </w:tr>
            <w:tr w14:paraId="740D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29" w:type="dxa"/>
                  <w:vAlign w:val="center"/>
                </w:tcPr>
                <w:p w14:paraId="20C15FEE">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厂界挥发性有机废气</w:t>
                  </w:r>
                </w:p>
              </w:tc>
              <w:tc>
                <w:tcPr>
                  <w:tcW w:w="915" w:type="dxa"/>
                  <w:vAlign w:val="center"/>
                </w:tcPr>
                <w:p w14:paraId="4540ECCF">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挥发性有机物</w:t>
                  </w:r>
                  <w:r>
                    <w:rPr>
                      <w:rFonts w:hint="eastAsia" w:eastAsia="宋体" w:cs="Times New Roman"/>
                      <w:color w:val="auto"/>
                      <w:sz w:val="21"/>
                      <w:szCs w:val="21"/>
                      <w:highlight w:val="none"/>
                      <w:lang w:val="en-US" w:eastAsia="zh-CN"/>
                    </w:rPr>
                    <w:t>（非甲烷总烃）</w:t>
                  </w:r>
                </w:p>
              </w:tc>
              <w:tc>
                <w:tcPr>
                  <w:tcW w:w="1635" w:type="dxa"/>
                  <w:vAlign w:val="center"/>
                </w:tcPr>
                <w:p w14:paraId="108AAE93">
                  <w:pPr>
                    <w:pStyle w:val="16"/>
                    <w:adjustRightInd w:val="0"/>
                    <w:snapToGrid w:val="0"/>
                    <w:spacing w:line="0" w:lineRule="atLeast"/>
                    <w:jc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车间加强通风换气，活性炭吸附净化装置</w:t>
                  </w:r>
                </w:p>
              </w:tc>
              <w:tc>
                <w:tcPr>
                  <w:tcW w:w="2268" w:type="dxa"/>
                  <w:vAlign w:val="center"/>
                </w:tcPr>
                <w:p w14:paraId="0D1302D9">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《挥发性有机物无组织排放控制标准》（GB37822-2019）中无组织排放限值</w:t>
                  </w:r>
                </w:p>
              </w:tc>
              <w:tc>
                <w:tcPr>
                  <w:tcW w:w="825" w:type="dxa"/>
                  <w:vAlign w:val="center"/>
                </w:tcPr>
                <w:p w14:paraId="5A30132F">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w:t>
                  </w:r>
                </w:p>
              </w:tc>
              <w:tc>
                <w:tcPr>
                  <w:tcW w:w="1342" w:type="dxa"/>
                  <w:vAlign w:val="center"/>
                </w:tcPr>
                <w:p w14:paraId="62169815">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与环评及排污许可证一致</w:t>
                  </w:r>
                </w:p>
              </w:tc>
            </w:tr>
            <w:tr w14:paraId="197F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6" w:hRule="atLeast"/>
                <w:jc w:val="center"/>
              </w:trPr>
              <w:tc>
                <w:tcPr>
                  <w:tcW w:w="1329" w:type="dxa"/>
                  <w:vAlign w:val="center"/>
                </w:tcPr>
                <w:p w14:paraId="4606E39D">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食堂油烟</w:t>
                  </w:r>
                </w:p>
              </w:tc>
              <w:tc>
                <w:tcPr>
                  <w:tcW w:w="915" w:type="dxa"/>
                  <w:vAlign w:val="center"/>
                </w:tcPr>
                <w:p w14:paraId="6BE94B2B">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油烟</w:t>
                  </w:r>
                </w:p>
              </w:tc>
              <w:tc>
                <w:tcPr>
                  <w:tcW w:w="1635" w:type="dxa"/>
                  <w:vAlign w:val="center"/>
                </w:tcPr>
                <w:p w14:paraId="0296A2AB">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经油烟净化器处理后由高于楼顶1.5m高排气筒排放</w:t>
                  </w:r>
                </w:p>
              </w:tc>
              <w:tc>
                <w:tcPr>
                  <w:tcW w:w="2268" w:type="dxa"/>
                  <w:vAlign w:val="center"/>
                </w:tcPr>
                <w:p w14:paraId="0FF738E2">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达到《饮食业油烟排放标准》（GB18483-2001）小型规模标准后</w:t>
                  </w:r>
                  <w:r>
                    <w:rPr>
                      <w:rFonts w:hint="eastAsia" w:cs="Times New Roman"/>
                      <w:color w:val="auto"/>
                      <w:kern w:val="0"/>
                      <w:sz w:val="21"/>
                      <w:szCs w:val="21"/>
                      <w:highlight w:val="none"/>
                      <w:lang w:val="en-US" w:eastAsia="zh-CN" w:bidi="ar"/>
                    </w:rPr>
                    <w:t>由高于楼顶1.5m高排气筒排放</w:t>
                  </w:r>
                </w:p>
              </w:tc>
              <w:tc>
                <w:tcPr>
                  <w:tcW w:w="825" w:type="dxa"/>
                  <w:vAlign w:val="center"/>
                </w:tcPr>
                <w:p w14:paraId="2D4694BA">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w:t>
                  </w:r>
                  <w:r>
                    <w:rPr>
                      <w:rFonts w:hint="eastAsia" w:cs="Times New Roman"/>
                      <w:color w:val="auto"/>
                      <w:sz w:val="21"/>
                      <w:szCs w:val="21"/>
                      <w:highlight w:val="none"/>
                      <w:lang w:val="en-US" w:eastAsia="zh-CN"/>
                    </w:rPr>
                    <w:t>组织</w:t>
                  </w:r>
                </w:p>
              </w:tc>
              <w:tc>
                <w:tcPr>
                  <w:tcW w:w="1342" w:type="dxa"/>
                  <w:vAlign w:val="center"/>
                </w:tcPr>
                <w:p w14:paraId="57D56567">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环评提出控制标准，排污许可证未提出</w:t>
                  </w:r>
                </w:p>
              </w:tc>
            </w:tr>
            <w:tr w14:paraId="79A0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329" w:type="dxa"/>
                  <w:vAlign w:val="center"/>
                </w:tcPr>
                <w:p w14:paraId="0608A5C9">
                  <w:pPr>
                    <w:adjustRightInd w:val="0"/>
                    <w:snapToGrid w:val="0"/>
                    <w:spacing w:line="0" w:lineRule="atLeast"/>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厂界异味</w:t>
                  </w:r>
                </w:p>
              </w:tc>
              <w:tc>
                <w:tcPr>
                  <w:tcW w:w="915" w:type="dxa"/>
                  <w:vAlign w:val="center"/>
                </w:tcPr>
                <w:p w14:paraId="3819A046">
                  <w:pPr>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c>
                <w:tcPr>
                  <w:tcW w:w="1635" w:type="dxa"/>
                  <w:vAlign w:val="center"/>
                </w:tcPr>
                <w:p w14:paraId="37F3E30A">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化粪池地埋式设置，一体化生活污水处理站定期喷洒除臭剂</w:t>
                  </w:r>
                </w:p>
              </w:tc>
              <w:tc>
                <w:tcPr>
                  <w:tcW w:w="2268" w:type="dxa"/>
                  <w:vAlign w:val="center"/>
                </w:tcPr>
                <w:p w14:paraId="6C606512">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《恶臭污染物排放标准》（GB14554-93）标准</w:t>
                  </w:r>
                </w:p>
              </w:tc>
              <w:tc>
                <w:tcPr>
                  <w:tcW w:w="825" w:type="dxa"/>
                  <w:vAlign w:val="center"/>
                </w:tcPr>
                <w:p w14:paraId="47DF8B8F">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w:t>
                  </w:r>
                </w:p>
              </w:tc>
              <w:tc>
                <w:tcPr>
                  <w:tcW w:w="1342" w:type="dxa"/>
                  <w:vAlign w:val="center"/>
                </w:tcPr>
                <w:p w14:paraId="4C2EDEFB">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环评未提出控制标准，排污许可证提出该标准</w:t>
                  </w:r>
                </w:p>
              </w:tc>
            </w:tr>
          </w:tbl>
          <w:p w14:paraId="14BFD7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2）原项目废气达标情况及污染物排放量</w:t>
            </w:r>
          </w:p>
          <w:p w14:paraId="5C2BA1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①有组织废气</w:t>
            </w:r>
          </w:p>
          <w:p w14:paraId="31C690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根据实际情况，原项目有组织排放的废气仅为中空玻璃生产线涂胶工段和封边密封工段产生的挥发性有机废气（以非甲烷总烃计），根据2022年1月24日监测报告，原项目1#排气筒（DA001）非甲烷总烃最高排放速率为0.015kg/h，最高排放浓度为7.63mg/m</w:t>
            </w:r>
            <w:r>
              <w:rPr>
                <w:rFonts w:hint="eastAsia" w:cs="Times New Roman"/>
                <w:bCs/>
                <w:color w:val="auto"/>
                <w:sz w:val="24"/>
                <w:szCs w:val="24"/>
                <w:highlight w:val="none"/>
                <w:vertAlign w:val="superscript"/>
                <w:lang w:val="en-US" w:eastAsia="zh-CN"/>
              </w:rPr>
              <w:t>3</w:t>
            </w:r>
            <w:r>
              <w:rPr>
                <w:rFonts w:hint="eastAsia" w:cs="Times New Roman"/>
                <w:bCs/>
                <w:color w:val="auto"/>
                <w:sz w:val="24"/>
                <w:szCs w:val="24"/>
                <w:highlight w:val="none"/>
                <w:lang w:val="en-US" w:eastAsia="zh-CN"/>
              </w:rPr>
              <w:t>，核算出的</w:t>
            </w:r>
            <w:r>
              <w:rPr>
                <w:rFonts w:hint="default" w:cs="Times New Roman"/>
                <w:bCs/>
                <w:color w:val="auto"/>
                <w:sz w:val="24"/>
                <w:szCs w:val="24"/>
                <w:highlight w:val="none"/>
                <w:lang w:val="en-US" w:eastAsia="zh-CN"/>
              </w:rPr>
              <w:t>废气</w:t>
            </w:r>
            <w:r>
              <w:rPr>
                <w:rFonts w:hint="eastAsia" w:cs="Times New Roman"/>
                <w:bCs/>
                <w:color w:val="auto"/>
                <w:sz w:val="24"/>
                <w:szCs w:val="24"/>
                <w:highlight w:val="none"/>
                <w:lang w:val="en-US" w:eastAsia="zh-CN"/>
              </w:rPr>
              <w:t>排放量为689.04</w:t>
            </w:r>
            <w:r>
              <w:rPr>
                <w:rFonts w:hint="default" w:cs="Times New Roman"/>
                <w:bCs/>
                <w:color w:val="auto"/>
                <w:sz w:val="24"/>
                <w:szCs w:val="24"/>
                <w:highlight w:val="none"/>
                <w:lang w:val="en-US" w:eastAsia="zh-CN"/>
              </w:rPr>
              <w:t>万标立方</w:t>
            </w:r>
            <w:r>
              <w:rPr>
                <w:rFonts w:hint="eastAsia" w:cs="Times New Roman"/>
                <w:bCs/>
                <w:color w:val="auto"/>
                <w:sz w:val="24"/>
                <w:szCs w:val="24"/>
                <w:highlight w:val="none"/>
                <w:lang w:val="en-US" w:eastAsia="zh-CN"/>
              </w:rPr>
              <w:t>米</w:t>
            </w:r>
            <w:r>
              <w:rPr>
                <w:rFonts w:hint="default" w:cs="Times New Roman"/>
                <w:bCs/>
                <w:color w:val="auto"/>
                <w:sz w:val="24"/>
                <w:szCs w:val="24"/>
                <w:highlight w:val="none"/>
                <w:lang w:val="en-US" w:eastAsia="zh-CN"/>
              </w:rPr>
              <w:t>/年</w:t>
            </w:r>
            <w:r>
              <w:rPr>
                <w:rFonts w:hint="eastAsia" w:cs="Times New Roman"/>
                <w:bCs/>
                <w:color w:val="auto"/>
                <w:sz w:val="24"/>
                <w:szCs w:val="24"/>
                <w:highlight w:val="none"/>
                <w:lang w:val="en-US" w:eastAsia="zh-CN"/>
              </w:rPr>
              <w:t xml:space="preserve">，挥发性有机物（以非甲烷总烃计）排放量为0.036t/a。原项目废气排放情况见下表。 </w:t>
            </w:r>
          </w:p>
          <w:p w14:paraId="0E760522">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eastAsia" w:ascii="Times New Roman" w:hAnsi="Times New Roman" w:eastAsia="宋体" w:cs="Times New Roman"/>
                <w:b/>
                <w:bCs/>
                <w:color w:val="auto"/>
                <w:szCs w:val="21"/>
                <w:highlight w:val="none"/>
                <w:lang w:val="en-US" w:eastAsia="zh-CN"/>
              </w:rPr>
              <w:t>2-1</w:t>
            </w:r>
            <w:r>
              <w:rPr>
                <w:rFonts w:hint="eastAsia" w:cs="Times New Roman"/>
                <w:b/>
                <w:bCs/>
                <w:color w:val="auto"/>
                <w:szCs w:val="21"/>
                <w:highlight w:val="none"/>
                <w:lang w:val="en-US" w:eastAsia="zh-CN"/>
              </w:rPr>
              <w:t>4</w:t>
            </w:r>
            <w:r>
              <w:rPr>
                <w:rFonts w:hint="eastAsia" w:ascii="Times New Roman" w:hAnsi="Times New Roman" w:eastAsia="宋体" w:cs="Times New Roman"/>
                <w:b/>
                <w:bCs/>
                <w:color w:val="auto"/>
                <w:szCs w:val="21"/>
                <w:highlight w:val="none"/>
                <w:lang w:val="en-US" w:eastAsia="zh-CN"/>
              </w:rPr>
              <w:t xml:space="preserve"> 原项目</w:t>
            </w:r>
            <w:r>
              <w:rPr>
                <w:rFonts w:hint="eastAsia" w:ascii="Times New Roman" w:hAnsi="Times New Roman" w:eastAsia="宋体" w:cs="Times New Roman"/>
                <w:b/>
                <w:bCs/>
                <w:color w:val="auto"/>
                <w:szCs w:val="21"/>
                <w:highlight w:val="none"/>
                <w:lang w:eastAsia="zh-CN"/>
              </w:rPr>
              <w:t>废气</w:t>
            </w:r>
            <w:r>
              <w:rPr>
                <w:rFonts w:hint="default" w:ascii="Times New Roman" w:hAnsi="Times New Roman" w:eastAsia="宋体" w:cs="Times New Roman"/>
                <w:b/>
                <w:bCs/>
                <w:color w:val="auto"/>
                <w:szCs w:val="21"/>
                <w:highlight w:val="none"/>
              </w:rPr>
              <w:t>排放</w:t>
            </w:r>
            <w:r>
              <w:rPr>
                <w:rFonts w:hint="eastAsia" w:ascii="Times New Roman" w:hAnsi="Times New Roman" w:eastAsia="宋体" w:cs="Times New Roman"/>
                <w:b/>
                <w:bCs/>
                <w:color w:val="auto"/>
                <w:szCs w:val="21"/>
                <w:highlight w:val="none"/>
                <w:lang w:eastAsia="zh-CN"/>
              </w:rPr>
              <w:t>情况一览</w:t>
            </w:r>
            <w:r>
              <w:rPr>
                <w:rFonts w:hint="default" w:ascii="Times New Roman" w:hAnsi="Times New Roman" w:eastAsia="宋体" w:cs="Times New Roman"/>
                <w:b/>
                <w:bCs/>
                <w:color w:val="auto"/>
                <w:szCs w:val="21"/>
                <w:highlight w:val="none"/>
              </w:rPr>
              <w:t xml:space="preserve">表 </w:t>
            </w:r>
          </w:p>
          <w:tbl>
            <w:tblPr>
              <w:tblStyle w:val="25"/>
              <w:tblW w:w="83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5"/>
              <w:gridCol w:w="1080"/>
              <w:gridCol w:w="1230"/>
              <w:gridCol w:w="1035"/>
              <w:gridCol w:w="960"/>
              <w:gridCol w:w="1125"/>
              <w:gridCol w:w="990"/>
              <w:gridCol w:w="1015"/>
            </w:tblGrid>
            <w:tr w14:paraId="14D48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atLeast"/>
                <w:jc w:val="center"/>
              </w:trPr>
              <w:tc>
                <w:tcPr>
                  <w:tcW w:w="563" w:type="pct"/>
                  <w:noWrap w:val="0"/>
                  <w:vAlign w:val="center"/>
                </w:tcPr>
                <w:p w14:paraId="50BF18D1">
                  <w:pPr>
                    <w:widowControl/>
                    <w:jc w:val="center"/>
                    <w:textAlignment w:val="center"/>
                    <w:rPr>
                      <w:b/>
                      <w:bCs/>
                      <w:color w:val="auto"/>
                      <w:highlight w:val="none"/>
                    </w:rPr>
                  </w:pPr>
                  <w:r>
                    <w:rPr>
                      <w:rFonts w:hint="eastAsia"/>
                      <w:b/>
                      <w:bCs/>
                      <w:color w:val="auto"/>
                      <w:highlight w:val="none"/>
                    </w:rPr>
                    <w:t>类型</w:t>
                  </w:r>
                </w:p>
              </w:tc>
              <w:tc>
                <w:tcPr>
                  <w:tcW w:w="644" w:type="pct"/>
                  <w:noWrap w:val="0"/>
                  <w:vAlign w:val="center"/>
                </w:tcPr>
                <w:p w14:paraId="6B3DBA24">
                  <w:pPr>
                    <w:widowControl/>
                    <w:jc w:val="center"/>
                    <w:textAlignment w:val="center"/>
                    <w:rPr>
                      <w:rFonts w:hint="eastAsia"/>
                      <w:b/>
                      <w:bCs/>
                      <w:color w:val="auto"/>
                      <w:highlight w:val="none"/>
                    </w:rPr>
                  </w:pPr>
                  <w:r>
                    <w:rPr>
                      <w:rFonts w:hint="eastAsia"/>
                      <w:b/>
                      <w:bCs/>
                      <w:color w:val="auto"/>
                      <w:highlight w:val="none"/>
                    </w:rPr>
                    <w:t>年运行时间</w:t>
                  </w:r>
                </w:p>
              </w:tc>
              <w:tc>
                <w:tcPr>
                  <w:tcW w:w="733" w:type="pct"/>
                  <w:noWrap w:val="0"/>
                  <w:vAlign w:val="center"/>
                </w:tcPr>
                <w:p w14:paraId="21C4CD56">
                  <w:pPr>
                    <w:widowControl/>
                    <w:jc w:val="center"/>
                    <w:textAlignment w:val="center"/>
                    <w:rPr>
                      <w:rFonts w:hint="eastAsia"/>
                      <w:b/>
                      <w:bCs/>
                      <w:color w:val="auto"/>
                      <w:highlight w:val="none"/>
                    </w:rPr>
                  </w:pPr>
                  <w:r>
                    <w:rPr>
                      <w:rFonts w:hint="eastAsia"/>
                      <w:b/>
                      <w:bCs/>
                      <w:color w:val="auto"/>
                      <w:highlight w:val="none"/>
                    </w:rPr>
                    <w:t>排气筒</w:t>
                  </w:r>
                </w:p>
              </w:tc>
              <w:tc>
                <w:tcPr>
                  <w:tcW w:w="617" w:type="pct"/>
                  <w:noWrap w:val="0"/>
                  <w:vAlign w:val="center"/>
                </w:tcPr>
                <w:p w14:paraId="3260C6B5">
                  <w:pPr>
                    <w:widowControl/>
                    <w:jc w:val="center"/>
                    <w:textAlignment w:val="center"/>
                    <w:rPr>
                      <w:b/>
                      <w:bCs/>
                      <w:color w:val="auto"/>
                      <w:highlight w:val="none"/>
                    </w:rPr>
                  </w:pPr>
                  <w:r>
                    <w:rPr>
                      <w:rFonts w:hint="eastAsia"/>
                      <w:b/>
                      <w:bCs/>
                      <w:color w:val="auto"/>
                      <w:highlight w:val="none"/>
                    </w:rPr>
                    <w:t>废气量（</w:t>
                  </w:r>
                  <w:r>
                    <w:rPr>
                      <w:rFonts w:hint="eastAsia"/>
                      <w:b/>
                      <w:bCs/>
                      <w:color w:val="auto"/>
                      <w:highlight w:val="none"/>
                      <w:lang w:eastAsia="zh-CN"/>
                    </w:rPr>
                    <w:t>万</w:t>
                  </w:r>
                  <w:r>
                    <w:rPr>
                      <w:rFonts w:hint="eastAsia"/>
                      <w:b/>
                      <w:bCs/>
                      <w:color w:val="auto"/>
                      <w:highlight w:val="none"/>
                      <w:lang w:val="en-US" w:eastAsia="zh-CN"/>
                    </w:rPr>
                    <w:t>N</w:t>
                  </w:r>
                  <w:r>
                    <w:rPr>
                      <w:b/>
                      <w:bCs/>
                      <w:color w:val="auto"/>
                      <w:highlight w:val="none"/>
                    </w:rPr>
                    <w:t>m</w:t>
                  </w:r>
                  <w:r>
                    <w:rPr>
                      <w:rFonts w:hint="eastAsia"/>
                      <w:b/>
                      <w:bCs/>
                      <w:color w:val="auto"/>
                      <w:highlight w:val="none"/>
                      <w:vertAlign w:val="superscript"/>
                    </w:rPr>
                    <w:t>3</w:t>
                  </w:r>
                  <w:r>
                    <w:rPr>
                      <w:rFonts w:hint="eastAsia"/>
                      <w:b/>
                      <w:bCs/>
                      <w:color w:val="auto"/>
                      <w:highlight w:val="none"/>
                    </w:rPr>
                    <w:t>/a）</w:t>
                  </w:r>
                </w:p>
              </w:tc>
              <w:tc>
                <w:tcPr>
                  <w:tcW w:w="572" w:type="pct"/>
                  <w:noWrap w:val="0"/>
                  <w:vAlign w:val="center"/>
                </w:tcPr>
                <w:p w14:paraId="3C60CB5A">
                  <w:pPr>
                    <w:widowControl/>
                    <w:jc w:val="center"/>
                    <w:textAlignment w:val="center"/>
                    <w:rPr>
                      <w:b/>
                      <w:bCs/>
                      <w:color w:val="auto"/>
                      <w:highlight w:val="none"/>
                    </w:rPr>
                  </w:pPr>
                  <w:r>
                    <w:rPr>
                      <w:rFonts w:hint="eastAsia"/>
                      <w:b/>
                      <w:bCs/>
                      <w:color w:val="auto"/>
                      <w:highlight w:val="none"/>
                    </w:rPr>
                    <w:t>污染物</w:t>
                  </w:r>
                </w:p>
              </w:tc>
              <w:tc>
                <w:tcPr>
                  <w:tcW w:w="671" w:type="pct"/>
                  <w:noWrap w:val="0"/>
                  <w:vAlign w:val="center"/>
                </w:tcPr>
                <w:p w14:paraId="07AF089A">
                  <w:pPr>
                    <w:widowControl/>
                    <w:jc w:val="center"/>
                    <w:textAlignment w:val="center"/>
                    <w:rPr>
                      <w:rFonts w:hint="eastAsia"/>
                      <w:b/>
                      <w:bCs/>
                      <w:color w:val="auto"/>
                      <w:highlight w:val="none"/>
                    </w:rPr>
                  </w:pPr>
                  <w:r>
                    <w:rPr>
                      <w:rFonts w:hint="eastAsia"/>
                      <w:b/>
                      <w:bCs/>
                      <w:color w:val="auto"/>
                      <w:highlight w:val="none"/>
                    </w:rPr>
                    <w:t>最大监测浓度</w:t>
                  </w:r>
                </w:p>
                <w:p w14:paraId="47CE217A">
                  <w:pPr>
                    <w:widowControl/>
                    <w:jc w:val="center"/>
                    <w:textAlignment w:val="center"/>
                    <w:rPr>
                      <w:b/>
                      <w:bCs/>
                      <w:color w:val="auto"/>
                      <w:highlight w:val="none"/>
                    </w:rPr>
                  </w:pPr>
                  <w:r>
                    <w:rPr>
                      <w:rFonts w:hint="eastAsia"/>
                      <w:b/>
                      <w:bCs/>
                      <w:color w:val="auto"/>
                      <w:highlight w:val="none"/>
                    </w:rPr>
                    <w:t>（</w:t>
                  </w:r>
                  <w:r>
                    <w:rPr>
                      <w:b/>
                      <w:bCs/>
                      <w:color w:val="auto"/>
                      <w:highlight w:val="none"/>
                    </w:rPr>
                    <w:t>mg/m</w:t>
                  </w:r>
                  <w:r>
                    <w:rPr>
                      <w:rFonts w:hint="eastAsia"/>
                      <w:b/>
                      <w:bCs/>
                      <w:color w:val="auto"/>
                      <w:highlight w:val="none"/>
                      <w:vertAlign w:val="superscript"/>
                    </w:rPr>
                    <w:t>3</w:t>
                  </w:r>
                  <w:r>
                    <w:rPr>
                      <w:rFonts w:hint="eastAsia"/>
                      <w:b/>
                      <w:bCs/>
                      <w:color w:val="auto"/>
                      <w:highlight w:val="none"/>
                    </w:rPr>
                    <w:t>）</w:t>
                  </w:r>
                </w:p>
              </w:tc>
              <w:tc>
                <w:tcPr>
                  <w:tcW w:w="590" w:type="pct"/>
                  <w:noWrap w:val="0"/>
                  <w:vAlign w:val="center"/>
                </w:tcPr>
                <w:p w14:paraId="32BC9413">
                  <w:pPr>
                    <w:widowControl/>
                    <w:jc w:val="center"/>
                    <w:textAlignment w:val="center"/>
                    <w:rPr>
                      <w:rFonts w:hint="eastAsia"/>
                      <w:b/>
                      <w:bCs/>
                      <w:color w:val="auto"/>
                      <w:highlight w:val="none"/>
                    </w:rPr>
                  </w:pPr>
                  <w:r>
                    <w:rPr>
                      <w:rFonts w:hint="eastAsia"/>
                      <w:b/>
                      <w:bCs/>
                      <w:color w:val="auto"/>
                      <w:highlight w:val="none"/>
                    </w:rPr>
                    <w:t>最大排放速率</w:t>
                  </w:r>
                </w:p>
                <w:p w14:paraId="15D4BB7C">
                  <w:pPr>
                    <w:widowControl/>
                    <w:jc w:val="center"/>
                    <w:textAlignment w:val="center"/>
                    <w:rPr>
                      <w:b/>
                      <w:bCs/>
                      <w:color w:val="auto"/>
                      <w:highlight w:val="none"/>
                    </w:rPr>
                  </w:pPr>
                  <w:r>
                    <w:rPr>
                      <w:rFonts w:hint="eastAsia"/>
                      <w:b/>
                      <w:bCs/>
                      <w:color w:val="auto"/>
                      <w:highlight w:val="none"/>
                    </w:rPr>
                    <w:t>（kg/h）</w:t>
                  </w:r>
                </w:p>
              </w:tc>
              <w:tc>
                <w:tcPr>
                  <w:tcW w:w="605" w:type="pct"/>
                  <w:noWrap w:val="0"/>
                  <w:vAlign w:val="center"/>
                </w:tcPr>
                <w:p w14:paraId="79966356">
                  <w:pPr>
                    <w:widowControl/>
                    <w:jc w:val="center"/>
                    <w:textAlignment w:val="center"/>
                    <w:rPr>
                      <w:b/>
                      <w:bCs/>
                      <w:color w:val="auto"/>
                      <w:highlight w:val="none"/>
                    </w:rPr>
                  </w:pPr>
                  <w:r>
                    <w:rPr>
                      <w:rFonts w:hint="eastAsia"/>
                      <w:b/>
                      <w:bCs/>
                      <w:color w:val="auto"/>
                      <w:highlight w:val="none"/>
                    </w:rPr>
                    <w:t>污染物排放总量（</w:t>
                  </w:r>
                  <w:r>
                    <w:rPr>
                      <w:rFonts w:hint="eastAsia"/>
                      <w:b/>
                      <w:bCs/>
                      <w:color w:val="auto"/>
                      <w:highlight w:val="none"/>
                      <w:lang w:val="en-US" w:eastAsia="zh-CN"/>
                    </w:rPr>
                    <w:t>t</w:t>
                  </w:r>
                  <w:r>
                    <w:rPr>
                      <w:b/>
                      <w:bCs/>
                      <w:color w:val="auto"/>
                      <w:highlight w:val="none"/>
                    </w:rPr>
                    <w:t>/</w:t>
                  </w:r>
                  <w:r>
                    <w:rPr>
                      <w:rFonts w:hint="eastAsia"/>
                      <w:b/>
                      <w:bCs/>
                      <w:color w:val="auto"/>
                      <w:highlight w:val="none"/>
                      <w:lang w:val="en-US" w:eastAsia="zh-CN"/>
                    </w:rPr>
                    <w:t>a</w:t>
                  </w:r>
                  <w:r>
                    <w:rPr>
                      <w:rFonts w:hint="eastAsia"/>
                      <w:b/>
                      <w:bCs/>
                      <w:color w:val="auto"/>
                      <w:highlight w:val="none"/>
                    </w:rPr>
                    <w:t>）</w:t>
                  </w:r>
                </w:p>
              </w:tc>
            </w:tr>
            <w:tr w14:paraId="0A781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4" w:hRule="atLeast"/>
                <w:jc w:val="center"/>
              </w:trPr>
              <w:tc>
                <w:tcPr>
                  <w:tcW w:w="563" w:type="pct"/>
                  <w:noWrap w:val="0"/>
                  <w:vAlign w:val="center"/>
                </w:tcPr>
                <w:p w14:paraId="7DB667F6">
                  <w:pPr>
                    <w:widowControl/>
                    <w:jc w:val="center"/>
                    <w:textAlignment w:val="center"/>
                    <w:rPr>
                      <w:color w:val="auto"/>
                      <w:highlight w:val="none"/>
                    </w:rPr>
                  </w:pPr>
                  <w:r>
                    <w:rPr>
                      <w:rFonts w:hint="eastAsia"/>
                      <w:color w:val="auto"/>
                      <w:highlight w:val="none"/>
                      <w:lang w:eastAsia="zh-CN"/>
                    </w:rPr>
                    <w:t>有组织</w:t>
                  </w:r>
                  <w:r>
                    <w:rPr>
                      <w:rFonts w:hint="eastAsia"/>
                      <w:color w:val="auto"/>
                      <w:highlight w:val="none"/>
                    </w:rPr>
                    <w:t>废气</w:t>
                  </w:r>
                </w:p>
              </w:tc>
              <w:tc>
                <w:tcPr>
                  <w:tcW w:w="644" w:type="pct"/>
                  <w:noWrap w:val="0"/>
                  <w:vAlign w:val="center"/>
                </w:tcPr>
                <w:p w14:paraId="775C768D">
                  <w:pPr>
                    <w:widowControl/>
                    <w:jc w:val="center"/>
                    <w:textAlignment w:val="center"/>
                    <w:rPr>
                      <w:rFonts w:hint="eastAsia"/>
                      <w:color w:val="auto"/>
                      <w:highlight w:val="none"/>
                    </w:rPr>
                  </w:pPr>
                  <w:r>
                    <w:rPr>
                      <w:color w:val="auto"/>
                      <w:highlight w:val="none"/>
                    </w:rPr>
                    <w:t>300d</w:t>
                  </w:r>
                  <w:r>
                    <w:rPr>
                      <w:rFonts w:hint="default" w:ascii="Arial" w:hAnsi="Arial" w:cs="Arial"/>
                      <w:color w:val="auto"/>
                      <w:highlight w:val="none"/>
                    </w:rPr>
                    <w:t>×</w:t>
                  </w:r>
                  <w:r>
                    <w:rPr>
                      <w:rFonts w:hint="eastAsia"/>
                      <w:color w:val="auto"/>
                      <w:highlight w:val="none"/>
                    </w:rPr>
                    <w:t>8h/d=2400h</w:t>
                  </w:r>
                </w:p>
              </w:tc>
              <w:tc>
                <w:tcPr>
                  <w:tcW w:w="733" w:type="pct"/>
                  <w:noWrap w:val="0"/>
                  <w:vAlign w:val="center"/>
                </w:tcPr>
                <w:p w14:paraId="690F2960">
                  <w:pPr>
                    <w:widowControl/>
                    <w:jc w:val="center"/>
                    <w:textAlignment w:val="center"/>
                    <w:rPr>
                      <w:rFonts w:hint="eastAsia"/>
                      <w:color w:val="auto"/>
                      <w:highlight w:val="none"/>
                    </w:rPr>
                  </w:pPr>
                  <w:r>
                    <w:rPr>
                      <w:rFonts w:hint="eastAsia"/>
                      <w:color w:val="auto"/>
                      <w:highlight w:val="none"/>
                    </w:rPr>
                    <w:t>1#</w:t>
                  </w:r>
                </w:p>
                <w:p w14:paraId="2613512B">
                  <w:pPr>
                    <w:widowControl/>
                    <w:jc w:val="center"/>
                    <w:textAlignment w:val="center"/>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DA001</w:t>
                  </w:r>
                  <w:r>
                    <w:rPr>
                      <w:rFonts w:hint="eastAsia"/>
                      <w:color w:val="auto"/>
                      <w:highlight w:val="none"/>
                      <w:lang w:eastAsia="zh-CN"/>
                    </w:rPr>
                    <w:t>）</w:t>
                  </w:r>
                </w:p>
              </w:tc>
              <w:tc>
                <w:tcPr>
                  <w:tcW w:w="617" w:type="pct"/>
                  <w:noWrap/>
                  <w:vAlign w:val="center"/>
                </w:tcPr>
                <w:p w14:paraId="37720B86">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689.04</w:t>
                  </w:r>
                </w:p>
              </w:tc>
              <w:tc>
                <w:tcPr>
                  <w:tcW w:w="572" w:type="pct"/>
                  <w:noWrap/>
                  <w:vAlign w:val="center"/>
                </w:tcPr>
                <w:p w14:paraId="1829E526">
                  <w:pPr>
                    <w:pStyle w:val="93"/>
                    <w:jc w:val="center"/>
                    <w:outlineLvl w:val="9"/>
                    <w:rPr>
                      <w:rFonts w:ascii="Times New Roman" w:hAnsi="Times New Roman"/>
                      <w:b w:val="0"/>
                      <w:bCs w:val="0"/>
                      <w:color w:val="auto"/>
                      <w:kern w:val="2"/>
                      <w:szCs w:val="24"/>
                      <w:highlight w:val="none"/>
                    </w:rPr>
                  </w:pPr>
                  <w:r>
                    <w:rPr>
                      <w:rFonts w:hint="eastAsia" w:ascii="Times New Roman" w:hAnsi="Times New Roman"/>
                      <w:b w:val="0"/>
                      <w:bCs w:val="0"/>
                      <w:color w:val="auto"/>
                      <w:kern w:val="2"/>
                      <w:szCs w:val="24"/>
                      <w:highlight w:val="none"/>
                    </w:rPr>
                    <w:t>非甲烷总烃</w:t>
                  </w:r>
                </w:p>
              </w:tc>
              <w:tc>
                <w:tcPr>
                  <w:tcW w:w="671" w:type="pct"/>
                  <w:noWrap w:val="0"/>
                  <w:vAlign w:val="center"/>
                </w:tcPr>
                <w:p w14:paraId="5FD8499B">
                  <w:pPr>
                    <w:widowControl/>
                    <w:jc w:val="center"/>
                    <w:textAlignment w:val="center"/>
                    <w:rPr>
                      <w:color w:val="auto"/>
                      <w:highlight w:val="none"/>
                    </w:rPr>
                  </w:pPr>
                  <w:r>
                    <w:rPr>
                      <w:rFonts w:hint="eastAsia"/>
                      <w:color w:val="auto"/>
                      <w:highlight w:val="none"/>
                    </w:rPr>
                    <w:t>7.63</w:t>
                  </w:r>
                </w:p>
              </w:tc>
              <w:tc>
                <w:tcPr>
                  <w:tcW w:w="590" w:type="pct"/>
                  <w:noWrap w:val="0"/>
                  <w:vAlign w:val="center"/>
                </w:tcPr>
                <w:p w14:paraId="177B1D7D">
                  <w:pPr>
                    <w:widowControl/>
                    <w:jc w:val="center"/>
                    <w:textAlignment w:val="center"/>
                    <w:rPr>
                      <w:color w:val="auto"/>
                      <w:highlight w:val="none"/>
                    </w:rPr>
                  </w:pPr>
                  <w:r>
                    <w:rPr>
                      <w:rFonts w:hint="eastAsia"/>
                      <w:color w:val="auto"/>
                      <w:highlight w:val="none"/>
                    </w:rPr>
                    <w:t>0.015</w:t>
                  </w:r>
                </w:p>
              </w:tc>
              <w:tc>
                <w:tcPr>
                  <w:tcW w:w="605" w:type="pct"/>
                  <w:noWrap w:val="0"/>
                  <w:vAlign w:val="center"/>
                </w:tcPr>
                <w:p w14:paraId="29924F4C">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0.036</w:t>
                  </w:r>
                </w:p>
              </w:tc>
            </w:tr>
          </w:tbl>
          <w:p w14:paraId="26EF6D48">
            <w:pPr>
              <w:spacing w:line="360" w:lineRule="auto"/>
              <w:ind w:firstLine="480"/>
              <w:rPr>
                <w:rFonts w:hint="eastAsia" w:ascii="宋体" w:hAnsi="宋体"/>
                <w:b w:val="0"/>
                <w:bCs w:val="0"/>
                <w:color w:val="auto"/>
                <w:sz w:val="24"/>
                <w:highlight w:val="none"/>
                <w:lang w:val="zh-CN"/>
              </w:rPr>
            </w:pPr>
            <w:r>
              <w:rPr>
                <w:rFonts w:hint="eastAsia" w:ascii="宋体" w:hAnsi="宋体"/>
                <w:b w:val="0"/>
                <w:bCs w:val="0"/>
                <w:color w:val="auto"/>
                <w:sz w:val="24"/>
                <w:highlight w:val="none"/>
                <w:lang w:val="zh-CN"/>
              </w:rPr>
              <w:t>验收监测结果显示，原项目</w:t>
            </w:r>
            <w:r>
              <w:rPr>
                <w:rFonts w:hint="eastAsia" w:ascii="宋体" w:hAnsi="宋体"/>
                <w:b w:val="0"/>
                <w:bCs w:val="0"/>
                <w:color w:val="auto"/>
                <w:sz w:val="24"/>
                <w:highlight w:val="none"/>
              </w:rPr>
              <w:t>1#排气筒排放的废气污染物浓度</w:t>
            </w:r>
            <w:r>
              <w:rPr>
                <w:rFonts w:hint="eastAsia" w:ascii="宋体" w:hAnsi="宋体"/>
                <w:b w:val="0"/>
                <w:bCs w:val="0"/>
                <w:color w:val="auto"/>
                <w:sz w:val="24"/>
                <w:highlight w:val="none"/>
                <w:lang w:eastAsia="zh-CN"/>
              </w:rPr>
              <w:t>能够</w:t>
            </w:r>
            <w:r>
              <w:rPr>
                <w:rFonts w:hint="eastAsia" w:ascii="宋体" w:hAnsi="宋体"/>
                <w:b w:val="0"/>
                <w:bCs w:val="0"/>
                <w:color w:val="auto"/>
                <w:sz w:val="24"/>
                <w:highlight w:val="none"/>
                <w:lang w:val="zh-CN"/>
              </w:rPr>
              <w:t>满足</w:t>
            </w:r>
            <w:r>
              <w:rPr>
                <w:b w:val="0"/>
                <w:bCs w:val="0"/>
                <w:color w:val="auto"/>
                <w:sz w:val="24"/>
                <w:highlight w:val="none"/>
              </w:rPr>
              <w:t>《大气污染物综合排放标准》</w:t>
            </w:r>
            <w:r>
              <w:rPr>
                <w:rFonts w:hint="eastAsia"/>
                <w:b w:val="0"/>
                <w:bCs w:val="0"/>
                <w:color w:val="auto"/>
                <w:sz w:val="24"/>
                <w:highlight w:val="none"/>
              </w:rPr>
              <w:t>（</w:t>
            </w:r>
            <w:r>
              <w:rPr>
                <w:b w:val="0"/>
                <w:bCs w:val="0"/>
                <w:color w:val="auto"/>
                <w:sz w:val="24"/>
                <w:highlight w:val="none"/>
              </w:rPr>
              <w:t>GB16297-1996</w:t>
            </w:r>
            <w:r>
              <w:rPr>
                <w:rFonts w:hint="eastAsia"/>
                <w:b w:val="0"/>
                <w:bCs w:val="0"/>
                <w:color w:val="auto"/>
                <w:sz w:val="24"/>
                <w:highlight w:val="none"/>
              </w:rPr>
              <w:t>）</w:t>
            </w:r>
            <w:r>
              <w:rPr>
                <w:b w:val="0"/>
                <w:bCs w:val="0"/>
                <w:color w:val="auto"/>
                <w:sz w:val="24"/>
                <w:highlight w:val="none"/>
              </w:rPr>
              <w:t>表2标准</w:t>
            </w:r>
            <w:r>
              <w:rPr>
                <w:rFonts w:hint="eastAsia" w:ascii="宋体" w:hAnsi="宋体"/>
                <w:b w:val="0"/>
                <w:bCs w:val="0"/>
                <w:color w:val="auto"/>
                <w:sz w:val="24"/>
                <w:highlight w:val="none"/>
                <w:lang w:val="zh-CN"/>
              </w:rPr>
              <w:t>。</w:t>
            </w:r>
          </w:p>
          <w:p w14:paraId="185BA7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highlight w:val="none"/>
                <w:lang w:val="zh-CN" w:eastAsia="zh-CN"/>
              </w:rPr>
            </w:pPr>
            <w:r>
              <w:rPr>
                <w:rFonts w:hint="eastAsia" w:ascii="Times New Roman" w:hAnsi="Times New Roman" w:eastAsia="宋体" w:cs="Times New Roman"/>
                <w:bCs/>
                <w:color w:val="auto"/>
                <w:sz w:val="24"/>
                <w:szCs w:val="24"/>
                <w:highlight w:val="none"/>
                <w:lang w:val="en-US" w:eastAsia="zh-CN"/>
              </w:rPr>
              <w:t>②</w:t>
            </w:r>
            <w:r>
              <w:rPr>
                <w:rFonts w:hint="eastAsia" w:ascii="Times New Roman" w:hAnsi="Times New Roman" w:eastAsia="宋体" w:cs="Times New Roman"/>
                <w:bCs/>
                <w:color w:val="auto"/>
                <w:sz w:val="24"/>
                <w:szCs w:val="24"/>
                <w:highlight w:val="none"/>
                <w:lang w:val="zh-CN" w:eastAsia="zh-CN"/>
              </w:rPr>
              <w:t>无组织废气</w:t>
            </w:r>
          </w:p>
          <w:p w14:paraId="5C4D72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zh-CN" w:eastAsia="zh-CN"/>
              </w:rPr>
              <w:t>根据2022年1月24日验收监测结果，原项目周界</w:t>
            </w:r>
            <w:r>
              <w:rPr>
                <w:rFonts w:hint="eastAsia" w:ascii="Times New Roman" w:hAnsi="Times New Roman" w:eastAsia="宋体"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zh-CN" w:eastAsia="zh-CN"/>
              </w:rPr>
              <w:t>个监测点（厂界上风向</w:t>
            </w:r>
            <w:r>
              <w:rPr>
                <w:rFonts w:hint="eastAsia" w:ascii="Times New Roman" w:hAnsi="Times New Roman" w:eastAsia="宋体" w:cs="Times New Roman"/>
                <w:bCs/>
                <w:color w:val="auto"/>
                <w:sz w:val="24"/>
                <w:szCs w:val="24"/>
                <w:highlight w:val="none"/>
                <w:lang w:val="en-US" w:eastAsia="zh-CN"/>
              </w:rPr>
              <w:t>1个监测点、下风向2个监测点</w:t>
            </w:r>
            <w:r>
              <w:rPr>
                <w:rFonts w:hint="eastAsia" w:ascii="Times New Roman" w:hAnsi="Times New Roman" w:eastAsia="宋体" w:cs="Times New Roman"/>
                <w:bCs/>
                <w:color w:val="auto"/>
                <w:sz w:val="24"/>
                <w:szCs w:val="24"/>
                <w:highlight w:val="none"/>
                <w:lang w:val="zh-CN" w:eastAsia="zh-CN"/>
              </w:rPr>
              <w:t>）</w:t>
            </w:r>
            <w:r>
              <w:rPr>
                <w:rFonts w:hint="eastAsia" w:ascii="Times New Roman" w:hAnsi="Times New Roman" w:eastAsia="宋体" w:cs="Times New Roman"/>
                <w:bCs/>
                <w:color w:val="auto"/>
                <w:sz w:val="24"/>
                <w:szCs w:val="24"/>
                <w:highlight w:val="none"/>
                <w:lang w:val="en-US" w:eastAsia="zh-CN"/>
              </w:rPr>
              <w:t>中各废气污染物浓度满足《大气污染物综合排放标准》（GB16297-1996）表2标准，臭气浓度满足GB14554-93《恶臭污染物排放标准》二级标准，原项目厂界无组织废气达标排放。</w:t>
            </w:r>
          </w:p>
          <w:p w14:paraId="4AB5C9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③</w:t>
            </w:r>
            <w:r>
              <w:rPr>
                <w:rFonts w:hint="eastAsia" w:ascii="Times New Roman" w:hAnsi="Times New Roman" w:eastAsia="宋体" w:cs="Times New Roman"/>
                <w:bCs/>
                <w:color w:val="auto"/>
                <w:sz w:val="24"/>
                <w:szCs w:val="24"/>
                <w:highlight w:val="none"/>
                <w:lang w:val="en-US" w:eastAsia="zh-CN"/>
              </w:rPr>
              <w:t>厂界内挥发性有机物</w:t>
            </w:r>
          </w:p>
          <w:p w14:paraId="49B705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验收期间</w:t>
            </w:r>
            <w:r>
              <w:rPr>
                <w:rFonts w:hint="eastAsia" w:ascii="Times New Roman" w:hAnsi="Times New Roman" w:eastAsia="宋体" w:cs="Times New Roman"/>
                <w:bCs/>
                <w:color w:val="auto"/>
                <w:sz w:val="24"/>
                <w:szCs w:val="24"/>
                <w:highlight w:val="none"/>
                <w:lang w:val="en-US" w:eastAsia="zh-CN"/>
              </w:rPr>
              <w:t>在原项目生产车间内设置1个挥发性有机物排放监测点，</w:t>
            </w:r>
            <w:r>
              <w:rPr>
                <w:rFonts w:hint="eastAsia" w:ascii="Times New Roman" w:hAnsi="Times New Roman" w:eastAsia="宋体" w:cs="Times New Roman"/>
                <w:bCs/>
                <w:color w:val="auto"/>
                <w:sz w:val="24"/>
                <w:szCs w:val="24"/>
                <w:highlight w:val="none"/>
                <w:lang w:val="zh-CN" w:eastAsia="zh-CN"/>
              </w:rPr>
              <w:t>根据2022年1月24日验收监测结果</w:t>
            </w:r>
            <w:r>
              <w:rPr>
                <w:rFonts w:hint="eastAsia" w:ascii="Times New Roman" w:hAnsi="Times New Roman" w:eastAsia="宋体" w:cs="Times New Roman"/>
                <w:bCs/>
                <w:color w:val="auto"/>
                <w:sz w:val="24"/>
                <w:szCs w:val="24"/>
                <w:highlight w:val="none"/>
                <w:lang w:val="en-US" w:eastAsia="zh-CN"/>
              </w:rPr>
              <w:t>，原项目厂界内非甲烷总烃无组织浓度满足《挥发性有机物无组织排放控制标准》（GB37822-2019）中的排放限值。</w:t>
            </w:r>
          </w:p>
          <w:p w14:paraId="6B04261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（2）废水</w:t>
            </w:r>
          </w:p>
          <w:p w14:paraId="2A16EA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1）废水治理现状</w:t>
            </w:r>
          </w:p>
          <w:p w14:paraId="1E5308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原项目实行雨污分流制，建有配套的雨水管网，雨水经雨水沟收集后进入园区雨水管网。废水主要为生产废水、生活污水（含食堂废水），生产废水均通过沉淀池沉淀后循环使用，不外排；食堂废水经隔油池处理后与其他生活污水一并进入化粪池处理后，再进入自建生活污水处理站处理达《城市污水再生利用 城市杂用水水质》（GB/T18920-2020）中城市绿化、道路广场浇洒、消防、建筑施工标准后回用于项目区绿化和道路广场浇洒，不外排。根据项目实际情况，原项目废水污染物治理措施及排放情况见表2-15。</w:t>
            </w:r>
          </w:p>
          <w:p w14:paraId="534615D2">
            <w:pPr>
              <w:adjustRightInd w:val="0"/>
              <w:snapToGrid w:val="0"/>
              <w:jc w:val="center"/>
              <w:rPr>
                <w:rFonts w:hint="default" w:ascii="Times New Roman" w:hAnsi="Times New Roman" w:eastAsia="宋体" w:cs="Times New Roman"/>
                <w:b/>
                <w:bCs/>
                <w:color w:val="auto"/>
                <w:szCs w:val="21"/>
                <w:highlight w:val="none"/>
              </w:rPr>
            </w:pPr>
          </w:p>
          <w:p w14:paraId="21A67EA0">
            <w:pPr>
              <w:adjustRightInd w:val="0"/>
              <w:snapToGrid w:val="0"/>
              <w:jc w:val="center"/>
              <w:rPr>
                <w:rFonts w:hint="default" w:ascii="Times New Roman" w:hAnsi="Times New Roman" w:eastAsia="宋体" w:cs="Times New Roman"/>
                <w:b/>
                <w:bCs/>
                <w:color w:val="auto"/>
                <w:szCs w:val="21"/>
                <w:highlight w:val="none"/>
              </w:rPr>
            </w:pPr>
          </w:p>
          <w:p w14:paraId="278558E0">
            <w:pPr>
              <w:adjustRightInd w:val="0"/>
              <w:snapToGrid w:val="0"/>
              <w:jc w:val="center"/>
              <w:rPr>
                <w:rFonts w:hint="default" w:ascii="Times New Roman" w:hAnsi="Times New Roman" w:eastAsia="宋体" w:cs="Times New Roman"/>
                <w:b/>
                <w:bCs/>
                <w:color w:val="auto"/>
                <w:szCs w:val="21"/>
                <w:highlight w:val="none"/>
              </w:rPr>
            </w:pPr>
          </w:p>
          <w:p w14:paraId="2D5CD6C3">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-1</w:t>
            </w:r>
            <w:r>
              <w:rPr>
                <w:rFonts w:hint="eastAsia"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w:t>
            </w:r>
            <w:r>
              <w:rPr>
                <w:rFonts w:hint="eastAsia" w:cs="Times New Roman"/>
                <w:b/>
                <w:bCs/>
                <w:color w:val="auto"/>
                <w:szCs w:val="21"/>
                <w:highlight w:val="none"/>
                <w:lang w:val="en-US" w:eastAsia="zh-CN"/>
              </w:rPr>
              <w:t>原项目废水产生及处理措施一览表</w:t>
            </w:r>
          </w:p>
          <w:tbl>
            <w:tblPr>
              <w:tblStyle w:val="25"/>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615"/>
              <w:gridCol w:w="690"/>
              <w:gridCol w:w="1170"/>
              <w:gridCol w:w="1500"/>
              <w:gridCol w:w="720"/>
              <w:gridCol w:w="1698"/>
              <w:gridCol w:w="1095"/>
            </w:tblGrid>
            <w:tr w14:paraId="6202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848" w:type="dxa"/>
                  <w:vMerge w:val="restart"/>
                  <w:vAlign w:val="center"/>
                </w:tcPr>
                <w:p w14:paraId="524A35E0">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污染源</w:t>
                  </w:r>
                </w:p>
              </w:tc>
              <w:tc>
                <w:tcPr>
                  <w:tcW w:w="2475" w:type="dxa"/>
                  <w:gridSpan w:val="3"/>
                  <w:vAlign w:val="center"/>
                </w:tcPr>
                <w:p w14:paraId="03769311">
                  <w:pPr>
                    <w:adjustRightInd w:val="0"/>
                    <w:snapToGrid w:val="0"/>
                    <w:spacing w:line="0" w:lineRule="atLeast"/>
                    <w:jc w:val="center"/>
                    <w:rPr>
                      <w:rFonts w:hint="default" w:cs="Times New Roman"/>
                      <w:b/>
                      <w:color w:val="auto"/>
                      <w:sz w:val="21"/>
                      <w:szCs w:val="21"/>
                      <w:highlight w:val="none"/>
                      <w:lang w:val="en-US" w:eastAsia="zh-CN"/>
                    </w:rPr>
                  </w:pPr>
                  <w:r>
                    <w:rPr>
                      <w:rFonts w:hint="eastAsia" w:cs="Times New Roman"/>
                      <w:b/>
                      <w:color w:val="auto"/>
                      <w:sz w:val="21"/>
                      <w:szCs w:val="21"/>
                      <w:highlight w:val="none"/>
                      <w:lang w:val="en-US" w:eastAsia="zh-CN"/>
                    </w:rPr>
                    <w:t>产生情况</w:t>
                  </w:r>
                </w:p>
              </w:tc>
              <w:tc>
                <w:tcPr>
                  <w:tcW w:w="1500" w:type="dxa"/>
                  <w:vMerge w:val="restart"/>
                  <w:vAlign w:val="center"/>
                </w:tcPr>
                <w:p w14:paraId="282D57C3">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防治措施</w:t>
                  </w:r>
                </w:p>
              </w:tc>
              <w:tc>
                <w:tcPr>
                  <w:tcW w:w="720" w:type="dxa"/>
                  <w:vMerge w:val="restart"/>
                  <w:vAlign w:val="center"/>
                </w:tcPr>
                <w:p w14:paraId="3BC947C0">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排放方式</w:t>
                  </w:r>
                </w:p>
              </w:tc>
              <w:tc>
                <w:tcPr>
                  <w:tcW w:w="1698" w:type="dxa"/>
                  <w:vMerge w:val="restart"/>
                  <w:vAlign w:val="center"/>
                </w:tcPr>
                <w:p w14:paraId="0E4A250A">
                  <w:pPr>
                    <w:adjustRightInd w:val="0"/>
                    <w:snapToGrid w:val="0"/>
                    <w:spacing w:line="0" w:lineRule="atLeast"/>
                    <w:jc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执行标准</w:t>
                  </w:r>
                </w:p>
              </w:tc>
              <w:tc>
                <w:tcPr>
                  <w:tcW w:w="1095" w:type="dxa"/>
                  <w:vMerge w:val="restart"/>
                  <w:vAlign w:val="center"/>
                </w:tcPr>
                <w:p w14:paraId="5FA84908">
                  <w:pPr>
                    <w:adjustRightInd w:val="0"/>
                    <w:snapToGrid w:val="0"/>
                    <w:spacing w:line="0" w:lineRule="atLeast"/>
                    <w:jc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备注</w:t>
                  </w:r>
                </w:p>
              </w:tc>
            </w:tr>
            <w:tr w14:paraId="2796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48" w:type="dxa"/>
                  <w:vMerge w:val="continue"/>
                  <w:vAlign w:val="center"/>
                </w:tcPr>
                <w:p w14:paraId="4AD67F99">
                  <w:pPr>
                    <w:adjustRightInd w:val="0"/>
                    <w:snapToGrid w:val="0"/>
                    <w:spacing w:line="0" w:lineRule="atLeast"/>
                    <w:jc w:val="center"/>
                    <w:rPr>
                      <w:color w:val="auto"/>
                      <w:sz w:val="21"/>
                      <w:szCs w:val="21"/>
                      <w:highlight w:val="none"/>
                    </w:rPr>
                  </w:pPr>
                </w:p>
              </w:tc>
              <w:tc>
                <w:tcPr>
                  <w:tcW w:w="615" w:type="dxa"/>
                  <w:vAlign w:val="center"/>
                </w:tcPr>
                <w:p w14:paraId="74FEF589">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t/d</w:t>
                  </w:r>
                </w:p>
              </w:tc>
              <w:tc>
                <w:tcPr>
                  <w:tcW w:w="690" w:type="dxa"/>
                  <w:vAlign w:val="center"/>
                </w:tcPr>
                <w:p w14:paraId="54AB27F4">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t/a</w:t>
                  </w:r>
                </w:p>
              </w:tc>
              <w:tc>
                <w:tcPr>
                  <w:tcW w:w="1170" w:type="dxa"/>
                  <w:vAlign w:val="center"/>
                </w:tcPr>
                <w:p w14:paraId="3C3BA2B6">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污染物</w:t>
                  </w:r>
                </w:p>
              </w:tc>
              <w:tc>
                <w:tcPr>
                  <w:tcW w:w="1500" w:type="dxa"/>
                  <w:vMerge w:val="continue"/>
                  <w:vAlign w:val="center"/>
                </w:tcPr>
                <w:p w14:paraId="2A955638">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p>
              </w:tc>
              <w:tc>
                <w:tcPr>
                  <w:tcW w:w="720" w:type="dxa"/>
                  <w:vMerge w:val="continue"/>
                  <w:vAlign w:val="center"/>
                </w:tcPr>
                <w:p w14:paraId="74546EAD">
                  <w:pPr>
                    <w:adjustRightInd w:val="0"/>
                    <w:snapToGrid w:val="0"/>
                    <w:spacing w:line="0" w:lineRule="atLeast"/>
                    <w:jc w:val="center"/>
                    <w:rPr>
                      <w:rFonts w:hint="eastAsia" w:ascii="Times New Roman" w:hAnsi="Times New Roman" w:eastAsia="宋体" w:cs="Times New Roman"/>
                      <w:b/>
                      <w:color w:val="auto"/>
                      <w:sz w:val="21"/>
                      <w:szCs w:val="21"/>
                      <w:highlight w:val="none"/>
                      <w:lang w:eastAsia="zh-CN"/>
                    </w:rPr>
                  </w:pPr>
                </w:p>
              </w:tc>
              <w:tc>
                <w:tcPr>
                  <w:tcW w:w="1698" w:type="dxa"/>
                  <w:vMerge w:val="continue"/>
                  <w:vAlign w:val="center"/>
                </w:tcPr>
                <w:p w14:paraId="0442C98A">
                  <w:pPr>
                    <w:adjustRightInd w:val="0"/>
                    <w:snapToGrid w:val="0"/>
                    <w:spacing w:line="0" w:lineRule="atLeast"/>
                    <w:jc w:val="center"/>
                    <w:rPr>
                      <w:rFonts w:hint="eastAsia" w:ascii="Times New Roman" w:hAnsi="Times New Roman" w:eastAsia="宋体" w:cs="Times New Roman"/>
                      <w:b/>
                      <w:color w:val="auto"/>
                      <w:sz w:val="21"/>
                      <w:szCs w:val="21"/>
                      <w:highlight w:val="none"/>
                      <w:lang w:eastAsia="zh-CN"/>
                    </w:rPr>
                  </w:pPr>
                </w:p>
              </w:tc>
              <w:tc>
                <w:tcPr>
                  <w:tcW w:w="1095" w:type="dxa"/>
                  <w:vMerge w:val="continue"/>
                  <w:vAlign w:val="center"/>
                </w:tcPr>
                <w:p w14:paraId="5E7871AD">
                  <w:pPr>
                    <w:adjustRightInd w:val="0"/>
                    <w:snapToGrid w:val="0"/>
                    <w:spacing w:line="0" w:lineRule="atLeast"/>
                    <w:jc w:val="center"/>
                    <w:rPr>
                      <w:rFonts w:hint="eastAsia" w:ascii="Times New Roman" w:hAnsi="Times New Roman" w:eastAsia="宋体" w:cs="Times New Roman"/>
                      <w:b/>
                      <w:color w:val="auto"/>
                      <w:sz w:val="21"/>
                      <w:szCs w:val="21"/>
                      <w:highlight w:val="none"/>
                      <w:lang w:eastAsia="zh-CN"/>
                    </w:rPr>
                  </w:pPr>
                </w:p>
              </w:tc>
            </w:tr>
            <w:tr w14:paraId="74F8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848" w:type="dxa"/>
                  <w:vAlign w:val="center"/>
                </w:tcPr>
                <w:p w14:paraId="1636B957">
                  <w:pPr>
                    <w:pStyle w:val="16"/>
                    <w:adjustRightInd w:val="0"/>
                    <w:snapToGrid w:val="0"/>
                    <w:spacing w:line="0" w:lineRule="atLeast"/>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生产废水</w:t>
                  </w:r>
                </w:p>
              </w:tc>
              <w:tc>
                <w:tcPr>
                  <w:tcW w:w="615" w:type="dxa"/>
                  <w:vAlign w:val="center"/>
                </w:tcPr>
                <w:p w14:paraId="33EB0DE1">
                  <w:pPr>
                    <w:pStyle w:val="16"/>
                    <w:adjustRightInd w:val="0"/>
                    <w:snapToGrid w:val="0"/>
                    <w:spacing w:line="0" w:lineRule="atLeast"/>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3.2</w:t>
                  </w:r>
                </w:p>
              </w:tc>
              <w:tc>
                <w:tcPr>
                  <w:tcW w:w="690" w:type="dxa"/>
                  <w:vAlign w:val="center"/>
                </w:tcPr>
                <w:p w14:paraId="0135B6B2">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960</w:t>
                  </w:r>
                </w:p>
              </w:tc>
              <w:tc>
                <w:tcPr>
                  <w:tcW w:w="1170" w:type="dxa"/>
                  <w:vAlign w:val="center"/>
                </w:tcPr>
                <w:p w14:paraId="20F33795">
                  <w:pPr>
                    <w:pStyle w:val="16"/>
                    <w:adjustRightInd w:val="0"/>
                    <w:snapToGrid w:val="0"/>
                    <w:spacing w:line="0" w:lineRule="atLeast"/>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SS</w:t>
                  </w:r>
                </w:p>
              </w:tc>
              <w:tc>
                <w:tcPr>
                  <w:tcW w:w="1500" w:type="dxa"/>
                  <w:vAlign w:val="center"/>
                </w:tcPr>
                <w:p w14:paraId="0338E68D">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经沉淀池沉淀后循环使用</w:t>
                  </w:r>
                </w:p>
              </w:tc>
              <w:tc>
                <w:tcPr>
                  <w:tcW w:w="720" w:type="dxa"/>
                  <w:vAlign w:val="center"/>
                </w:tcPr>
                <w:p w14:paraId="2A432167">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不排放</w:t>
                  </w:r>
                </w:p>
              </w:tc>
              <w:tc>
                <w:tcPr>
                  <w:tcW w:w="1698" w:type="dxa"/>
                  <w:vAlign w:val="center"/>
                </w:tcPr>
                <w:p w14:paraId="37DB609B">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c>
                <w:tcPr>
                  <w:tcW w:w="1095" w:type="dxa"/>
                  <w:vAlign w:val="center"/>
                </w:tcPr>
                <w:p w14:paraId="38EE4AEC">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与环评及排污许可证一致</w:t>
                  </w:r>
                </w:p>
              </w:tc>
            </w:tr>
            <w:tr w14:paraId="2FCC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3" w:hRule="atLeast"/>
                <w:jc w:val="center"/>
              </w:trPr>
              <w:tc>
                <w:tcPr>
                  <w:tcW w:w="848" w:type="dxa"/>
                  <w:vAlign w:val="center"/>
                </w:tcPr>
                <w:p w14:paraId="0134FDF9">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生活污水（含食堂废水）</w:t>
                  </w:r>
                </w:p>
              </w:tc>
              <w:tc>
                <w:tcPr>
                  <w:tcW w:w="615" w:type="dxa"/>
                  <w:vAlign w:val="center"/>
                </w:tcPr>
                <w:p w14:paraId="18A7704E">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2.18</w:t>
                  </w:r>
                </w:p>
              </w:tc>
              <w:tc>
                <w:tcPr>
                  <w:tcW w:w="690" w:type="dxa"/>
                  <w:vAlign w:val="center"/>
                </w:tcPr>
                <w:p w14:paraId="51D43A50">
                  <w:pPr>
                    <w:pStyle w:val="16"/>
                    <w:adjustRightInd w:val="0"/>
                    <w:snapToGrid w:val="0"/>
                    <w:spacing w:line="0" w:lineRule="atLeast"/>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654</w:t>
                  </w:r>
                </w:p>
              </w:tc>
              <w:tc>
                <w:tcPr>
                  <w:tcW w:w="1170" w:type="dxa"/>
                  <w:vAlign w:val="center"/>
                </w:tcPr>
                <w:p w14:paraId="02E9EF4E">
                  <w:pPr>
                    <w:pStyle w:val="16"/>
                    <w:adjustRightInd w:val="0"/>
                    <w:snapToGrid w:val="0"/>
                    <w:spacing w:line="0" w:lineRule="atLeast"/>
                    <w:jc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pH、COD、BOD</w:t>
                  </w:r>
                  <w:r>
                    <w:rPr>
                      <w:rFonts w:hint="eastAsia" w:cs="Times New Roman"/>
                      <w:color w:val="auto"/>
                      <w:kern w:val="0"/>
                      <w:sz w:val="21"/>
                      <w:szCs w:val="21"/>
                      <w:highlight w:val="none"/>
                      <w:vertAlign w:val="subscript"/>
                      <w:lang w:val="en-US" w:eastAsia="zh-CN" w:bidi="ar"/>
                    </w:rPr>
                    <w:t>5</w:t>
                  </w:r>
                  <w:r>
                    <w:rPr>
                      <w:rFonts w:hint="eastAsia" w:cs="Times New Roman"/>
                      <w:color w:val="auto"/>
                      <w:kern w:val="0"/>
                      <w:sz w:val="21"/>
                      <w:szCs w:val="21"/>
                      <w:highlight w:val="none"/>
                      <w:lang w:val="en-US" w:eastAsia="zh-CN" w:bidi="ar"/>
                    </w:rPr>
                    <w:t>、SS、氨氮、总磷、动植物油</w:t>
                  </w:r>
                </w:p>
              </w:tc>
              <w:tc>
                <w:tcPr>
                  <w:tcW w:w="1500" w:type="dxa"/>
                  <w:vAlign w:val="center"/>
                </w:tcPr>
                <w:p w14:paraId="017E6AC0">
                  <w:pPr>
                    <w:pStyle w:val="16"/>
                    <w:adjustRightInd w:val="0"/>
                    <w:snapToGrid w:val="0"/>
                    <w:spacing w:line="0" w:lineRule="atLeast"/>
                    <w:jc w:val="center"/>
                    <w:rPr>
                      <w:rFonts w:hint="eastAsia"/>
                      <w:color w:val="auto"/>
                      <w:sz w:val="21"/>
                      <w:szCs w:val="21"/>
                      <w:highlight w:val="none"/>
                      <w:lang w:val="en-US" w:eastAsia="zh-CN"/>
                    </w:rPr>
                  </w:pPr>
                  <w:r>
                    <w:rPr>
                      <w:rFonts w:hint="eastAsia"/>
                      <w:color w:val="auto"/>
                      <w:sz w:val="21"/>
                      <w:szCs w:val="21"/>
                      <w:highlight w:val="none"/>
                      <w:lang w:val="en-US" w:eastAsia="zh-CN"/>
                    </w:rPr>
                    <w:t>食堂废水经隔油池处理后与其他生活污水经化粪池处理后进入自建生活污水处理站处理</w:t>
                  </w:r>
                </w:p>
                <w:p w14:paraId="06042181">
                  <w:pPr>
                    <w:pStyle w:val="16"/>
                    <w:adjustRightInd w:val="0"/>
                    <w:snapToGrid w:val="0"/>
                    <w:spacing w:line="0" w:lineRule="atLeast"/>
                    <w:jc w:val="center"/>
                    <w:rPr>
                      <w:rFonts w:hint="eastAsia" w:cs="Times New Roman"/>
                      <w:color w:val="auto"/>
                      <w:sz w:val="21"/>
                      <w:szCs w:val="21"/>
                      <w:highlight w:val="none"/>
                      <w:lang w:val="en-US" w:eastAsia="zh-CN"/>
                    </w:rPr>
                  </w:pPr>
                </w:p>
              </w:tc>
              <w:tc>
                <w:tcPr>
                  <w:tcW w:w="720" w:type="dxa"/>
                  <w:vAlign w:val="center"/>
                </w:tcPr>
                <w:p w14:paraId="6FBD5632">
                  <w:pPr>
                    <w:pStyle w:val="16"/>
                    <w:adjustRightInd w:val="0"/>
                    <w:snapToGrid w:val="0"/>
                    <w:spacing w:line="0" w:lineRule="atLeast"/>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不排放</w:t>
                  </w:r>
                </w:p>
              </w:tc>
              <w:tc>
                <w:tcPr>
                  <w:tcW w:w="1698" w:type="dxa"/>
                  <w:vAlign w:val="center"/>
                </w:tcPr>
                <w:p w14:paraId="3FD24B37">
                  <w:pPr>
                    <w:pStyle w:val="16"/>
                    <w:adjustRightInd w:val="0"/>
                    <w:snapToGrid w:val="0"/>
                    <w:spacing w:line="0" w:lineRule="atLeast"/>
                    <w:jc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《城市污水再生利用 城市杂用水水质》（GB/T18920-2020）中城市绿化、道路广场浇洒、消防、建筑施工标准</w:t>
                  </w:r>
                </w:p>
              </w:tc>
              <w:tc>
                <w:tcPr>
                  <w:tcW w:w="1095" w:type="dxa"/>
                  <w:vAlign w:val="center"/>
                </w:tcPr>
                <w:p w14:paraId="17FD655C">
                  <w:pPr>
                    <w:pStyle w:val="16"/>
                    <w:adjustRightInd w:val="0"/>
                    <w:snapToGrid w:val="0"/>
                    <w:spacing w:line="0" w:lineRule="atLeast"/>
                    <w:jc w:val="center"/>
                    <w:rPr>
                      <w:rFonts w:hint="eastAsia" w:cs="Times New Roman"/>
                      <w:color w:val="auto"/>
                      <w:kern w:val="0"/>
                      <w:sz w:val="21"/>
                      <w:szCs w:val="21"/>
                      <w:highlight w:val="none"/>
                      <w:lang w:val="en-US" w:eastAsia="zh-CN" w:bidi="ar"/>
                    </w:rPr>
                  </w:pPr>
                  <w:r>
                    <w:rPr>
                      <w:rFonts w:hint="eastAsia" w:cs="Times New Roman"/>
                      <w:color w:val="auto"/>
                      <w:kern w:val="2"/>
                      <w:sz w:val="21"/>
                      <w:szCs w:val="21"/>
                      <w:highlight w:val="none"/>
                      <w:lang w:val="en-US" w:eastAsia="zh-CN" w:bidi="ar-SA"/>
                    </w:rPr>
                    <w:t>与环评及排污许可证一致</w:t>
                  </w:r>
                </w:p>
              </w:tc>
            </w:tr>
            <w:tr w14:paraId="2A19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848" w:type="dxa"/>
                  <w:vAlign w:val="center"/>
                </w:tcPr>
                <w:p w14:paraId="113D55EC">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合计</w:t>
                  </w:r>
                </w:p>
              </w:tc>
              <w:tc>
                <w:tcPr>
                  <w:tcW w:w="615" w:type="dxa"/>
                  <w:vAlign w:val="center"/>
                </w:tcPr>
                <w:p w14:paraId="10E2D569">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5.38</w:t>
                  </w:r>
                </w:p>
              </w:tc>
              <w:tc>
                <w:tcPr>
                  <w:tcW w:w="690" w:type="dxa"/>
                  <w:vAlign w:val="center"/>
                </w:tcPr>
                <w:p w14:paraId="4E8DEF96">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1614</w:t>
                  </w:r>
                </w:p>
              </w:tc>
              <w:tc>
                <w:tcPr>
                  <w:tcW w:w="1170" w:type="dxa"/>
                  <w:vAlign w:val="center"/>
                </w:tcPr>
                <w:p w14:paraId="45733894">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00" w:type="dxa"/>
                  <w:vAlign w:val="center"/>
                </w:tcPr>
                <w:p w14:paraId="6E7CF8FA">
                  <w:pPr>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20" w:type="dxa"/>
                  <w:vAlign w:val="center"/>
                </w:tcPr>
                <w:p w14:paraId="68E521AC">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98" w:type="dxa"/>
                  <w:vAlign w:val="center"/>
                </w:tcPr>
                <w:p w14:paraId="71533E9C">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95" w:type="dxa"/>
                  <w:vAlign w:val="center"/>
                </w:tcPr>
                <w:p w14:paraId="47346DAB">
                  <w:pPr>
                    <w:adjustRightInd w:val="0"/>
                    <w:snapToGrid w:val="0"/>
                    <w:spacing w:line="0" w:lineRule="atLeast"/>
                    <w:jc w:val="center"/>
                    <w:rPr>
                      <w:rFonts w:hint="eastAsia" w:cs="Times New Roman"/>
                      <w:color w:val="auto"/>
                      <w:sz w:val="21"/>
                      <w:szCs w:val="21"/>
                      <w:highlight w:val="none"/>
                      <w:lang w:val="en-US" w:eastAsia="zh-CN"/>
                    </w:rPr>
                  </w:pPr>
                </w:p>
              </w:tc>
            </w:tr>
          </w:tbl>
          <w:p w14:paraId="2F3277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2）原有工程废水排放情况</w:t>
            </w:r>
          </w:p>
          <w:p w14:paraId="58AEE4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eastAsia="zh-CN"/>
              </w:rPr>
            </w:pPr>
            <w:r>
              <w:rPr>
                <w:rFonts w:hint="eastAsia" w:cs="Times New Roman"/>
                <w:bCs/>
                <w:color w:val="auto"/>
                <w:sz w:val="24"/>
                <w:szCs w:val="24"/>
                <w:highlight w:val="none"/>
                <w:lang w:val="en-US" w:eastAsia="zh-CN"/>
              </w:rPr>
              <w:t>根据项目实际运营情况，原项目废水主要为生产废水、生活污水（含食堂废水），生产废水均通过沉淀池沉淀后循环使用，不外排；食堂废水经隔油池处理后与其他生活污水一并进入化粪池处理后，再进入自建生活污水处理站处理达《城市污水再生利用 城市杂用水水质》（GB/T18920-2020）中城市绿化、道路广场浇洒、消防、建筑施工标准后回用于项目区绿化和道路广场浇洒，不外排。根据2022年1月24日监测报告，原项目废水产排情况见表2-16。</w:t>
            </w:r>
          </w:p>
          <w:p w14:paraId="34CE9F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eastAsia" w:ascii="Times New Roman" w:hAnsi="Times New Roman" w:eastAsia="宋体" w:cs="Times New Roman"/>
                <w:b/>
                <w:bCs/>
                <w:color w:val="auto"/>
                <w:szCs w:val="21"/>
                <w:highlight w:val="none"/>
                <w:lang w:val="en-US" w:eastAsia="zh-CN"/>
              </w:rPr>
              <w:t>2-1</w:t>
            </w:r>
            <w:r>
              <w:rPr>
                <w:rFonts w:hint="eastAsia" w:cs="Times New Roman"/>
                <w:b/>
                <w:bCs/>
                <w:color w:val="auto"/>
                <w:szCs w:val="21"/>
                <w:highlight w:val="none"/>
                <w:lang w:val="en-US" w:eastAsia="zh-CN"/>
              </w:rPr>
              <w:t>6</w:t>
            </w:r>
            <w:r>
              <w:rPr>
                <w:rFonts w:hint="default" w:ascii="Times New Roman" w:hAnsi="Times New Roman" w:eastAsia="宋体" w:cs="Times New Roman"/>
                <w:b/>
                <w:bCs/>
                <w:color w:val="auto"/>
                <w:szCs w:val="21"/>
                <w:highlight w:val="none"/>
              </w:rPr>
              <w:t xml:space="preserve">  </w:t>
            </w:r>
            <w:r>
              <w:rPr>
                <w:rFonts w:hint="eastAsia" w:ascii="Times New Roman" w:hAnsi="Times New Roman" w:eastAsia="宋体" w:cs="Times New Roman"/>
                <w:b/>
                <w:bCs/>
                <w:color w:val="auto"/>
                <w:szCs w:val="21"/>
                <w:highlight w:val="none"/>
                <w:lang w:eastAsia="zh-CN"/>
              </w:rPr>
              <w:t>原</w:t>
            </w:r>
            <w:r>
              <w:rPr>
                <w:rFonts w:hint="default" w:ascii="Times New Roman" w:hAnsi="Times New Roman" w:eastAsia="宋体" w:cs="Times New Roman"/>
                <w:b/>
                <w:bCs/>
                <w:color w:val="auto"/>
                <w:szCs w:val="21"/>
                <w:highlight w:val="none"/>
              </w:rPr>
              <w:t>项目</w:t>
            </w:r>
            <w:r>
              <w:rPr>
                <w:rFonts w:hint="eastAsia" w:ascii="Times New Roman" w:hAnsi="Times New Roman" w:eastAsia="宋体" w:cs="Times New Roman"/>
                <w:b/>
                <w:bCs/>
                <w:color w:val="auto"/>
                <w:szCs w:val="21"/>
                <w:highlight w:val="none"/>
                <w:lang w:val="en-US" w:eastAsia="zh-CN"/>
              </w:rPr>
              <w:t>生活污水</w:t>
            </w:r>
            <w:r>
              <w:rPr>
                <w:rFonts w:hint="default" w:ascii="Times New Roman" w:hAnsi="Times New Roman" w:eastAsia="宋体" w:cs="Times New Roman"/>
                <w:b/>
                <w:bCs/>
                <w:color w:val="auto"/>
                <w:szCs w:val="21"/>
                <w:highlight w:val="none"/>
              </w:rPr>
              <w:t>产排情况一览表</w:t>
            </w:r>
          </w:p>
          <w:tbl>
            <w:tblPr>
              <w:tblStyle w:val="25"/>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1905"/>
              <w:gridCol w:w="1038"/>
              <w:gridCol w:w="717"/>
              <w:gridCol w:w="738"/>
              <w:gridCol w:w="1200"/>
              <w:gridCol w:w="1755"/>
              <w:gridCol w:w="702"/>
            </w:tblGrid>
            <w:tr w14:paraId="5B18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 w:type="pct"/>
                  <w:vAlign w:val="center"/>
                </w:tcPr>
                <w:p w14:paraId="0CCD45C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1131" w:type="pct"/>
                  <w:vAlign w:val="center"/>
                </w:tcPr>
                <w:p w14:paraId="32028A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16" w:type="pct"/>
                  <w:vAlign w:val="center"/>
                </w:tcPr>
                <w:p w14:paraId="22547F1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处理设施</w:t>
                  </w:r>
                  <w:r>
                    <w:rPr>
                      <w:rFonts w:hint="eastAsia" w:cs="Times New Roman"/>
                      <w:b/>
                      <w:bCs/>
                      <w:color w:val="auto"/>
                      <w:sz w:val="21"/>
                      <w:szCs w:val="21"/>
                      <w:highlight w:val="none"/>
                      <w:lang w:val="en-US" w:eastAsia="zh-CN"/>
                    </w:rPr>
                    <w:t>进</w:t>
                  </w:r>
                  <w:r>
                    <w:rPr>
                      <w:rFonts w:hint="default" w:ascii="Times New Roman" w:hAnsi="Times New Roman" w:eastAsia="宋体" w:cs="Times New Roman"/>
                      <w:b/>
                      <w:bCs/>
                      <w:color w:val="auto"/>
                      <w:sz w:val="21"/>
                      <w:szCs w:val="21"/>
                      <w:highlight w:val="none"/>
                      <w:lang w:val="en-US" w:eastAsia="zh-CN"/>
                    </w:rPr>
                    <w:t>口浓</w:t>
                  </w:r>
                  <w:r>
                    <w:rPr>
                      <w:rFonts w:hint="default" w:ascii="Times New Roman" w:hAnsi="Times New Roman" w:eastAsia="宋体" w:cs="Times New Roman"/>
                      <w:b/>
                      <w:bCs/>
                      <w:color w:val="auto"/>
                      <w:sz w:val="21"/>
                      <w:szCs w:val="21"/>
                      <w:highlight w:val="none"/>
                    </w:rPr>
                    <w:t>mg/L</w:t>
                  </w:r>
                </w:p>
              </w:tc>
              <w:tc>
                <w:tcPr>
                  <w:tcW w:w="426" w:type="pct"/>
                  <w:vAlign w:val="center"/>
                </w:tcPr>
                <w:p w14:paraId="252B021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处理方式</w:t>
                  </w:r>
                </w:p>
              </w:tc>
              <w:tc>
                <w:tcPr>
                  <w:tcW w:w="438" w:type="pct"/>
                  <w:vAlign w:val="center"/>
                </w:tcPr>
                <w:p w14:paraId="3D80D24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eastAsia" w:cs="Times New Roman"/>
                      <w:b/>
                      <w:bCs/>
                      <w:color w:val="auto"/>
                      <w:sz w:val="21"/>
                      <w:szCs w:val="21"/>
                      <w:highlight w:val="none"/>
                      <w:lang w:val="en-US" w:eastAsia="zh-CN"/>
                    </w:rPr>
                    <w:t>去除效率%</w:t>
                  </w:r>
                </w:p>
              </w:tc>
              <w:tc>
                <w:tcPr>
                  <w:tcW w:w="713" w:type="pct"/>
                  <w:vAlign w:val="center"/>
                </w:tcPr>
                <w:p w14:paraId="4F83E3B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处理设施出口</w:t>
                  </w:r>
                  <w:r>
                    <w:rPr>
                      <w:rFonts w:hint="eastAsia" w:cs="Times New Roman"/>
                      <w:b/>
                      <w:bCs/>
                      <w:color w:val="auto"/>
                      <w:sz w:val="21"/>
                      <w:szCs w:val="21"/>
                      <w:highlight w:val="none"/>
                      <w:lang w:val="en-US" w:eastAsia="zh-CN"/>
                    </w:rPr>
                    <w:t>最大</w:t>
                  </w:r>
                  <w:r>
                    <w:rPr>
                      <w:rFonts w:hint="default" w:ascii="Times New Roman" w:hAnsi="Times New Roman" w:eastAsia="宋体" w:cs="Times New Roman"/>
                      <w:b/>
                      <w:bCs/>
                      <w:color w:val="auto"/>
                      <w:sz w:val="21"/>
                      <w:szCs w:val="21"/>
                      <w:highlight w:val="none"/>
                      <w:lang w:val="en-US" w:eastAsia="zh-CN"/>
                    </w:rPr>
                    <w:t>浓度</w:t>
                  </w:r>
                  <w:r>
                    <w:rPr>
                      <w:rFonts w:hint="default" w:ascii="Times New Roman" w:hAnsi="Times New Roman" w:eastAsia="宋体" w:cs="Times New Roman"/>
                      <w:b/>
                      <w:bCs/>
                      <w:color w:val="auto"/>
                      <w:sz w:val="21"/>
                      <w:szCs w:val="21"/>
                      <w:highlight w:val="none"/>
                    </w:rPr>
                    <w:t>mg/L</w:t>
                  </w:r>
                </w:p>
              </w:tc>
              <w:tc>
                <w:tcPr>
                  <w:tcW w:w="1042" w:type="pct"/>
                  <w:vAlign w:val="center"/>
                </w:tcPr>
                <w:p w14:paraId="4E7A443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标准值</w:t>
                  </w:r>
                  <w:r>
                    <w:rPr>
                      <w:rFonts w:hint="default" w:ascii="Times New Roman" w:hAnsi="Times New Roman" w:eastAsia="宋体" w:cs="Times New Roman"/>
                      <w:b/>
                      <w:bCs/>
                      <w:color w:val="auto"/>
                      <w:sz w:val="21"/>
                      <w:szCs w:val="21"/>
                      <w:highlight w:val="none"/>
                    </w:rPr>
                    <w:t>mg/L</w:t>
                  </w:r>
                </w:p>
              </w:tc>
              <w:tc>
                <w:tcPr>
                  <w:tcW w:w="417" w:type="pct"/>
                  <w:vAlign w:val="center"/>
                </w:tcPr>
                <w:p w14:paraId="5F43D98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达标情况</w:t>
                  </w:r>
                </w:p>
              </w:tc>
            </w:tr>
            <w:tr w14:paraId="2262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13" w:type="pct"/>
                  <w:vMerge w:val="restart"/>
                  <w:vAlign w:val="center"/>
                </w:tcPr>
                <w:p w14:paraId="67CB920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1131" w:type="pct"/>
                  <w:vAlign w:val="center"/>
                </w:tcPr>
                <w:p w14:paraId="647D7EC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pH值（无量纲）</w:t>
                  </w:r>
                </w:p>
              </w:tc>
              <w:tc>
                <w:tcPr>
                  <w:tcW w:w="616" w:type="pct"/>
                  <w:vAlign w:val="center"/>
                </w:tcPr>
                <w:p w14:paraId="19644FB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7.7</w:t>
                  </w:r>
                </w:p>
              </w:tc>
              <w:tc>
                <w:tcPr>
                  <w:tcW w:w="426" w:type="pct"/>
                  <w:vMerge w:val="restart"/>
                  <w:vAlign w:val="center"/>
                </w:tcPr>
                <w:p w14:paraId="36337D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隔油池+化粪池</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一体化生活</w:t>
                  </w:r>
                  <w:r>
                    <w:rPr>
                      <w:rFonts w:hint="default" w:ascii="Times New Roman" w:hAnsi="Times New Roman" w:eastAsia="宋体" w:cs="Times New Roman"/>
                      <w:color w:val="auto"/>
                      <w:sz w:val="21"/>
                      <w:szCs w:val="21"/>
                      <w:highlight w:val="none"/>
                      <w:lang w:val="en-US" w:eastAsia="zh-CN"/>
                    </w:rPr>
                    <w:t>污水处理设备</w:t>
                  </w:r>
                </w:p>
              </w:tc>
              <w:tc>
                <w:tcPr>
                  <w:tcW w:w="438" w:type="pct"/>
                  <w:vAlign w:val="center"/>
                </w:tcPr>
                <w:p w14:paraId="41C236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13" w:type="pct"/>
                  <w:vAlign w:val="center"/>
                </w:tcPr>
                <w:p w14:paraId="1F332D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7.9</w:t>
                  </w:r>
                </w:p>
              </w:tc>
              <w:tc>
                <w:tcPr>
                  <w:tcW w:w="1042" w:type="pct"/>
                  <w:vAlign w:val="center"/>
                </w:tcPr>
                <w:p w14:paraId="41DF2B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r>
                    <w:rPr>
                      <w:rFonts w:hint="eastAsia"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~9.</w:t>
                  </w:r>
                  <w:r>
                    <w:rPr>
                      <w:rFonts w:hint="eastAsia" w:eastAsia="宋体" w:cs="Times New Roman"/>
                      <w:color w:val="auto"/>
                      <w:sz w:val="21"/>
                      <w:szCs w:val="21"/>
                      <w:highlight w:val="none"/>
                      <w:lang w:val="en-US" w:eastAsia="zh-CN"/>
                    </w:rPr>
                    <w:t>0</w:t>
                  </w:r>
                </w:p>
              </w:tc>
              <w:tc>
                <w:tcPr>
                  <w:tcW w:w="417" w:type="pct"/>
                  <w:vAlign w:val="center"/>
                </w:tcPr>
                <w:p w14:paraId="52A8D3C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7F4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3" w:type="pct"/>
                  <w:vMerge w:val="continue"/>
                  <w:vAlign w:val="center"/>
                </w:tcPr>
                <w:p w14:paraId="1683D80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31" w:type="pct"/>
                  <w:vAlign w:val="center"/>
                </w:tcPr>
                <w:p w14:paraId="33AAADB7">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色度（倍）</w:t>
                  </w:r>
                </w:p>
              </w:tc>
              <w:tc>
                <w:tcPr>
                  <w:tcW w:w="616" w:type="pct"/>
                  <w:vAlign w:val="center"/>
                </w:tcPr>
                <w:p w14:paraId="5E3EC7A3">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426" w:type="pct"/>
                  <w:vMerge w:val="continue"/>
                  <w:vAlign w:val="center"/>
                </w:tcPr>
                <w:p w14:paraId="7C80F7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438" w:type="pct"/>
                  <w:vAlign w:val="center"/>
                </w:tcPr>
                <w:p w14:paraId="0F7052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713" w:type="pct"/>
                  <w:vAlign w:val="center"/>
                </w:tcPr>
                <w:p w14:paraId="4FA3F9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042" w:type="pct"/>
                  <w:vAlign w:val="center"/>
                </w:tcPr>
                <w:p w14:paraId="0C8A22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30</w:t>
                  </w:r>
                </w:p>
              </w:tc>
              <w:tc>
                <w:tcPr>
                  <w:tcW w:w="417" w:type="pct"/>
                  <w:vAlign w:val="center"/>
                </w:tcPr>
                <w:p w14:paraId="32C3F45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115E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13" w:type="pct"/>
                  <w:vMerge w:val="continue"/>
                  <w:vAlign w:val="center"/>
                </w:tcPr>
                <w:p w14:paraId="2FED3C3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31" w:type="pct"/>
                  <w:vAlign w:val="center"/>
                </w:tcPr>
                <w:p w14:paraId="3952BA5E">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嗅和味（无量纲）</w:t>
                  </w:r>
                </w:p>
              </w:tc>
              <w:tc>
                <w:tcPr>
                  <w:tcW w:w="616" w:type="pct"/>
                  <w:vAlign w:val="center"/>
                </w:tcPr>
                <w:p w14:paraId="7FC1FE2D">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强</w:t>
                  </w:r>
                </w:p>
              </w:tc>
              <w:tc>
                <w:tcPr>
                  <w:tcW w:w="426" w:type="pct"/>
                  <w:vMerge w:val="continue"/>
                  <w:vAlign w:val="center"/>
                </w:tcPr>
                <w:p w14:paraId="6ED3D7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438" w:type="pct"/>
                  <w:vAlign w:val="center"/>
                </w:tcPr>
                <w:p w14:paraId="0E0E8B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713" w:type="pct"/>
                  <w:vAlign w:val="center"/>
                </w:tcPr>
                <w:p w14:paraId="75293E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w:t>
                  </w:r>
                </w:p>
              </w:tc>
              <w:tc>
                <w:tcPr>
                  <w:tcW w:w="1042" w:type="pct"/>
                  <w:vAlign w:val="center"/>
                </w:tcPr>
                <w:p w14:paraId="269317A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无不快感</w:t>
                  </w:r>
                </w:p>
              </w:tc>
              <w:tc>
                <w:tcPr>
                  <w:tcW w:w="417" w:type="pct"/>
                  <w:vAlign w:val="center"/>
                </w:tcPr>
                <w:p w14:paraId="3C93137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CC5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13" w:type="pct"/>
                  <w:vMerge w:val="continue"/>
                  <w:vAlign w:val="center"/>
                </w:tcPr>
                <w:p w14:paraId="0FD7DEE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31" w:type="pct"/>
                  <w:vAlign w:val="center"/>
                </w:tcPr>
                <w:p w14:paraId="43CFDB0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浊度（度）</w:t>
                  </w:r>
                </w:p>
              </w:tc>
              <w:tc>
                <w:tcPr>
                  <w:tcW w:w="616" w:type="pct"/>
                  <w:vAlign w:val="center"/>
                </w:tcPr>
                <w:p w14:paraId="7743EDF9">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170</w:t>
                  </w:r>
                </w:p>
              </w:tc>
              <w:tc>
                <w:tcPr>
                  <w:tcW w:w="426" w:type="pct"/>
                  <w:vMerge w:val="continue"/>
                  <w:vAlign w:val="center"/>
                </w:tcPr>
                <w:p w14:paraId="32750D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438" w:type="pct"/>
                  <w:vAlign w:val="center"/>
                </w:tcPr>
                <w:p w14:paraId="27EA8D6C">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94.7</w:t>
                  </w:r>
                </w:p>
              </w:tc>
              <w:tc>
                <w:tcPr>
                  <w:tcW w:w="713" w:type="pct"/>
                  <w:vAlign w:val="center"/>
                </w:tcPr>
                <w:p w14:paraId="11EE5B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042" w:type="pct"/>
                  <w:vAlign w:val="center"/>
                </w:tcPr>
                <w:p w14:paraId="3B4913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10</w:t>
                  </w:r>
                </w:p>
              </w:tc>
              <w:tc>
                <w:tcPr>
                  <w:tcW w:w="417" w:type="pct"/>
                  <w:vAlign w:val="center"/>
                </w:tcPr>
                <w:p w14:paraId="3C767AA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88A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3" w:type="pct"/>
                  <w:vMerge w:val="continue"/>
                  <w:vAlign w:val="center"/>
                </w:tcPr>
                <w:p w14:paraId="156A636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31" w:type="pct"/>
                  <w:vAlign w:val="center"/>
                </w:tcPr>
                <w:p w14:paraId="5D3152C3">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616" w:type="pct"/>
                  <w:vAlign w:val="center"/>
                </w:tcPr>
                <w:p w14:paraId="194CAA20">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161</w:t>
                  </w:r>
                </w:p>
              </w:tc>
              <w:tc>
                <w:tcPr>
                  <w:tcW w:w="426" w:type="pct"/>
                  <w:vMerge w:val="continue"/>
                  <w:vAlign w:val="center"/>
                </w:tcPr>
                <w:p w14:paraId="34C9E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438" w:type="pct"/>
                  <w:vAlign w:val="center"/>
                </w:tcPr>
                <w:p w14:paraId="11085B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94.2</w:t>
                  </w:r>
                </w:p>
              </w:tc>
              <w:tc>
                <w:tcPr>
                  <w:tcW w:w="713" w:type="pct"/>
                  <w:vAlign w:val="center"/>
                </w:tcPr>
                <w:p w14:paraId="2000E8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1042" w:type="pct"/>
                  <w:vAlign w:val="center"/>
                </w:tcPr>
                <w:p w14:paraId="089F55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10</w:t>
                  </w:r>
                </w:p>
              </w:tc>
              <w:tc>
                <w:tcPr>
                  <w:tcW w:w="417" w:type="pct"/>
                  <w:vAlign w:val="center"/>
                </w:tcPr>
                <w:p w14:paraId="3715A6D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063C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3" w:type="pct"/>
                  <w:vMerge w:val="continue"/>
                  <w:vAlign w:val="center"/>
                </w:tcPr>
                <w:p w14:paraId="493E26F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31" w:type="pct"/>
                  <w:vAlign w:val="center"/>
                </w:tcPr>
                <w:p w14:paraId="79AC3960">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氨氮</w:t>
                  </w:r>
                </w:p>
              </w:tc>
              <w:tc>
                <w:tcPr>
                  <w:tcW w:w="616" w:type="pct"/>
                  <w:vAlign w:val="center"/>
                </w:tcPr>
                <w:p w14:paraId="2A0C4AFF">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109</w:t>
                  </w:r>
                </w:p>
              </w:tc>
              <w:tc>
                <w:tcPr>
                  <w:tcW w:w="426" w:type="pct"/>
                  <w:vMerge w:val="continue"/>
                  <w:vAlign w:val="center"/>
                </w:tcPr>
                <w:p w14:paraId="5D606A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438" w:type="pct"/>
                  <w:vAlign w:val="center"/>
                </w:tcPr>
                <w:p w14:paraId="68B49C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93.2</w:t>
                  </w:r>
                </w:p>
              </w:tc>
              <w:tc>
                <w:tcPr>
                  <w:tcW w:w="713" w:type="pct"/>
                  <w:vAlign w:val="center"/>
                </w:tcPr>
                <w:p w14:paraId="5AD881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7.38</w:t>
                  </w:r>
                </w:p>
              </w:tc>
              <w:tc>
                <w:tcPr>
                  <w:tcW w:w="1042" w:type="pct"/>
                  <w:vAlign w:val="center"/>
                </w:tcPr>
                <w:p w14:paraId="4C977D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8</w:t>
                  </w:r>
                </w:p>
              </w:tc>
              <w:tc>
                <w:tcPr>
                  <w:tcW w:w="417" w:type="pct"/>
                  <w:vAlign w:val="center"/>
                </w:tcPr>
                <w:p w14:paraId="1ACA748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30E4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13" w:type="pct"/>
                  <w:vMerge w:val="continue"/>
                  <w:vAlign w:val="center"/>
                </w:tcPr>
                <w:p w14:paraId="5FF138C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31" w:type="pct"/>
                  <w:vAlign w:val="center"/>
                </w:tcPr>
                <w:p w14:paraId="592D6FB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阴离子表面活性剂</w:t>
                  </w:r>
                </w:p>
              </w:tc>
              <w:tc>
                <w:tcPr>
                  <w:tcW w:w="616" w:type="pct"/>
                  <w:vAlign w:val="center"/>
                </w:tcPr>
                <w:p w14:paraId="25D4AA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w:t>
                  </w:r>
                </w:p>
              </w:tc>
              <w:tc>
                <w:tcPr>
                  <w:tcW w:w="426" w:type="pct"/>
                  <w:vMerge w:val="continue"/>
                  <w:vAlign w:val="center"/>
                </w:tcPr>
                <w:p w14:paraId="5BA40B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438" w:type="pct"/>
                  <w:vAlign w:val="center"/>
                </w:tcPr>
                <w:p w14:paraId="6F071E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95.3</w:t>
                  </w:r>
                </w:p>
              </w:tc>
              <w:tc>
                <w:tcPr>
                  <w:tcW w:w="713" w:type="pct"/>
                  <w:vAlign w:val="center"/>
                </w:tcPr>
                <w:p w14:paraId="558EB7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0.05</w:t>
                  </w:r>
                </w:p>
              </w:tc>
              <w:tc>
                <w:tcPr>
                  <w:tcW w:w="1042" w:type="pct"/>
                  <w:vAlign w:val="center"/>
                </w:tcPr>
                <w:p w14:paraId="6FA051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0.5</w:t>
                  </w:r>
                </w:p>
              </w:tc>
              <w:tc>
                <w:tcPr>
                  <w:tcW w:w="417" w:type="pct"/>
                  <w:vAlign w:val="center"/>
                </w:tcPr>
                <w:p w14:paraId="721147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08AD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3" w:type="pct"/>
                  <w:vMerge w:val="continue"/>
                  <w:vAlign w:val="center"/>
                </w:tcPr>
                <w:p w14:paraId="1535DB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31" w:type="pct"/>
                  <w:vAlign w:val="center"/>
                </w:tcPr>
                <w:p w14:paraId="7850A45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溶解性总固体</w:t>
                  </w:r>
                </w:p>
              </w:tc>
              <w:tc>
                <w:tcPr>
                  <w:tcW w:w="616" w:type="pct"/>
                  <w:vAlign w:val="bottom"/>
                </w:tcPr>
                <w:p w14:paraId="46AACB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627</w:t>
                  </w:r>
                </w:p>
              </w:tc>
              <w:tc>
                <w:tcPr>
                  <w:tcW w:w="426" w:type="pct"/>
                  <w:vMerge w:val="continue"/>
                  <w:vAlign w:val="center"/>
                </w:tcPr>
                <w:p w14:paraId="764D52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438" w:type="pct"/>
                  <w:vAlign w:val="center"/>
                </w:tcPr>
                <w:p w14:paraId="25F0A1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71.77</w:t>
                  </w:r>
                </w:p>
              </w:tc>
              <w:tc>
                <w:tcPr>
                  <w:tcW w:w="713" w:type="pct"/>
                  <w:vAlign w:val="center"/>
                </w:tcPr>
                <w:p w14:paraId="2E55EC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177</w:t>
                  </w:r>
                </w:p>
              </w:tc>
              <w:tc>
                <w:tcPr>
                  <w:tcW w:w="1042" w:type="pct"/>
                  <w:vAlign w:val="center"/>
                </w:tcPr>
                <w:p w14:paraId="35DA45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1000</w:t>
                  </w:r>
                </w:p>
              </w:tc>
              <w:tc>
                <w:tcPr>
                  <w:tcW w:w="417" w:type="pct"/>
                  <w:vAlign w:val="center"/>
                </w:tcPr>
                <w:p w14:paraId="3A6199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1F25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3" w:type="pct"/>
                  <w:vMerge w:val="continue"/>
                  <w:vAlign w:val="center"/>
                </w:tcPr>
                <w:p w14:paraId="3B32DD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31" w:type="pct"/>
                  <w:vAlign w:val="center"/>
                </w:tcPr>
                <w:p w14:paraId="7056ABD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溶解氧</w:t>
                  </w:r>
                </w:p>
              </w:tc>
              <w:tc>
                <w:tcPr>
                  <w:tcW w:w="616" w:type="pct"/>
                  <w:vAlign w:val="center"/>
                </w:tcPr>
                <w:p w14:paraId="4669B1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w:t>
                  </w:r>
                </w:p>
              </w:tc>
              <w:tc>
                <w:tcPr>
                  <w:tcW w:w="426" w:type="pct"/>
                  <w:vMerge w:val="continue"/>
                  <w:vAlign w:val="center"/>
                </w:tcPr>
                <w:p w14:paraId="4D0AAE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438" w:type="pct"/>
                  <w:vAlign w:val="center"/>
                </w:tcPr>
                <w:p w14:paraId="231EF2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13" w:type="pct"/>
                  <w:vAlign w:val="center"/>
                </w:tcPr>
                <w:p w14:paraId="123238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1042" w:type="pct"/>
                  <w:vAlign w:val="center"/>
                </w:tcPr>
                <w:p w14:paraId="4DB55D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417" w:type="pct"/>
                  <w:vAlign w:val="center"/>
                </w:tcPr>
                <w:p w14:paraId="627204A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4349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3" w:type="pct"/>
                  <w:vMerge w:val="continue"/>
                  <w:vAlign w:val="center"/>
                </w:tcPr>
                <w:p w14:paraId="2022FA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31" w:type="pct"/>
                  <w:vAlign w:val="center"/>
                </w:tcPr>
                <w:p w14:paraId="04853C4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总氯</w:t>
                  </w:r>
                </w:p>
              </w:tc>
              <w:tc>
                <w:tcPr>
                  <w:tcW w:w="616" w:type="pct"/>
                  <w:vAlign w:val="center"/>
                </w:tcPr>
                <w:p w14:paraId="169534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1.13</w:t>
                  </w:r>
                </w:p>
              </w:tc>
              <w:tc>
                <w:tcPr>
                  <w:tcW w:w="426" w:type="pct"/>
                  <w:vMerge w:val="continue"/>
                  <w:vAlign w:val="center"/>
                </w:tcPr>
                <w:p w14:paraId="15A632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438" w:type="pct"/>
                  <w:vAlign w:val="center"/>
                </w:tcPr>
                <w:p w14:paraId="3791C3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13" w:type="pct"/>
                  <w:vAlign w:val="center"/>
                </w:tcPr>
                <w:p w14:paraId="7ECFF5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1.47</w:t>
                  </w:r>
                </w:p>
              </w:tc>
              <w:tc>
                <w:tcPr>
                  <w:tcW w:w="1042" w:type="pct"/>
                  <w:vAlign w:val="center"/>
                </w:tcPr>
                <w:p w14:paraId="66D3FB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0.2</w:t>
                  </w:r>
                  <w:r>
                    <w:rPr>
                      <w:rFonts w:hint="eastAsia" w:ascii="Times New Roman" w:hAnsi="Times New Roman" w:cs="Times New Roman"/>
                      <w:color w:val="auto"/>
                      <w:sz w:val="21"/>
                      <w:szCs w:val="21"/>
                      <w:highlight w:val="none"/>
                      <w:vertAlign w:val="superscript"/>
                      <w:lang w:val="en-US" w:eastAsia="zh-CN"/>
                    </w:rPr>
                    <w:t>b</w:t>
                  </w:r>
                  <w:r>
                    <w:rPr>
                      <w:rFonts w:hint="eastAsia" w:ascii="Times New Roman" w:hAnsi="Times New Roman" w:cs="Times New Roman"/>
                      <w:color w:val="auto"/>
                      <w:sz w:val="21"/>
                      <w:szCs w:val="21"/>
                      <w:highlight w:val="none"/>
                      <w:lang w:val="en-US" w:eastAsia="zh-CN"/>
                    </w:rPr>
                    <w:t>（管网末端）</w:t>
                  </w:r>
                </w:p>
              </w:tc>
              <w:tc>
                <w:tcPr>
                  <w:tcW w:w="417" w:type="pct"/>
                  <w:vAlign w:val="center"/>
                </w:tcPr>
                <w:p w14:paraId="1573AF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779E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3" w:type="pct"/>
                  <w:vMerge w:val="continue"/>
                  <w:vAlign w:val="center"/>
                </w:tcPr>
                <w:p w14:paraId="249A81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31" w:type="pct"/>
                  <w:vAlign w:val="center"/>
                </w:tcPr>
                <w:p w14:paraId="5906ACA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大肠埃希氏菌（</w:t>
                  </w:r>
                  <w:r>
                    <w:rPr>
                      <w:rFonts w:hint="eastAsia" w:cs="Times New Roman"/>
                      <w:color w:val="auto"/>
                      <w:sz w:val="21"/>
                      <w:szCs w:val="21"/>
                      <w:highlight w:val="none"/>
                      <w:lang w:val="en-US" w:eastAsia="zh-CN"/>
                    </w:rPr>
                    <w:t>MPN/100mL</w:t>
                  </w:r>
                  <w:r>
                    <w:rPr>
                      <w:rFonts w:hint="eastAsia" w:cs="Times New Roman"/>
                      <w:color w:val="auto"/>
                      <w:sz w:val="21"/>
                      <w:szCs w:val="21"/>
                      <w:highlight w:val="none"/>
                      <w:lang w:eastAsia="zh-CN"/>
                    </w:rPr>
                    <w:t>）</w:t>
                  </w:r>
                </w:p>
              </w:tc>
              <w:tc>
                <w:tcPr>
                  <w:tcW w:w="616" w:type="pct"/>
                  <w:vAlign w:val="center"/>
                </w:tcPr>
                <w:p w14:paraId="5B22EF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16000</w:t>
                  </w:r>
                </w:p>
              </w:tc>
              <w:tc>
                <w:tcPr>
                  <w:tcW w:w="426" w:type="pct"/>
                  <w:vMerge w:val="continue"/>
                  <w:vAlign w:val="center"/>
                </w:tcPr>
                <w:p w14:paraId="3450E2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438" w:type="pct"/>
                  <w:vAlign w:val="center"/>
                </w:tcPr>
                <w:p w14:paraId="603946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713" w:type="pct"/>
                  <w:vAlign w:val="center"/>
                </w:tcPr>
                <w:p w14:paraId="23CC8A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1042" w:type="pct"/>
                  <w:vAlign w:val="center"/>
                </w:tcPr>
                <w:p w14:paraId="50C0FCD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c>
                <w:tcPr>
                  <w:tcW w:w="417" w:type="pct"/>
                  <w:vAlign w:val="center"/>
                </w:tcPr>
                <w:p w14:paraId="16FB45B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bl>
          <w:p w14:paraId="55CFF5E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val="0"/>
                <w:color w:val="auto"/>
                <w:sz w:val="24"/>
                <w:szCs w:val="24"/>
                <w:highlight w:val="none"/>
                <w:shd w:val="clear" w:color="auto" w:fill="auto"/>
                <w:lang w:val="en-US" w:eastAsia="zh-CN"/>
              </w:rPr>
            </w:pPr>
            <w:r>
              <w:rPr>
                <w:rFonts w:hint="eastAsia" w:cs="Times New Roman"/>
                <w:b/>
                <w:bCs w:val="0"/>
                <w:color w:val="auto"/>
                <w:sz w:val="24"/>
                <w:szCs w:val="24"/>
                <w:highlight w:val="none"/>
                <w:shd w:val="clear" w:color="auto" w:fill="auto"/>
                <w:lang w:val="en-US" w:eastAsia="zh-CN"/>
              </w:rPr>
              <w:t>（3）噪声</w:t>
            </w:r>
          </w:p>
          <w:p w14:paraId="3B4DBF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shd w:val="clear" w:color="auto" w:fill="auto"/>
                <w:lang w:val="en-US" w:eastAsia="zh-CN"/>
              </w:rPr>
              <w:t>根据2022年11月14日季度噪声监测报告，</w:t>
            </w:r>
            <w:r>
              <w:rPr>
                <w:rFonts w:hint="eastAsia" w:cs="Times New Roman"/>
                <w:bCs/>
                <w:color w:val="auto"/>
                <w:sz w:val="24"/>
                <w:szCs w:val="24"/>
                <w:highlight w:val="none"/>
                <w:lang w:val="en-US" w:eastAsia="zh-CN"/>
              </w:rPr>
              <w:t>原有工程噪声排放情况见下表。</w:t>
            </w:r>
          </w:p>
          <w:p w14:paraId="52203A9C">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zh-CN"/>
              </w:rPr>
              <w:t>表</w:t>
            </w:r>
            <w:r>
              <w:rPr>
                <w:rFonts w:hint="eastAsia" w:cs="Times New Roman"/>
                <w:b/>
                <w:bCs/>
                <w:color w:val="auto"/>
                <w:kern w:val="0"/>
                <w:sz w:val="21"/>
                <w:szCs w:val="21"/>
                <w:highlight w:val="none"/>
                <w:lang w:val="en-US" w:eastAsia="zh-CN"/>
              </w:rPr>
              <w:t xml:space="preserve">2-17 </w:t>
            </w:r>
            <w:r>
              <w:rPr>
                <w:rFonts w:hint="default" w:ascii="Times New Roman" w:hAnsi="Times New Roman" w:eastAsia="宋体" w:cs="Times New Roman"/>
                <w:b/>
                <w:bCs/>
                <w:color w:val="auto"/>
                <w:kern w:val="0"/>
                <w:sz w:val="21"/>
                <w:szCs w:val="21"/>
                <w:highlight w:val="none"/>
                <w:lang w:val="en-US" w:eastAsia="zh-CN"/>
              </w:rPr>
              <w:t xml:space="preserve"> </w:t>
            </w:r>
            <w:r>
              <w:rPr>
                <w:rFonts w:hint="eastAsia" w:cs="Times New Roman"/>
                <w:b/>
                <w:bCs/>
                <w:color w:val="auto"/>
                <w:kern w:val="0"/>
                <w:sz w:val="21"/>
                <w:szCs w:val="21"/>
                <w:highlight w:val="none"/>
                <w:lang w:val="en-US" w:eastAsia="zh-CN"/>
              </w:rPr>
              <w:t>原项目噪声排放情况</w:t>
            </w:r>
            <w:r>
              <w:rPr>
                <w:rFonts w:hint="default" w:ascii="Times New Roman" w:hAnsi="Times New Roman" w:eastAsia="宋体" w:cs="Times New Roman"/>
                <w:b/>
                <w:bCs/>
                <w:color w:val="auto"/>
                <w:kern w:val="0"/>
                <w:sz w:val="21"/>
                <w:szCs w:val="21"/>
                <w:highlight w:val="none"/>
                <w:lang w:val="en-US" w:eastAsia="zh-CN"/>
              </w:rPr>
              <w:t>一览表</w:t>
            </w:r>
          </w:p>
          <w:tbl>
            <w:tblPr>
              <w:tblStyle w:val="25"/>
              <w:tblW w:w="476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75"/>
              <w:gridCol w:w="2782"/>
              <w:gridCol w:w="2971"/>
            </w:tblGrid>
            <w:tr w14:paraId="10E944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371" w:type="pct"/>
                  <w:vMerge w:val="restart"/>
                  <w:tcBorders>
                    <w:left w:val="single" w:color="auto" w:sz="4" w:space="0"/>
                  </w:tcBorders>
                  <w:noWrap w:val="0"/>
                  <w:vAlign w:val="center"/>
                </w:tcPr>
                <w:p w14:paraId="303979D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检测</w:t>
                  </w:r>
                  <w:r>
                    <w:rPr>
                      <w:rFonts w:hint="eastAsia" w:ascii="Times New Roman" w:hAnsi="Times New Roman" w:eastAsia="宋体" w:cs="Times New Roman"/>
                      <w:b/>
                      <w:bCs/>
                      <w:color w:val="auto"/>
                      <w:sz w:val="21"/>
                      <w:szCs w:val="21"/>
                      <w:highlight w:val="none"/>
                      <w:lang w:val="en-US" w:eastAsia="zh-CN"/>
                    </w:rPr>
                    <w:t>点位</w:t>
                  </w:r>
                </w:p>
              </w:tc>
              <w:tc>
                <w:tcPr>
                  <w:tcW w:w="3628" w:type="pct"/>
                  <w:gridSpan w:val="2"/>
                  <w:noWrap w:val="0"/>
                  <w:vAlign w:val="center"/>
                </w:tcPr>
                <w:p w14:paraId="40C5500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等效声级Leq（A）</w:t>
                  </w:r>
                </w:p>
              </w:tc>
            </w:tr>
            <w:tr w14:paraId="5DB8D8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371" w:type="pct"/>
                  <w:vMerge w:val="continue"/>
                  <w:tcBorders>
                    <w:left w:val="single" w:color="auto" w:sz="4" w:space="0"/>
                  </w:tcBorders>
                  <w:noWrap w:val="0"/>
                  <w:vAlign w:val="center"/>
                </w:tcPr>
                <w:p w14:paraId="3DDC60F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rPr>
                  </w:pPr>
                </w:p>
              </w:tc>
              <w:tc>
                <w:tcPr>
                  <w:tcW w:w="1754" w:type="pct"/>
                  <w:noWrap w:val="0"/>
                  <w:vAlign w:val="center"/>
                </w:tcPr>
                <w:p w14:paraId="08B9587D">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昼间噪声（dB）</w:t>
                  </w:r>
                </w:p>
              </w:tc>
              <w:tc>
                <w:tcPr>
                  <w:tcW w:w="1873" w:type="pct"/>
                  <w:noWrap w:val="0"/>
                  <w:vAlign w:val="center"/>
                </w:tcPr>
                <w:p w14:paraId="43782D4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夜间噪声（dB）</w:t>
                  </w:r>
                </w:p>
              </w:tc>
            </w:tr>
            <w:tr w14:paraId="0FE6C5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1371" w:type="pct"/>
                  <w:tcBorders>
                    <w:left w:val="single" w:color="auto" w:sz="4" w:space="0"/>
                  </w:tcBorders>
                  <w:noWrap w:val="0"/>
                  <w:vAlign w:val="center"/>
                </w:tcPr>
                <w:p w14:paraId="0E994C93">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hanging="102" w:hangingChars="49"/>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厂界</w:t>
                  </w:r>
                  <w:r>
                    <w:rPr>
                      <w:rFonts w:hint="eastAsia" w:cs="Times New Roman"/>
                      <w:b w:val="0"/>
                      <w:bCs w:val="0"/>
                      <w:color w:val="auto"/>
                      <w:sz w:val="21"/>
                      <w:szCs w:val="21"/>
                      <w:highlight w:val="none"/>
                      <w:lang w:val="en-US" w:eastAsia="zh-CN"/>
                    </w:rPr>
                    <w:t>东</w:t>
                  </w:r>
                </w:p>
              </w:tc>
              <w:tc>
                <w:tcPr>
                  <w:tcW w:w="1754" w:type="pct"/>
                  <w:noWrap w:val="0"/>
                  <w:vAlign w:val="center"/>
                </w:tcPr>
                <w:p w14:paraId="48AC325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61.2</w:t>
                  </w:r>
                </w:p>
              </w:tc>
              <w:tc>
                <w:tcPr>
                  <w:tcW w:w="1873" w:type="pct"/>
                  <w:noWrap w:val="0"/>
                  <w:vAlign w:val="center"/>
                </w:tcPr>
                <w:p w14:paraId="10DD7419">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hanging="102" w:hangingChars="49"/>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52.5</w:t>
                  </w:r>
                </w:p>
              </w:tc>
            </w:tr>
            <w:tr w14:paraId="14BFC6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371" w:type="pct"/>
                  <w:tcBorders>
                    <w:left w:val="single" w:color="auto" w:sz="4" w:space="0"/>
                    <w:bottom w:val="single" w:color="auto" w:sz="4" w:space="0"/>
                  </w:tcBorders>
                  <w:noWrap w:val="0"/>
                  <w:vAlign w:val="center"/>
                </w:tcPr>
                <w:p w14:paraId="0634476A">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3" w:right="0" w:hanging="102" w:hangingChars="49"/>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厂界</w:t>
                  </w:r>
                  <w:r>
                    <w:rPr>
                      <w:rFonts w:hint="eastAsia" w:cs="Times New Roman"/>
                      <w:b w:val="0"/>
                      <w:bCs w:val="0"/>
                      <w:color w:val="auto"/>
                      <w:sz w:val="21"/>
                      <w:szCs w:val="21"/>
                      <w:highlight w:val="none"/>
                      <w:lang w:val="en-US" w:eastAsia="zh-CN"/>
                    </w:rPr>
                    <w:t>南</w:t>
                  </w:r>
                </w:p>
              </w:tc>
              <w:tc>
                <w:tcPr>
                  <w:tcW w:w="1754" w:type="pct"/>
                  <w:noWrap w:val="0"/>
                  <w:vAlign w:val="center"/>
                </w:tcPr>
                <w:p w14:paraId="0732F16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61.4</w:t>
                  </w:r>
                </w:p>
              </w:tc>
              <w:tc>
                <w:tcPr>
                  <w:tcW w:w="1873" w:type="pct"/>
                  <w:noWrap w:val="0"/>
                  <w:vAlign w:val="center"/>
                </w:tcPr>
                <w:p w14:paraId="55B36083">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hanging="102" w:hangingChars="49"/>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52.0</w:t>
                  </w:r>
                </w:p>
              </w:tc>
            </w:tr>
            <w:tr w14:paraId="7D5065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1" w:type="pct"/>
                  <w:tcBorders>
                    <w:left w:val="single" w:color="auto" w:sz="4" w:space="0"/>
                    <w:bottom w:val="single" w:color="auto" w:sz="4" w:space="0"/>
                  </w:tcBorders>
                  <w:noWrap w:val="0"/>
                  <w:vAlign w:val="center"/>
                </w:tcPr>
                <w:p w14:paraId="09E61B20">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hanging="102" w:hangingChars="49"/>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厂界西</w:t>
                  </w:r>
                </w:p>
              </w:tc>
              <w:tc>
                <w:tcPr>
                  <w:tcW w:w="1754" w:type="pct"/>
                  <w:noWrap w:val="0"/>
                  <w:vAlign w:val="center"/>
                </w:tcPr>
                <w:p w14:paraId="3EC6394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61.6</w:t>
                  </w:r>
                </w:p>
              </w:tc>
              <w:tc>
                <w:tcPr>
                  <w:tcW w:w="1873" w:type="pct"/>
                  <w:noWrap w:val="0"/>
                  <w:vAlign w:val="center"/>
                </w:tcPr>
                <w:p w14:paraId="3FA7CDC0">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hanging="102" w:hangingChars="49"/>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53.2</w:t>
                  </w:r>
                </w:p>
              </w:tc>
            </w:tr>
            <w:tr w14:paraId="0379F8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71" w:type="pct"/>
                  <w:tcBorders>
                    <w:left w:val="single" w:color="auto" w:sz="4" w:space="0"/>
                    <w:bottom w:val="single" w:color="auto" w:sz="4" w:space="0"/>
                  </w:tcBorders>
                  <w:noWrap w:val="0"/>
                  <w:vAlign w:val="center"/>
                </w:tcPr>
                <w:p w14:paraId="2FD653C4">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hanging="102" w:hangingChars="49"/>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厂界北</w:t>
                  </w:r>
                </w:p>
              </w:tc>
              <w:tc>
                <w:tcPr>
                  <w:tcW w:w="1754" w:type="pct"/>
                  <w:noWrap w:val="0"/>
                  <w:vAlign w:val="center"/>
                </w:tcPr>
                <w:p w14:paraId="252E8FD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60.9</w:t>
                  </w:r>
                </w:p>
              </w:tc>
              <w:tc>
                <w:tcPr>
                  <w:tcW w:w="1873" w:type="pct"/>
                  <w:noWrap w:val="0"/>
                  <w:vAlign w:val="center"/>
                </w:tcPr>
                <w:p w14:paraId="6C302814">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hanging="102" w:hangingChars="49"/>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52.1</w:t>
                  </w:r>
                </w:p>
              </w:tc>
            </w:tr>
            <w:tr w14:paraId="13AF8C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371" w:type="pct"/>
                  <w:tcBorders>
                    <w:right w:val="single" w:color="auto" w:sz="4" w:space="0"/>
                  </w:tcBorders>
                  <w:noWrap w:val="0"/>
                  <w:vAlign w:val="center"/>
                </w:tcPr>
                <w:p w14:paraId="2F892EC8">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rightChars="0" w:hanging="102" w:hangingChars="49"/>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标准限值</w:t>
                  </w:r>
                </w:p>
              </w:tc>
              <w:tc>
                <w:tcPr>
                  <w:tcW w:w="1754" w:type="pct"/>
                  <w:tcBorders>
                    <w:left w:val="single" w:color="auto" w:sz="4" w:space="0"/>
                    <w:right w:val="single" w:color="auto" w:sz="4" w:space="0"/>
                  </w:tcBorders>
                  <w:noWrap w:val="0"/>
                  <w:vAlign w:val="center"/>
                </w:tcPr>
                <w:p w14:paraId="2E828BE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1873" w:type="pct"/>
                  <w:tcBorders>
                    <w:left w:val="single" w:color="auto" w:sz="4" w:space="0"/>
                    <w:right w:val="single" w:color="auto" w:sz="4" w:space="0"/>
                  </w:tcBorders>
                  <w:noWrap w:val="0"/>
                  <w:vAlign w:val="center"/>
                </w:tcPr>
                <w:p w14:paraId="0B149DE1">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hanging="102" w:hangingChars="4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r>
            <w:tr w14:paraId="61052D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1371" w:type="pct"/>
                  <w:tcBorders>
                    <w:right w:val="single" w:color="auto" w:sz="4" w:space="0"/>
                  </w:tcBorders>
                  <w:noWrap w:val="0"/>
                  <w:vAlign w:val="center"/>
                </w:tcPr>
                <w:p w14:paraId="1FE81BDB">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rightChars="0" w:hanging="102" w:hangingChars="49"/>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达标情况</w:t>
                  </w:r>
                </w:p>
              </w:tc>
              <w:tc>
                <w:tcPr>
                  <w:tcW w:w="1754" w:type="pct"/>
                  <w:tcBorders>
                    <w:left w:val="single" w:color="auto" w:sz="4" w:space="0"/>
                    <w:right w:val="single" w:color="auto" w:sz="4" w:space="0"/>
                  </w:tcBorders>
                  <w:noWrap w:val="0"/>
                  <w:vAlign w:val="center"/>
                </w:tcPr>
                <w:p w14:paraId="2747BF3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1873" w:type="pct"/>
                  <w:tcBorders>
                    <w:left w:val="single" w:color="auto" w:sz="4" w:space="0"/>
                    <w:right w:val="single" w:color="auto" w:sz="4" w:space="0"/>
                  </w:tcBorders>
                  <w:noWrap w:val="0"/>
                  <w:vAlign w:val="center"/>
                </w:tcPr>
                <w:p w14:paraId="0465003E">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ind w:left="102" w:leftChars="0" w:right="0" w:hanging="102" w:hangingChars="49"/>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bl>
          <w:p w14:paraId="4FE33E8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eastAsia="宋体" w:cs="Times New Roman"/>
                <w:b/>
                <w:bCs w:val="0"/>
                <w:color w:val="auto"/>
                <w:sz w:val="24"/>
                <w:szCs w:val="24"/>
                <w:highlight w:val="none"/>
                <w:lang w:val="en-US" w:eastAsia="zh-CN"/>
              </w:rPr>
            </w:pPr>
            <w:r>
              <w:rPr>
                <w:rFonts w:hint="eastAsia" w:cs="Times New Roman"/>
                <w:b w:val="0"/>
                <w:bCs/>
                <w:color w:val="auto"/>
                <w:sz w:val="24"/>
                <w:szCs w:val="24"/>
                <w:highlight w:val="none"/>
                <w:lang w:val="en-US" w:eastAsia="zh-CN"/>
              </w:rPr>
              <w:t>根据检测结果，原</w:t>
            </w: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val="en-US" w:eastAsia="zh-CN"/>
              </w:rPr>
              <w:t>四周</w:t>
            </w:r>
            <w:r>
              <w:rPr>
                <w:rFonts w:hint="default" w:ascii="Times New Roman" w:hAnsi="Times New Roman" w:eastAsia="宋体" w:cs="Times New Roman"/>
                <w:b w:val="0"/>
                <w:bCs/>
                <w:color w:val="auto"/>
                <w:sz w:val="24"/>
                <w:szCs w:val="24"/>
                <w:highlight w:val="none"/>
              </w:rPr>
              <w:t>厂界处</w:t>
            </w:r>
            <w:r>
              <w:rPr>
                <w:rFonts w:hint="default" w:ascii="Times New Roman" w:hAnsi="Times New Roman" w:eastAsia="宋体" w:cs="Times New Roman"/>
                <w:b w:val="0"/>
                <w:bCs/>
                <w:color w:val="auto"/>
                <w:sz w:val="24"/>
                <w:szCs w:val="24"/>
                <w:highlight w:val="none"/>
                <w:lang w:val="en-US" w:eastAsia="zh-CN"/>
              </w:rPr>
              <w:t>昼</w:t>
            </w:r>
            <w:r>
              <w:rPr>
                <w:rFonts w:hint="eastAsia" w:cs="Times New Roman"/>
                <w:b w:val="0"/>
                <w:bCs/>
                <w:color w:val="auto"/>
                <w:sz w:val="24"/>
                <w:szCs w:val="24"/>
                <w:highlight w:val="none"/>
                <w:lang w:val="en-US" w:eastAsia="zh-CN"/>
              </w:rPr>
              <w:t>夜</w:t>
            </w:r>
            <w:r>
              <w:rPr>
                <w:rFonts w:hint="default" w:ascii="Times New Roman" w:hAnsi="Times New Roman" w:eastAsia="宋体" w:cs="Times New Roman"/>
                <w:b w:val="0"/>
                <w:bCs/>
                <w:color w:val="auto"/>
                <w:sz w:val="24"/>
                <w:szCs w:val="24"/>
                <w:highlight w:val="none"/>
                <w:lang w:val="en-US" w:eastAsia="zh-CN"/>
              </w:rPr>
              <w:t>间</w:t>
            </w:r>
            <w:r>
              <w:rPr>
                <w:rFonts w:hint="default" w:ascii="Times New Roman" w:hAnsi="Times New Roman" w:eastAsia="宋体" w:cs="Times New Roman"/>
                <w:b w:val="0"/>
                <w:bCs/>
                <w:color w:val="auto"/>
                <w:sz w:val="24"/>
                <w:szCs w:val="24"/>
                <w:highlight w:val="none"/>
              </w:rPr>
              <w:t>噪声</w:t>
            </w:r>
            <w:r>
              <w:rPr>
                <w:rFonts w:hint="eastAsia" w:cs="Times New Roman"/>
                <w:b w:val="0"/>
                <w:bCs/>
                <w:color w:val="auto"/>
                <w:sz w:val="24"/>
                <w:szCs w:val="24"/>
                <w:highlight w:val="none"/>
                <w:lang w:eastAsia="zh-CN"/>
              </w:rPr>
              <w:t>均</w:t>
            </w:r>
            <w:r>
              <w:rPr>
                <w:rFonts w:hint="default" w:ascii="Times New Roman" w:hAnsi="Times New Roman" w:eastAsia="宋体" w:cs="Times New Roman"/>
                <w:b w:val="0"/>
                <w:bCs/>
                <w:color w:val="auto"/>
                <w:sz w:val="24"/>
                <w:szCs w:val="24"/>
                <w:highlight w:val="none"/>
                <w:lang w:val="en-US" w:eastAsia="zh-CN"/>
              </w:rPr>
              <w:t>能</w:t>
            </w:r>
            <w:r>
              <w:rPr>
                <w:rFonts w:hint="default" w:ascii="Times New Roman" w:hAnsi="Times New Roman" w:eastAsia="宋体" w:cs="Times New Roman"/>
                <w:b w:val="0"/>
                <w:bCs/>
                <w:color w:val="auto"/>
                <w:sz w:val="24"/>
                <w:szCs w:val="24"/>
                <w:highlight w:val="none"/>
              </w:rPr>
              <w:t>达到《工业企业厂界环境噪声排放标准》（GB12348-2008）中</w:t>
            </w:r>
            <w:r>
              <w:rPr>
                <w:rFonts w:hint="eastAsia" w:ascii="Times New Roman" w:hAnsi="Times New Roman"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类标准</w:t>
            </w:r>
            <w:r>
              <w:rPr>
                <w:rFonts w:hint="default" w:ascii="Times New Roman" w:hAnsi="Times New Roman" w:eastAsia="宋体" w:cs="Times New Roman"/>
                <w:b w:val="0"/>
                <w:bCs/>
                <w:color w:val="auto"/>
                <w:sz w:val="24"/>
                <w:szCs w:val="24"/>
                <w:highlight w:val="none"/>
                <w:lang w:eastAsia="zh-CN"/>
              </w:rPr>
              <w:t>。</w:t>
            </w:r>
          </w:p>
          <w:p w14:paraId="3FF18C7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（4）固体废物</w:t>
            </w:r>
          </w:p>
          <w:p w14:paraId="2DB321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1）原有固体废物治理措施</w:t>
            </w:r>
          </w:p>
          <w:p w14:paraId="0569EB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eastAsia="宋体" w:cs="Times New Roman"/>
                <w:b w:val="0"/>
                <w:bCs/>
                <w:color w:val="auto"/>
                <w:sz w:val="24"/>
                <w:szCs w:val="24"/>
                <w:highlight w:val="none"/>
                <w:lang w:val="zh-CN" w:eastAsia="zh-CN"/>
              </w:rPr>
              <w:t>根据批准过的环评报告、</w:t>
            </w:r>
            <w:r>
              <w:rPr>
                <w:rFonts w:hint="eastAsia" w:eastAsia="宋体" w:cs="Times New Roman"/>
                <w:b w:val="0"/>
                <w:bCs/>
                <w:color w:val="auto"/>
                <w:sz w:val="24"/>
                <w:szCs w:val="24"/>
                <w:highlight w:val="none"/>
                <w:lang w:val="zh-CN" w:eastAsia="zh-CN"/>
              </w:rPr>
              <w:t>建设项目竣工环境保护</w:t>
            </w:r>
            <w:r>
              <w:rPr>
                <w:rFonts w:hint="default" w:eastAsia="宋体" w:cs="Times New Roman"/>
                <w:b w:val="0"/>
                <w:bCs/>
                <w:color w:val="auto"/>
                <w:sz w:val="24"/>
                <w:szCs w:val="24"/>
                <w:highlight w:val="none"/>
                <w:lang w:val="zh-CN" w:eastAsia="zh-CN"/>
              </w:rPr>
              <w:t>验收报告以及实际调查情况，</w:t>
            </w:r>
            <w:r>
              <w:rPr>
                <w:rFonts w:hint="default"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val="zh-CN" w:eastAsia="zh-CN"/>
              </w:rPr>
              <w:t>固体废物采取以下处置措施：</w:t>
            </w:r>
          </w:p>
          <w:p w14:paraId="4B1DA8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fldChar w:fldCharType="begin"/>
            </w:r>
            <w:r>
              <w:rPr>
                <w:rFonts w:hint="default" w:ascii="Times New Roman" w:hAnsi="Times New Roman" w:eastAsia="宋体" w:cs="Times New Roman"/>
                <w:color w:val="auto"/>
                <w:sz w:val="24"/>
                <w:szCs w:val="24"/>
                <w:highlight w:val="none"/>
                <w:lang w:val="zh-CN" w:eastAsia="zh-CN"/>
              </w:rPr>
              <w:instrText xml:space="preserve"> = 1 \* GB3 \* MERGEFORMAT </w:instrText>
            </w:r>
            <w:r>
              <w:rPr>
                <w:rFonts w:hint="default" w:ascii="Times New Roman" w:hAnsi="Times New Roman" w:eastAsia="宋体" w:cs="Times New Roman"/>
                <w:color w:val="auto"/>
                <w:sz w:val="24"/>
                <w:szCs w:val="24"/>
                <w:highlight w:val="none"/>
                <w:lang w:val="zh-CN" w:eastAsia="zh-CN"/>
              </w:rPr>
              <w:fldChar w:fldCharType="separate"/>
            </w:r>
            <w:r>
              <w:rPr>
                <w:rFonts w:hint="default" w:ascii="Times New Roman" w:hAnsi="Times New Roman" w:eastAsia="宋体" w:cs="Times New Roman"/>
                <w:color w:val="auto"/>
                <w:sz w:val="24"/>
                <w:szCs w:val="24"/>
                <w:highlight w:val="none"/>
                <w:lang w:val="zh-CN" w:eastAsia="zh-CN"/>
              </w:rPr>
              <w:t>①</w:t>
            </w:r>
            <w:r>
              <w:rPr>
                <w:rFonts w:hint="default" w:ascii="Times New Roman" w:hAnsi="Times New Roman" w:eastAsia="宋体" w:cs="Times New Roman"/>
                <w:color w:val="auto"/>
                <w:sz w:val="24"/>
                <w:szCs w:val="24"/>
                <w:highlight w:val="none"/>
                <w:lang w:val="zh-CN" w:eastAsia="zh-CN"/>
              </w:rPr>
              <w:fldChar w:fldCharType="end"/>
            </w:r>
            <w:r>
              <w:rPr>
                <w:rFonts w:hint="default" w:ascii="Times New Roman" w:hAnsi="Times New Roman" w:eastAsia="宋体" w:cs="Times New Roman"/>
                <w:color w:val="auto"/>
                <w:sz w:val="24"/>
                <w:szCs w:val="24"/>
                <w:highlight w:val="none"/>
                <w:lang w:val="zh-CN" w:eastAsia="zh-CN"/>
              </w:rPr>
              <w:t>项目购置的原片玻璃包装材料用完后剩下的固定架均由供应商回收利用</w:t>
            </w:r>
            <w:r>
              <w:rPr>
                <w:rFonts w:hint="eastAsia" w:ascii="Times New Roman" w:hAnsi="Times New Roman" w:eastAsia="宋体" w:cs="Times New Roman"/>
                <w:color w:val="auto"/>
                <w:sz w:val="24"/>
                <w:szCs w:val="24"/>
                <w:highlight w:val="none"/>
                <w:lang w:val="zh-CN" w:eastAsia="zh-CN"/>
              </w:rPr>
              <w:t>；</w:t>
            </w:r>
          </w:p>
          <w:p w14:paraId="413783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②项目产生的废弃玻璃和边角料，经碎玻璃收集箱收集后全部暂存于一般固废暂存处，后定期出售给废玻璃回收商；</w:t>
            </w:r>
          </w:p>
          <w:p w14:paraId="3896DC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③项目产生的</w:t>
            </w:r>
            <w:r>
              <w:rPr>
                <w:rFonts w:hint="eastAsia" w:ascii="宋体" w:hAnsi="宋体"/>
                <w:color w:val="auto"/>
                <w:sz w:val="24"/>
                <w:highlight w:val="none"/>
                <w:lang w:val="zh-CN"/>
              </w:rPr>
              <w:t>磨边废水沉淀池沉渣</w:t>
            </w:r>
            <w:r>
              <w:rPr>
                <w:rFonts w:hint="eastAsia" w:ascii="Times New Roman" w:hAnsi="Times New Roman" w:eastAsia="宋体" w:cs="Times New Roman"/>
                <w:color w:val="auto"/>
                <w:sz w:val="24"/>
                <w:szCs w:val="24"/>
                <w:highlight w:val="none"/>
                <w:lang w:val="zh-CN" w:eastAsia="zh-CN"/>
              </w:rPr>
              <w:t>定期打捞后，收集至碎玻璃收集箱</w:t>
            </w:r>
            <w:r>
              <w:rPr>
                <w:rFonts w:hint="eastAsia"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zh-CN" w:eastAsia="zh-CN"/>
              </w:rPr>
              <w:t>全部</w:t>
            </w:r>
            <w:r>
              <w:rPr>
                <w:rFonts w:hint="eastAsia" w:cs="Times New Roman"/>
                <w:color w:val="auto"/>
                <w:sz w:val="24"/>
                <w:szCs w:val="24"/>
                <w:highlight w:val="none"/>
                <w:lang w:val="zh-CN" w:eastAsia="zh-CN"/>
              </w:rPr>
              <w:t>暂存</w:t>
            </w:r>
            <w:r>
              <w:rPr>
                <w:rFonts w:hint="eastAsia" w:ascii="Times New Roman" w:hAnsi="Times New Roman" w:eastAsia="宋体" w:cs="Times New Roman"/>
                <w:color w:val="auto"/>
                <w:sz w:val="24"/>
                <w:szCs w:val="24"/>
                <w:highlight w:val="none"/>
                <w:lang w:val="zh-CN" w:eastAsia="zh-CN"/>
              </w:rPr>
              <w:t>于一般固废暂存处，后定期出售给废玻璃回收商；</w:t>
            </w:r>
          </w:p>
          <w:p w14:paraId="2324DC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④项目生活垃圾采用生活垃圾桶统一收集后，委托环卫部门清运</w:t>
            </w:r>
            <w:r>
              <w:rPr>
                <w:rFonts w:hint="eastAsia" w:cs="Times New Roman"/>
                <w:color w:val="auto"/>
                <w:sz w:val="24"/>
                <w:szCs w:val="24"/>
                <w:highlight w:val="none"/>
                <w:lang w:val="zh-CN" w:eastAsia="zh-CN"/>
              </w:rPr>
              <w:t>处置；</w:t>
            </w:r>
          </w:p>
          <w:p w14:paraId="59DD71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⑤铝条切割工序产生的铝条角料，采用袋装收集，经集中收集后外售给废品收购商；</w:t>
            </w:r>
          </w:p>
          <w:p w14:paraId="730AA1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cs="Times New Roman"/>
                <w:color w:val="auto"/>
                <w:sz w:val="24"/>
                <w:szCs w:val="24"/>
                <w:highlight w:val="none"/>
                <w:lang w:val="zh-CN" w:eastAsia="zh-CN"/>
              </w:rPr>
              <w:t>⑥食堂泔水及</w:t>
            </w:r>
            <w:r>
              <w:rPr>
                <w:rFonts w:hint="eastAsia" w:ascii="Times New Roman" w:hAnsi="Times New Roman" w:eastAsia="宋体" w:cs="Times New Roman"/>
                <w:color w:val="auto"/>
                <w:sz w:val="24"/>
                <w:szCs w:val="24"/>
                <w:highlight w:val="none"/>
                <w:lang w:val="zh-CN" w:eastAsia="zh-CN"/>
              </w:rPr>
              <w:t>隔油池废油脂</w:t>
            </w:r>
            <w:r>
              <w:rPr>
                <w:rFonts w:hint="default" w:ascii="Times New Roman" w:hAnsi="Times New Roman" w:eastAsia="宋体" w:cs="Times New Roman"/>
                <w:color w:val="auto"/>
                <w:sz w:val="24"/>
                <w:szCs w:val="24"/>
                <w:highlight w:val="none"/>
                <w:lang w:val="en-US" w:eastAsia="zh-CN"/>
              </w:rPr>
              <w:t>委托有资质的单位定期清掏处置</w:t>
            </w:r>
            <w:r>
              <w:rPr>
                <w:rFonts w:hint="eastAsia" w:cs="Times New Roman"/>
                <w:color w:val="auto"/>
                <w:sz w:val="24"/>
                <w:szCs w:val="24"/>
                <w:highlight w:val="none"/>
                <w:lang w:val="en-US" w:eastAsia="zh-CN"/>
              </w:rPr>
              <w:t>；</w:t>
            </w:r>
          </w:p>
          <w:p w14:paraId="0FC8DA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cs="Times New Roman"/>
                <w:color w:val="auto"/>
                <w:sz w:val="24"/>
                <w:szCs w:val="24"/>
                <w:highlight w:val="none"/>
                <w:lang w:val="zh-CN" w:eastAsia="zh-CN"/>
              </w:rPr>
              <w:t>⑦</w:t>
            </w:r>
            <w:r>
              <w:rPr>
                <w:rFonts w:hint="eastAsia" w:ascii="Times New Roman" w:hAnsi="Times New Roman" w:eastAsia="宋体" w:cs="Times New Roman"/>
                <w:color w:val="auto"/>
                <w:sz w:val="24"/>
                <w:szCs w:val="24"/>
                <w:highlight w:val="none"/>
                <w:lang w:val="zh-CN" w:eastAsia="zh-CN"/>
              </w:rPr>
              <w:t>磨砂废水沉淀池中产生的</w:t>
            </w:r>
            <w:r>
              <w:rPr>
                <w:rFonts w:hint="eastAsia" w:cs="Times New Roman"/>
                <w:color w:val="auto"/>
                <w:sz w:val="24"/>
                <w:szCs w:val="24"/>
                <w:highlight w:val="none"/>
                <w:lang w:val="zh-CN" w:eastAsia="zh-CN"/>
              </w:rPr>
              <w:t>废金刚砂</w:t>
            </w:r>
            <w:r>
              <w:rPr>
                <w:rFonts w:hint="eastAsia" w:ascii="Times New Roman" w:hAnsi="Times New Roman" w:eastAsia="宋体" w:cs="Times New Roman"/>
                <w:color w:val="auto"/>
                <w:sz w:val="24"/>
                <w:szCs w:val="24"/>
                <w:highlight w:val="none"/>
                <w:lang w:val="zh-CN" w:eastAsia="zh-CN"/>
              </w:rPr>
              <w:t>收集后作为一般固废出售给当地建筑单位使用；</w:t>
            </w:r>
          </w:p>
          <w:p w14:paraId="577727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cs="Times New Roman"/>
                <w:color w:val="auto"/>
                <w:sz w:val="24"/>
                <w:szCs w:val="24"/>
                <w:highlight w:val="none"/>
                <w:lang w:val="zh-CN" w:eastAsia="zh-CN"/>
              </w:rPr>
              <w:t>⑧</w:t>
            </w:r>
            <w:r>
              <w:rPr>
                <w:rFonts w:hint="eastAsia" w:ascii="Times New Roman" w:hAnsi="Times New Roman" w:eastAsia="宋体" w:cs="Times New Roman"/>
                <w:color w:val="auto"/>
                <w:sz w:val="24"/>
                <w:szCs w:val="24"/>
                <w:highlight w:val="none"/>
                <w:lang w:val="zh-CN" w:eastAsia="zh-CN"/>
              </w:rPr>
              <w:t>化粪池产生的污泥委托环卫部门定期清掏处理；</w:t>
            </w:r>
          </w:p>
          <w:p w14:paraId="010301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cs="Times New Roman"/>
                <w:color w:val="auto"/>
                <w:sz w:val="24"/>
                <w:szCs w:val="24"/>
                <w:highlight w:val="none"/>
                <w:lang w:val="zh-CN" w:eastAsia="zh-CN"/>
              </w:rPr>
              <w:t>⑨</w:t>
            </w:r>
            <w:r>
              <w:rPr>
                <w:rFonts w:hint="eastAsia" w:ascii="Times New Roman" w:hAnsi="Times New Roman" w:eastAsia="宋体" w:cs="Times New Roman"/>
                <w:color w:val="auto"/>
                <w:sz w:val="24"/>
                <w:szCs w:val="24"/>
                <w:highlight w:val="none"/>
                <w:lang w:val="zh-CN" w:eastAsia="zh-CN"/>
              </w:rPr>
              <w:t>中水处理站</w:t>
            </w:r>
            <w:r>
              <w:rPr>
                <w:rFonts w:hint="eastAsia" w:cs="Times New Roman"/>
                <w:color w:val="auto"/>
                <w:sz w:val="24"/>
                <w:szCs w:val="24"/>
                <w:highlight w:val="none"/>
                <w:lang w:val="zh-CN" w:eastAsia="zh-CN"/>
              </w:rPr>
              <w:t>产生的</w:t>
            </w:r>
            <w:r>
              <w:rPr>
                <w:rFonts w:hint="eastAsia" w:ascii="Times New Roman" w:hAnsi="Times New Roman" w:eastAsia="宋体" w:cs="Times New Roman"/>
                <w:color w:val="auto"/>
                <w:sz w:val="24"/>
                <w:szCs w:val="24"/>
                <w:highlight w:val="none"/>
                <w:lang w:val="zh-CN" w:eastAsia="zh-CN"/>
              </w:rPr>
              <w:t>污泥定期委托环卫部门清运卫生填埋；</w:t>
            </w:r>
          </w:p>
          <w:p w14:paraId="58853A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⑩丁基密封胶、硅酮密封胶外部盛装铁桶收集后存放于一般固废暂存处，定期外售废品回收单位；</w:t>
            </w:r>
          </w:p>
          <w:p w14:paraId="559508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⑪</w:t>
            </w:r>
            <w:r>
              <w:rPr>
                <w:rFonts w:hint="eastAsia" w:ascii="Times New Roman" w:hAnsi="Times New Roman" w:eastAsia="宋体" w:cs="Times New Roman"/>
                <w:color w:val="auto"/>
                <w:sz w:val="24"/>
                <w:szCs w:val="24"/>
                <w:highlight w:val="none"/>
                <w:lang w:val="zh-CN" w:eastAsia="zh-CN"/>
              </w:rPr>
              <w:t>项目所产生的废胶</w:t>
            </w:r>
            <w:r>
              <w:rPr>
                <w:rFonts w:hint="eastAsia" w:ascii="Times New Roman" w:hAnsi="Times New Roman" w:eastAsia="宋体" w:cs="Times New Roman"/>
                <w:color w:val="auto"/>
                <w:sz w:val="24"/>
                <w:szCs w:val="24"/>
                <w:highlight w:val="none"/>
                <w:lang w:val="en-US" w:eastAsia="zh-CN"/>
              </w:rPr>
              <w:t>袋</w:t>
            </w:r>
            <w:r>
              <w:rPr>
                <w:rFonts w:hint="eastAsia" w:ascii="Times New Roman" w:hAnsi="Times New Roman" w:eastAsia="宋体" w:cs="Times New Roman"/>
                <w:color w:val="auto"/>
                <w:sz w:val="24"/>
                <w:szCs w:val="24"/>
                <w:highlight w:val="none"/>
                <w:lang w:val="zh-CN" w:eastAsia="zh-CN"/>
              </w:rPr>
              <w:t>统一收集至危险废物暂存间内，</w:t>
            </w:r>
            <w:r>
              <w:rPr>
                <w:rFonts w:hint="eastAsia" w:cs="Times New Roman"/>
                <w:color w:val="auto"/>
                <w:sz w:val="24"/>
                <w:szCs w:val="24"/>
                <w:highlight w:val="none"/>
                <w:lang w:val="zh-CN" w:eastAsia="zh-CN"/>
              </w:rPr>
              <w:t>定期</w:t>
            </w:r>
            <w:r>
              <w:rPr>
                <w:rFonts w:hint="eastAsia" w:ascii="Times New Roman" w:hAnsi="Times New Roman" w:eastAsia="宋体" w:cs="Times New Roman"/>
                <w:color w:val="auto"/>
                <w:sz w:val="24"/>
                <w:szCs w:val="24"/>
                <w:highlight w:val="none"/>
                <w:lang w:val="zh-CN" w:eastAsia="zh-CN"/>
              </w:rPr>
              <w:t>委托</w:t>
            </w:r>
            <w:r>
              <w:rPr>
                <w:rFonts w:hint="eastAsia" w:ascii="Times New Roman" w:hAnsi="Times New Roman" w:eastAsia="宋体" w:cs="Times New Roman"/>
                <w:color w:val="auto"/>
                <w:sz w:val="24"/>
                <w:szCs w:val="24"/>
                <w:highlight w:val="none"/>
                <w:lang w:val="en-US" w:eastAsia="zh-CN"/>
              </w:rPr>
              <w:t>云南大地丰源环保有限公司清运</w:t>
            </w:r>
            <w:r>
              <w:rPr>
                <w:rFonts w:hint="eastAsia" w:ascii="Times New Roman" w:hAnsi="Times New Roman" w:eastAsia="宋体" w:cs="Times New Roman"/>
                <w:color w:val="auto"/>
                <w:sz w:val="24"/>
                <w:szCs w:val="24"/>
                <w:highlight w:val="none"/>
                <w:lang w:val="zh-CN" w:eastAsia="zh-CN"/>
              </w:rPr>
              <w:t>处置；</w:t>
            </w:r>
          </w:p>
          <w:p w14:paraId="323221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lang w:val="zh-CN" w:eastAsia="zh-CN"/>
              </w:rPr>
            </w:pPr>
            <w:r>
              <w:rPr>
                <w:rFonts w:hint="default" w:ascii="Times New Roman" w:hAnsi="Times New Roman" w:eastAsia="宋体" w:cs="Times New Roman"/>
                <w:color w:val="auto"/>
                <w:sz w:val="24"/>
                <w:szCs w:val="24"/>
                <w:highlight w:val="none"/>
                <w:lang w:val="en-US" w:eastAsia="zh-CN"/>
              </w:rPr>
              <w:t>⑫</w:t>
            </w:r>
            <w:r>
              <w:rPr>
                <w:rFonts w:hint="eastAsia"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zh-CN" w:eastAsia="zh-CN"/>
              </w:rPr>
              <w:t>使用叉车，生产设备日常检修、保养过程中产生的废矿物油，利用加盖防渗、不锈钢桶分类收集后暂存于危废暂存间内，</w:t>
            </w:r>
            <w:r>
              <w:rPr>
                <w:rFonts w:hint="eastAsia" w:cs="Times New Roman"/>
                <w:color w:val="auto"/>
                <w:sz w:val="24"/>
                <w:szCs w:val="24"/>
                <w:highlight w:val="none"/>
                <w:lang w:val="zh-CN" w:eastAsia="zh-CN"/>
              </w:rPr>
              <w:t>定期</w:t>
            </w:r>
            <w:r>
              <w:rPr>
                <w:rFonts w:hint="eastAsia" w:ascii="Times New Roman" w:hAnsi="Times New Roman" w:eastAsia="宋体" w:cs="Times New Roman"/>
                <w:color w:val="auto"/>
                <w:sz w:val="24"/>
                <w:szCs w:val="24"/>
                <w:highlight w:val="none"/>
                <w:lang w:val="zh-CN" w:eastAsia="zh-CN"/>
              </w:rPr>
              <w:t>委托</w:t>
            </w:r>
            <w:r>
              <w:rPr>
                <w:rFonts w:hint="eastAsia" w:ascii="Times New Roman" w:hAnsi="Times New Roman" w:eastAsia="宋体" w:cs="Times New Roman"/>
                <w:color w:val="auto"/>
                <w:sz w:val="24"/>
                <w:szCs w:val="24"/>
                <w:highlight w:val="none"/>
                <w:lang w:val="en-US" w:eastAsia="zh-CN"/>
              </w:rPr>
              <w:t>云南大地丰源环保有限公司</w:t>
            </w:r>
            <w:r>
              <w:rPr>
                <w:rFonts w:hint="eastAsia" w:ascii="Times New Roman" w:hAnsi="Times New Roman" w:eastAsia="宋体" w:cs="Times New Roman"/>
                <w:color w:val="auto"/>
                <w:sz w:val="24"/>
                <w:szCs w:val="24"/>
                <w:highlight w:val="none"/>
                <w:lang w:val="zh-CN" w:eastAsia="zh-CN"/>
              </w:rPr>
              <w:t>定期清运处置</w:t>
            </w:r>
            <w:r>
              <w:rPr>
                <w:rFonts w:hint="eastAsia" w:cs="Times New Roman"/>
                <w:color w:val="auto"/>
                <w:sz w:val="24"/>
                <w:szCs w:val="24"/>
                <w:highlight w:val="none"/>
                <w:lang w:val="zh-CN" w:eastAsia="zh-CN"/>
              </w:rPr>
              <w:t>。</w:t>
            </w:r>
          </w:p>
          <w:p w14:paraId="0A8FB8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原项目固体废物产生及处</w:t>
            </w:r>
            <w:r>
              <w:rPr>
                <w:rFonts w:hint="eastAsia" w:cs="Times New Roman"/>
                <w:color w:val="auto"/>
                <w:sz w:val="24"/>
                <w:szCs w:val="24"/>
                <w:highlight w:val="none"/>
                <w:lang w:val="en-US" w:eastAsia="zh-CN"/>
              </w:rPr>
              <w:t>置情况见表2-18</w:t>
            </w:r>
            <w:r>
              <w:rPr>
                <w:rFonts w:hint="default" w:ascii="Times New Roman" w:hAnsi="Times New Roman" w:eastAsia="宋体" w:cs="Times New Roman"/>
                <w:color w:val="auto"/>
                <w:sz w:val="24"/>
                <w:szCs w:val="24"/>
                <w:highlight w:val="none"/>
                <w:lang w:val="zh-CN" w:eastAsia="zh-CN"/>
              </w:rPr>
              <w:t>。</w:t>
            </w:r>
          </w:p>
          <w:p w14:paraId="33FF58F4">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-1</w:t>
            </w:r>
            <w:r>
              <w:rPr>
                <w:rFonts w:hint="eastAsia" w:cs="Times New Roman"/>
                <w:b/>
                <w:bCs/>
                <w:color w:val="auto"/>
                <w:szCs w:val="21"/>
                <w:highlight w:val="none"/>
                <w:lang w:val="en-US" w:eastAsia="zh-CN"/>
              </w:rPr>
              <w:t>8</w:t>
            </w:r>
            <w:r>
              <w:rPr>
                <w:rFonts w:hint="default" w:ascii="Times New Roman" w:hAnsi="Times New Roman" w:eastAsia="宋体" w:cs="Times New Roman"/>
                <w:b/>
                <w:bCs/>
                <w:color w:val="auto"/>
                <w:szCs w:val="21"/>
                <w:highlight w:val="none"/>
              </w:rPr>
              <w:t xml:space="preserve">  </w:t>
            </w:r>
            <w:r>
              <w:rPr>
                <w:rFonts w:hint="eastAsia" w:cs="Times New Roman"/>
                <w:b/>
                <w:bCs/>
                <w:color w:val="auto"/>
                <w:szCs w:val="21"/>
                <w:highlight w:val="none"/>
                <w:lang w:val="en-US" w:eastAsia="zh-CN"/>
              </w:rPr>
              <w:t>原项目固体废物产生及处置情况一览表</w:t>
            </w:r>
          </w:p>
          <w:tbl>
            <w:tblPr>
              <w:tblStyle w:val="25"/>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1155"/>
              <w:gridCol w:w="4571"/>
            </w:tblGrid>
            <w:tr w14:paraId="68D0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 w:hRule="atLeast"/>
                <w:jc w:val="center"/>
              </w:trPr>
              <w:tc>
                <w:tcPr>
                  <w:tcW w:w="2531" w:type="dxa"/>
                  <w:vAlign w:val="center"/>
                </w:tcPr>
                <w:p w14:paraId="738224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名称</w:t>
                  </w:r>
                </w:p>
              </w:tc>
              <w:tc>
                <w:tcPr>
                  <w:tcW w:w="1155" w:type="dxa"/>
                  <w:vAlign w:val="center"/>
                </w:tcPr>
                <w:p w14:paraId="26A0A1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产生量（t/a）</w:t>
                  </w:r>
                </w:p>
              </w:tc>
              <w:tc>
                <w:tcPr>
                  <w:tcW w:w="4571" w:type="dxa"/>
                  <w:vAlign w:val="center"/>
                </w:tcPr>
                <w:p w14:paraId="27B73F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处置方式</w:t>
                  </w:r>
                </w:p>
              </w:tc>
            </w:tr>
            <w:tr w14:paraId="2434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2531" w:type="dxa"/>
                  <w:vAlign w:val="center"/>
                </w:tcPr>
                <w:p w14:paraId="17A31ABD">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玻璃废旧包装材料</w:t>
                  </w:r>
                </w:p>
              </w:tc>
              <w:tc>
                <w:tcPr>
                  <w:tcW w:w="1155" w:type="dxa"/>
                  <w:vAlign w:val="center"/>
                </w:tcPr>
                <w:p w14:paraId="7E935DBE">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40</w:t>
                  </w:r>
                </w:p>
              </w:tc>
              <w:tc>
                <w:tcPr>
                  <w:tcW w:w="4571" w:type="dxa"/>
                  <w:vAlign w:val="center"/>
                </w:tcPr>
                <w:p w14:paraId="3A28EFF2">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由供应商回收利用</w:t>
                  </w:r>
                </w:p>
              </w:tc>
            </w:tr>
            <w:tr w14:paraId="53AD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2531" w:type="dxa"/>
                  <w:vAlign w:val="center"/>
                </w:tcPr>
                <w:p w14:paraId="09B4D0C9">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废弃玻璃和边角料</w:t>
                  </w:r>
                </w:p>
              </w:tc>
              <w:tc>
                <w:tcPr>
                  <w:tcW w:w="1155" w:type="dxa"/>
                  <w:vAlign w:val="center"/>
                </w:tcPr>
                <w:p w14:paraId="6500B6FD">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312</w:t>
                  </w:r>
                </w:p>
              </w:tc>
              <w:tc>
                <w:tcPr>
                  <w:tcW w:w="4571" w:type="dxa"/>
                  <w:vAlign w:val="center"/>
                </w:tcPr>
                <w:p w14:paraId="0B9335D3">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经碎玻璃收集箱收集后全部暂存于一般固废暂存处，后定期出售给废玻璃回收商</w:t>
                  </w:r>
                </w:p>
              </w:tc>
            </w:tr>
            <w:tr w14:paraId="3F5A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2531" w:type="dxa"/>
                  <w:vAlign w:val="center"/>
                </w:tcPr>
                <w:p w14:paraId="476DB8CE">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磨边废水沉淀池沉渣</w:t>
                  </w:r>
                </w:p>
              </w:tc>
              <w:tc>
                <w:tcPr>
                  <w:tcW w:w="1155" w:type="dxa"/>
                  <w:vAlign w:val="center"/>
                </w:tcPr>
                <w:p w14:paraId="746C0357">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104</w:t>
                  </w:r>
                </w:p>
              </w:tc>
              <w:tc>
                <w:tcPr>
                  <w:tcW w:w="4571" w:type="dxa"/>
                  <w:vAlign w:val="center"/>
                </w:tcPr>
                <w:p w14:paraId="0E3485AC">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定期打捞后，收集至碎玻璃收集箱，全部暂存于一般固废暂存处，后定期出售给废玻璃回收商</w:t>
                  </w:r>
                </w:p>
              </w:tc>
            </w:tr>
            <w:tr w14:paraId="1192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2531" w:type="dxa"/>
                  <w:vAlign w:val="center"/>
                </w:tcPr>
                <w:p w14:paraId="7FF0A6FC">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员工生活垃圾</w:t>
                  </w:r>
                </w:p>
              </w:tc>
              <w:tc>
                <w:tcPr>
                  <w:tcW w:w="1155" w:type="dxa"/>
                  <w:vAlign w:val="center"/>
                </w:tcPr>
                <w:p w14:paraId="4F880697">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4571" w:type="dxa"/>
                  <w:vAlign w:val="center"/>
                </w:tcPr>
                <w:p w14:paraId="6B63F3C4">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采用生活垃圾桶统一收集后，委托环卫部门清运处置</w:t>
                  </w:r>
                </w:p>
              </w:tc>
            </w:tr>
            <w:tr w14:paraId="4F17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2531" w:type="dxa"/>
                  <w:vAlign w:val="center"/>
                </w:tcPr>
                <w:p w14:paraId="77B3FCD6">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铝条</w:t>
                  </w:r>
                  <w:r>
                    <w:rPr>
                      <w:rFonts w:hint="eastAsia" w:cs="Times New Roman"/>
                      <w:color w:val="auto"/>
                      <w:sz w:val="21"/>
                      <w:szCs w:val="21"/>
                      <w:highlight w:val="none"/>
                      <w:lang w:val="en-US" w:eastAsia="zh-CN"/>
                    </w:rPr>
                    <w:t>角</w:t>
                  </w:r>
                  <w:r>
                    <w:rPr>
                      <w:rFonts w:hint="default" w:ascii="Times New Roman" w:hAnsi="Times New Roman" w:eastAsia="宋体" w:cs="Times New Roman"/>
                      <w:color w:val="auto"/>
                      <w:sz w:val="21"/>
                      <w:szCs w:val="21"/>
                      <w:highlight w:val="none"/>
                      <w:lang w:val="en-US" w:eastAsia="zh-CN"/>
                    </w:rPr>
                    <w:t>料</w:t>
                  </w:r>
                </w:p>
              </w:tc>
              <w:tc>
                <w:tcPr>
                  <w:tcW w:w="1155" w:type="dxa"/>
                  <w:vAlign w:val="center"/>
                </w:tcPr>
                <w:p w14:paraId="054DFEA3">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w:t>
                  </w:r>
                </w:p>
              </w:tc>
              <w:tc>
                <w:tcPr>
                  <w:tcW w:w="4571" w:type="dxa"/>
                  <w:vAlign w:val="center"/>
                </w:tcPr>
                <w:p w14:paraId="4665D4F2">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采用袋装收集，经集中收集后外售给废品收购商</w:t>
                  </w:r>
                </w:p>
              </w:tc>
            </w:tr>
            <w:tr w14:paraId="2934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531" w:type="dxa"/>
                  <w:vAlign w:val="center"/>
                </w:tcPr>
                <w:p w14:paraId="71165B3C">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食堂泔水及</w:t>
                  </w:r>
                  <w:r>
                    <w:rPr>
                      <w:rFonts w:hint="default" w:ascii="Times New Roman" w:hAnsi="Times New Roman" w:eastAsia="宋体" w:cs="Times New Roman"/>
                      <w:color w:val="auto"/>
                      <w:sz w:val="21"/>
                      <w:szCs w:val="21"/>
                      <w:highlight w:val="none"/>
                      <w:lang w:val="en-US" w:eastAsia="zh-CN"/>
                    </w:rPr>
                    <w:t>隔油池废油脂</w:t>
                  </w:r>
                </w:p>
              </w:tc>
              <w:tc>
                <w:tcPr>
                  <w:tcW w:w="1155" w:type="dxa"/>
                  <w:vAlign w:val="center"/>
                </w:tcPr>
                <w:p w14:paraId="1885A47C">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1.044</w:t>
                  </w:r>
                </w:p>
              </w:tc>
              <w:tc>
                <w:tcPr>
                  <w:tcW w:w="4571" w:type="dxa"/>
                  <w:vAlign w:val="center"/>
                </w:tcPr>
                <w:p w14:paraId="68A2A1EE">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委托有资质的单位定期清掏处置</w:t>
                  </w:r>
                </w:p>
              </w:tc>
            </w:tr>
            <w:tr w14:paraId="3509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2531" w:type="dxa"/>
                  <w:vAlign w:val="center"/>
                </w:tcPr>
                <w:p w14:paraId="62EB5DB3">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废金刚砂</w:t>
                  </w:r>
                </w:p>
              </w:tc>
              <w:tc>
                <w:tcPr>
                  <w:tcW w:w="1155" w:type="dxa"/>
                  <w:vAlign w:val="center"/>
                </w:tcPr>
                <w:p w14:paraId="2C6BB6F8">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0.6</w:t>
                  </w:r>
                </w:p>
              </w:tc>
              <w:tc>
                <w:tcPr>
                  <w:tcW w:w="4571" w:type="dxa"/>
                  <w:vAlign w:val="center"/>
                </w:tcPr>
                <w:p w14:paraId="769853D9">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收集后作为一般固废出售给当地建筑单位使用</w:t>
                  </w:r>
                </w:p>
              </w:tc>
            </w:tr>
            <w:tr w14:paraId="7CC2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2531" w:type="dxa"/>
                  <w:vAlign w:val="center"/>
                </w:tcPr>
                <w:p w14:paraId="505E0AE9">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化粪池污泥</w:t>
                  </w:r>
                </w:p>
              </w:tc>
              <w:tc>
                <w:tcPr>
                  <w:tcW w:w="1155" w:type="dxa"/>
                  <w:vAlign w:val="center"/>
                </w:tcPr>
                <w:p w14:paraId="04CEF5C3">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6 54</w:t>
                  </w:r>
                </w:p>
              </w:tc>
              <w:tc>
                <w:tcPr>
                  <w:tcW w:w="4571" w:type="dxa"/>
                  <w:vAlign w:val="center"/>
                </w:tcPr>
                <w:p w14:paraId="61921CCB">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委托环卫部门定期清掏处理</w:t>
                  </w:r>
                </w:p>
              </w:tc>
            </w:tr>
            <w:tr w14:paraId="31B0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2531" w:type="dxa"/>
                  <w:vAlign w:val="center"/>
                </w:tcPr>
                <w:p w14:paraId="6E8395D2">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中水</w:t>
                  </w:r>
                  <w:r>
                    <w:rPr>
                      <w:rFonts w:hint="eastAsia" w:cs="Times New Roman"/>
                      <w:color w:val="auto"/>
                      <w:sz w:val="21"/>
                      <w:szCs w:val="21"/>
                      <w:highlight w:val="none"/>
                      <w:lang w:val="en-US" w:eastAsia="zh-CN"/>
                    </w:rPr>
                    <w:t>处理站</w:t>
                  </w:r>
                  <w:r>
                    <w:rPr>
                      <w:rFonts w:hint="default" w:ascii="Times New Roman" w:hAnsi="Times New Roman" w:eastAsia="宋体" w:cs="Times New Roman"/>
                      <w:color w:val="auto"/>
                      <w:sz w:val="21"/>
                      <w:szCs w:val="21"/>
                      <w:highlight w:val="none"/>
                      <w:lang w:val="en-US" w:eastAsia="zh-CN"/>
                    </w:rPr>
                    <w:t>污泥</w:t>
                  </w:r>
                </w:p>
              </w:tc>
              <w:tc>
                <w:tcPr>
                  <w:tcW w:w="1155" w:type="dxa"/>
                  <w:vAlign w:val="center"/>
                </w:tcPr>
                <w:p w14:paraId="3DB9CBD6">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3.825</w:t>
                  </w:r>
                </w:p>
              </w:tc>
              <w:tc>
                <w:tcPr>
                  <w:tcW w:w="4571" w:type="dxa"/>
                  <w:vAlign w:val="center"/>
                </w:tcPr>
                <w:p w14:paraId="540D6531">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定期委托环卫部门清运卫生填埋</w:t>
                  </w:r>
                </w:p>
              </w:tc>
            </w:tr>
            <w:tr w14:paraId="2F0F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 w:hRule="atLeast"/>
                <w:jc w:val="center"/>
              </w:trPr>
              <w:tc>
                <w:tcPr>
                  <w:tcW w:w="2531" w:type="dxa"/>
                  <w:vAlign w:val="center"/>
                </w:tcPr>
                <w:p w14:paraId="76ABFA48">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丁基密封胶、硅酮密封胶外部盛装铁桶</w:t>
                  </w:r>
                </w:p>
              </w:tc>
              <w:tc>
                <w:tcPr>
                  <w:tcW w:w="1155" w:type="dxa"/>
                  <w:vAlign w:val="center"/>
                </w:tcPr>
                <w:p w14:paraId="2269E1B4">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w:t>
                  </w:r>
                </w:p>
              </w:tc>
              <w:tc>
                <w:tcPr>
                  <w:tcW w:w="4571" w:type="dxa"/>
                  <w:vAlign w:val="center"/>
                </w:tcPr>
                <w:p w14:paraId="2DD52329">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收集后存放于一般固废暂存处，定期外售废品回收单位</w:t>
                  </w:r>
                </w:p>
              </w:tc>
            </w:tr>
            <w:tr w14:paraId="4CCB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2531" w:type="dxa"/>
                  <w:vAlign w:val="center"/>
                </w:tcPr>
                <w:p w14:paraId="6FF47CC0">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废胶</w:t>
                  </w:r>
                  <w:r>
                    <w:rPr>
                      <w:rFonts w:hint="eastAsia" w:cs="Times New Roman"/>
                      <w:color w:val="auto"/>
                      <w:sz w:val="21"/>
                      <w:szCs w:val="21"/>
                      <w:highlight w:val="none"/>
                      <w:lang w:val="en-US" w:eastAsia="zh-CN"/>
                    </w:rPr>
                    <w:t>袋</w:t>
                  </w:r>
                </w:p>
              </w:tc>
              <w:tc>
                <w:tcPr>
                  <w:tcW w:w="1155" w:type="dxa"/>
                  <w:vAlign w:val="center"/>
                </w:tcPr>
                <w:p w14:paraId="442E894C">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w:t>
                  </w:r>
                  <w:r>
                    <w:rPr>
                      <w:rFonts w:hint="eastAsia"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34</w:t>
                  </w:r>
                </w:p>
              </w:tc>
              <w:tc>
                <w:tcPr>
                  <w:tcW w:w="4571" w:type="dxa"/>
                  <w:vAlign w:val="center"/>
                </w:tcPr>
                <w:p w14:paraId="7040E83E">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统一收集至危废暂存间内，</w:t>
                  </w:r>
                  <w:r>
                    <w:rPr>
                      <w:rFonts w:hint="eastAsia" w:cs="Times New Roman"/>
                      <w:color w:val="auto"/>
                      <w:sz w:val="21"/>
                      <w:szCs w:val="21"/>
                      <w:highlight w:val="none"/>
                      <w:lang w:val="en-US" w:eastAsia="zh-CN"/>
                    </w:rPr>
                    <w:t>定期</w:t>
                  </w:r>
                  <w:r>
                    <w:rPr>
                      <w:rFonts w:hint="default" w:ascii="Times New Roman" w:hAnsi="Times New Roman" w:eastAsia="宋体" w:cs="Times New Roman"/>
                      <w:color w:val="auto"/>
                      <w:sz w:val="21"/>
                      <w:szCs w:val="21"/>
                      <w:highlight w:val="none"/>
                      <w:lang w:val="en-US" w:eastAsia="zh-CN"/>
                    </w:rPr>
                    <w:t>委托云南大地丰源环保有限公司清运处置</w:t>
                  </w:r>
                </w:p>
              </w:tc>
            </w:tr>
            <w:tr w14:paraId="53BE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2531" w:type="dxa"/>
                  <w:vAlign w:val="center"/>
                </w:tcPr>
                <w:p w14:paraId="36B3EFD6">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155" w:type="dxa"/>
                  <w:vAlign w:val="center"/>
                </w:tcPr>
                <w:p w14:paraId="68DCC670">
                  <w:pPr>
                    <w:spacing w:before="43" w:line="21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0.16</w:t>
                  </w:r>
                </w:p>
              </w:tc>
              <w:tc>
                <w:tcPr>
                  <w:tcW w:w="4571" w:type="dxa"/>
                  <w:vAlign w:val="center"/>
                </w:tcPr>
                <w:p w14:paraId="3D73354B">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利用加盖防渗、不锈钢桶分类收集后暂存于危废暂存间内，定期委托云南大地丰源环保有限公司定期清运处置</w:t>
                  </w:r>
                </w:p>
              </w:tc>
            </w:tr>
          </w:tbl>
          <w:p w14:paraId="3DF2FBC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bCs w:val="0"/>
                <w:color w:val="auto"/>
                <w:sz w:val="24"/>
                <w:szCs w:val="24"/>
                <w:highlight w:val="none"/>
                <w:shd w:val="clear" w:color="auto" w:fill="auto"/>
                <w:lang w:val="en-US" w:eastAsia="zh-CN"/>
              </w:rPr>
            </w:pPr>
          </w:p>
          <w:p w14:paraId="46BB58F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s="Times New Roman"/>
                <w:b/>
                <w:bCs w:val="0"/>
                <w:color w:val="auto"/>
                <w:sz w:val="24"/>
                <w:szCs w:val="24"/>
                <w:highlight w:val="none"/>
                <w:shd w:val="clear" w:color="auto" w:fill="auto"/>
                <w:lang w:val="en-US" w:eastAsia="zh-CN"/>
              </w:rPr>
            </w:pPr>
            <w:r>
              <w:rPr>
                <w:rFonts w:hint="eastAsia" w:cs="Times New Roman"/>
                <w:b/>
                <w:bCs w:val="0"/>
                <w:color w:val="auto"/>
                <w:sz w:val="24"/>
                <w:szCs w:val="24"/>
                <w:highlight w:val="none"/>
                <w:shd w:val="clear" w:color="auto" w:fill="auto"/>
                <w:lang w:val="en-US" w:eastAsia="zh-CN"/>
              </w:rPr>
              <w:t>（5）原项目污染物变化情况</w:t>
            </w:r>
          </w:p>
          <w:p w14:paraId="36A004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eastAsia="zh-CN"/>
              </w:rPr>
            </w:pPr>
            <w:r>
              <w:rPr>
                <w:rFonts w:hint="eastAsia" w:cs="Times New Roman"/>
                <w:bCs/>
                <w:color w:val="auto"/>
                <w:sz w:val="24"/>
                <w:szCs w:val="24"/>
                <w:highlight w:val="none"/>
                <w:shd w:val="clear" w:color="auto" w:fill="auto"/>
                <w:lang w:val="en-US" w:eastAsia="zh-CN"/>
              </w:rPr>
              <w:t>根据项目实际情况，经对比环评及现行排污许可要求，原项目污染物变化情况见表2-19。</w:t>
            </w:r>
          </w:p>
          <w:p w14:paraId="20875F8B">
            <w:pPr>
              <w:adjustRightInd w:val="0"/>
              <w:snapToGrid w:val="0"/>
              <w:jc w:val="center"/>
              <w:rPr>
                <w:rFonts w:hint="default" w:ascii="Times New Roman" w:hAnsi="Times New Roman" w:eastAsia="宋体" w:cs="Times New Roman"/>
                <w:b/>
                <w:bCs/>
                <w:color w:val="auto"/>
                <w:szCs w:val="21"/>
                <w:highlight w:val="none"/>
              </w:rPr>
            </w:pPr>
          </w:p>
          <w:p w14:paraId="1523E402">
            <w:pPr>
              <w:adjustRightInd w:val="0"/>
              <w:snapToGrid w:val="0"/>
              <w:jc w:val="center"/>
              <w:rPr>
                <w:rFonts w:hint="default" w:ascii="Times New Roman" w:hAnsi="Times New Roman" w:eastAsia="宋体" w:cs="Times New Roman"/>
                <w:b/>
                <w:bCs/>
                <w:color w:val="auto"/>
                <w:szCs w:val="21"/>
                <w:highlight w:val="none"/>
              </w:rPr>
            </w:pPr>
          </w:p>
          <w:p w14:paraId="24C4447A">
            <w:pPr>
              <w:adjustRightInd w:val="0"/>
              <w:snapToGrid w:val="0"/>
              <w:jc w:val="center"/>
              <w:rPr>
                <w:rFonts w:hint="default" w:ascii="Times New Roman" w:hAnsi="Times New Roman" w:eastAsia="宋体" w:cs="Times New Roman"/>
                <w:b/>
                <w:bCs/>
                <w:color w:val="auto"/>
                <w:szCs w:val="21"/>
                <w:highlight w:val="none"/>
              </w:rPr>
            </w:pPr>
          </w:p>
          <w:p w14:paraId="61EA57BD">
            <w:pPr>
              <w:adjustRightInd w:val="0"/>
              <w:snapToGrid w:val="0"/>
              <w:jc w:val="both"/>
              <w:rPr>
                <w:rFonts w:hint="default" w:ascii="Times New Roman" w:hAnsi="Times New Roman" w:eastAsia="宋体" w:cs="Times New Roman"/>
                <w:b/>
                <w:bCs/>
                <w:color w:val="auto"/>
                <w:szCs w:val="21"/>
                <w:highlight w:val="none"/>
              </w:rPr>
            </w:pPr>
          </w:p>
          <w:p w14:paraId="23435DDB">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19</w:t>
            </w:r>
            <w:r>
              <w:rPr>
                <w:rFonts w:hint="default" w:ascii="Times New Roman" w:hAnsi="Times New Roman" w:eastAsia="宋体" w:cs="Times New Roman"/>
                <w:b/>
                <w:bCs/>
                <w:color w:val="auto"/>
                <w:szCs w:val="21"/>
                <w:highlight w:val="none"/>
              </w:rPr>
              <w:t xml:space="preserve">  </w:t>
            </w:r>
            <w:r>
              <w:rPr>
                <w:rFonts w:hint="eastAsia" w:cs="Times New Roman"/>
                <w:b/>
                <w:bCs/>
                <w:color w:val="auto"/>
                <w:szCs w:val="21"/>
                <w:highlight w:val="none"/>
                <w:lang w:val="en-US" w:eastAsia="zh-CN"/>
              </w:rPr>
              <w:t>原项目污染物变化情况一览表</w:t>
            </w:r>
          </w:p>
          <w:tbl>
            <w:tblPr>
              <w:tblStyle w:val="25"/>
              <w:tblW w:w="8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07"/>
              <w:gridCol w:w="1590"/>
              <w:gridCol w:w="1605"/>
              <w:gridCol w:w="1605"/>
              <w:gridCol w:w="870"/>
              <w:gridCol w:w="1128"/>
            </w:tblGrid>
            <w:tr w14:paraId="399A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791" w:type="dxa"/>
                  <w:vAlign w:val="center"/>
                </w:tcPr>
                <w:p w14:paraId="7914C839">
                  <w:pPr>
                    <w:adjustRightInd w:val="0"/>
                    <w:snapToGrid w:val="0"/>
                    <w:spacing w:line="0" w:lineRule="atLeast"/>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产污环节</w:t>
                  </w:r>
                </w:p>
              </w:tc>
              <w:tc>
                <w:tcPr>
                  <w:tcW w:w="807" w:type="dxa"/>
                  <w:vAlign w:val="center"/>
                </w:tcPr>
                <w:p w14:paraId="4A500E57">
                  <w:pPr>
                    <w:adjustRightInd w:val="0"/>
                    <w:snapToGrid w:val="0"/>
                    <w:spacing w:line="0" w:lineRule="atLeast"/>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污染物种类</w:t>
                  </w:r>
                </w:p>
              </w:tc>
              <w:tc>
                <w:tcPr>
                  <w:tcW w:w="1590" w:type="dxa"/>
                  <w:vAlign w:val="center"/>
                </w:tcPr>
                <w:p w14:paraId="06F81AB0">
                  <w:pPr>
                    <w:adjustRightInd w:val="0"/>
                    <w:snapToGrid w:val="0"/>
                    <w:spacing w:line="0" w:lineRule="atLeast"/>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治理措施</w:t>
                  </w:r>
                </w:p>
              </w:tc>
              <w:tc>
                <w:tcPr>
                  <w:tcW w:w="1605" w:type="dxa"/>
                  <w:vAlign w:val="center"/>
                </w:tcPr>
                <w:p w14:paraId="105B16F4">
                  <w:pPr>
                    <w:adjustRightInd w:val="0"/>
                    <w:snapToGrid w:val="0"/>
                    <w:spacing w:line="0" w:lineRule="atLeast"/>
                    <w:jc w:val="center"/>
                    <w:rPr>
                      <w:rFonts w:hint="default" w:cs="Times New Roman"/>
                      <w:b/>
                      <w:color w:val="auto"/>
                      <w:sz w:val="21"/>
                      <w:szCs w:val="21"/>
                      <w:highlight w:val="none"/>
                      <w:lang w:val="en-US" w:eastAsia="zh-CN"/>
                    </w:rPr>
                  </w:pPr>
                  <w:r>
                    <w:rPr>
                      <w:rFonts w:hint="eastAsia" w:cs="Times New Roman"/>
                      <w:b/>
                      <w:color w:val="auto"/>
                      <w:sz w:val="21"/>
                      <w:szCs w:val="21"/>
                      <w:highlight w:val="none"/>
                      <w:lang w:val="en-US" w:eastAsia="zh-CN"/>
                    </w:rPr>
                    <w:t>环评执行标准</w:t>
                  </w:r>
                </w:p>
              </w:tc>
              <w:tc>
                <w:tcPr>
                  <w:tcW w:w="1605" w:type="dxa"/>
                  <w:vAlign w:val="center"/>
                </w:tcPr>
                <w:p w14:paraId="514095BC">
                  <w:pPr>
                    <w:adjustRightInd w:val="0"/>
                    <w:snapToGrid w:val="0"/>
                    <w:spacing w:line="0" w:lineRule="atLeast"/>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排污许可执行标准</w:t>
                  </w:r>
                </w:p>
              </w:tc>
              <w:tc>
                <w:tcPr>
                  <w:tcW w:w="870" w:type="dxa"/>
                  <w:vAlign w:val="center"/>
                </w:tcPr>
                <w:p w14:paraId="28D42C07">
                  <w:pPr>
                    <w:adjustRightInd w:val="0"/>
                    <w:snapToGrid w:val="0"/>
                    <w:spacing w:line="0" w:lineRule="atLeast"/>
                    <w:jc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排污许可监测要求</w:t>
                  </w:r>
                </w:p>
              </w:tc>
              <w:tc>
                <w:tcPr>
                  <w:tcW w:w="1128" w:type="dxa"/>
                  <w:vAlign w:val="center"/>
                </w:tcPr>
                <w:p w14:paraId="3AA5F89F">
                  <w:pPr>
                    <w:adjustRightInd w:val="0"/>
                    <w:snapToGrid w:val="0"/>
                    <w:spacing w:line="0" w:lineRule="atLeast"/>
                    <w:jc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环评及排污许可执行情况</w:t>
                  </w:r>
                </w:p>
              </w:tc>
            </w:tr>
            <w:tr w14:paraId="540D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91" w:type="dxa"/>
                  <w:vAlign w:val="center"/>
                </w:tcPr>
                <w:p w14:paraId="4474A841">
                  <w:pPr>
                    <w:pStyle w:val="16"/>
                    <w:adjustRightInd w:val="0"/>
                    <w:snapToGrid w:val="0"/>
                    <w:spacing w:line="0" w:lineRule="atLeast"/>
                    <w:jc w:val="center"/>
                    <w:rPr>
                      <w:rFonts w:hint="default" w:cs="Times New Roman"/>
                      <w:color w:val="auto"/>
                      <w:kern w:val="0"/>
                      <w:sz w:val="21"/>
                      <w:szCs w:val="21"/>
                      <w:highlight w:val="none"/>
                      <w:lang w:val="en-US" w:eastAsia="zh-CN" w:bidi="ar"/>
                    </w:rPr>
                  </w:pPr>
                  <w:r>
                    <w:rPr>
                      <w:rFonts w:hint="default" w:cs="Times New Roman"/>
                      <w:color w:val="auto"/>
                      <w:kern w:val="0"/>
                      <w:sz w:val="21"/>
                      <w:szCs w:val="21"/>
                      <w:highlight w:val="none"/>
                      <w:lang w:val="en-US" w:eastAsia="zh-CN" w:bidi="ar"/>
                    </w:rPr>
                    <w:t>涂胶工段和封边密封工段</w:t>
                  </w:r>
                </w:p>
              </w:tc>
              <w:tc>
                <w:tcPr>
                  <w:tcW w:w="807" w:type="dxa"/>
                  <w:vAlign w:val="center"/>
                </w:tcPr>
                <w:p w14:paraId="03426C56">
                  <w:pPr>
                    <w:pStyle w:val="16"/>
                    <w:adjustRightInd w:val="0"/>
                    <w:snapToGrid w:val="0"/>
                    <w:spacing w:line="0" w:lineRule="atLeast"/>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挥发性有机物（非甲烷总烃）</w:t>
                  </w:r>
                </w:p>
              </w:tc>
              <w:tc>
                <w:tcPr>
                  <w:tcW w:w="1590" w:type="dxa"/>
                  <w:vAlign w:val="center"/>
                </w:tcPr>
                <w:p w14:paraId="2CAB034C">
                  <w:pPr>
                    <w:pStyle w:val="16"/>
                    <w:adjustRightInd w:val="0"/>
                    <w:snapToGrid w:val="0"/>
                    <w:spacing w:line="0" w:lineRule="atLeast"/>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活性炭</w:t>
                  </w:r>
                  <w:r>
                    <w:rPr>
                      <w:rFonts w:hint="eastAsia" w:cs="Times New Roman"/>
                      <w:color w:val="auto"/>
                      <w:sz w:val="21"/>
                      <w:szCs w:val="21"/>
                      <w:highlight w:val="none"/>
                      <w:lang w:val="en-US" w:eastAsia="zh-CN"/>
                    </w:rPr>
                    <w:t>吸附净化装置</w:t>
                  </w:r>
                  <w:r>
                    <w:rPr>
                      <w:rFonts w:hint="eastAsia" w:eastAsia="宋体" w:cs="Times New Roman"/>
                      <w:color w:val="auto"/>
                      <w:sz w:val="21"/>
                      <w:szCs w:val="21"/>
                      <w:highlight w:val="none"/>
                      <w:lang w:val="en-US" w:eastAsia="zh-CN"/>
                    </w:rPr>
                    <w:t>（处理效率80%）</w:t>
                  </w:r>
                  <w:r>
                    <w:rPr>
                      <w:rFonts w:hint="eastAsia"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1根15m 高排气筒排放</w:t>
                  </w:r>
                </w:p>
              </w:tc>
              <w:tc>
                <w:tcPr>
                  <w:tcW w:w="1605" w:type="dxa"/>
                  <w:vAlign w:val="center"/>
                </w:tcPr>
                <w:p w14:paraId="6BECB038">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《大气污染物综合排放标准》（GB16297-1996）表2中的二级标准</w:t>
                  </w:r>
                </w:p>
              </w:tc>
              <w:tc>
                <w:tcPr>
                  <w:tcW w:w="1605" w:type="dxa"/>
                  <w:vAlign w:val="center"/>
                </w:tcPr>
                <w:p w14:paraId="6FADB945">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《大气污染物综合排放标准》（GB16297-1996）表2中的二级标准</w:t>
                  </w:r>
                </w:p>
              </w:tc>
              <w:tc>
                <w:tcPr>
                  <w:tcW w:w="870" w:type="dxa"/>
                  <w:vAlign w:val="center"/>
                </w:tcPr>
                <w:p w14:paraId="751323A0">
                  <w:pPr>
                    <w:adjustRightInd w:val="0"/>
                    <w:snapToGrid w:val="0"/>
                    <w:spacing w:line="0" w:lineRule="atLeast"/>
                    <w:jc w:val="center"/>
                    <w:rPr>
                      <w:rFonts w:hint="eastAsia"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1次/年</w:t>
                  </w:r>
                </w:p>
              </w:tc>
              <w:tc>
                <w:tcPr>
                  <w:tcW w:w="1128" w:type="dxa"/>
                  <w:vAlign w:val="center"/>
                </w:tcPr>
                <w:p w14:paraId="5AEAD641">
                  <w:pPr>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执行了环评及排污许可要求，定期进行了监测</w:t>
                  </w:r>
                </w:p>
              </w:tc>
            </w:tr>
            <w:tr w14:paraId="4AE7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91" w:type="dxa"/>
                  <w:vAlign w:val="center"/>
                </w:tcPr>
                <w:p w14:paraId="56560C80">
                  <w:pPr>
                    <w:pStyle w:val="16"/>
                    <w:adjustRightInd w:val="0"/>
                    <w:snapToGrid w:val="0"/>
                    <w:spacing w:line="0" w:lineRule="atLeast"/>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金刚砂摩擦过程</w:t>
                  </w:r>
                </w:p>
              </w:tc>
              <w:tc>
                <w:tcPr>
                  <w:tcW w:w="807" w:type="dxa"/>
                  <w:vAlign w:val="center"/>
                </w:tcPr>
                <w:p w14:paraId="273C95E6">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颗粒物</w:t>
                  </w:r>
                </w:p>
              </w:tc>
              <w:tc>
                <w:tcPr>
                  <w:tcW w:w="1590" w:type="dxa"/>
                  <w:vAlign w:val="center"/>
                </w:tcPr>
                <w:p w14:paraId="34863F5D">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加强通风</w:t>
                  </w:r>
                </w:p>
              </w:tc>
              <w:tc>
                <w:tcPr>
                  <w:tcW w:w="1605" w:type="dxa"/>
                  <w:vAlign w:val="center"/>
                </w:tcPr>
                <w:p w14:paraId="53E624D3">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《大气污染物综合排放标准》（GB16297-1996）表2中的二级标准</w:t>
                  </w:r>
                </w:p>
              </w:tc>
              <w:tc>
                <w:tcPr>
                  <w:tcW w:w="1605" w:type="dxa"/>
                  <w:vAlign w:val="center"/>
                </w:tcPr>
                <w:p w14:paraId="1456FA78">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《大气污染物综合排放标准》（GB16297-1996）表2中的二级标准</w:t>
                  </w:r>
                </w:p>
              </w:tc>
              <w:tc>
                <w:tcPr>
                  <w:tcW w:w="870" w:type="dxa"/>
                  <w:vAlign w:val="center"/>
                </w:tcPr>
                <w:p w14:paraId="6D2C0F2B">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监测厂界颗粒物，</w:t>
                  </w:r>
                  <w:r>
                    <w:rPr>
                      <w:rFonts w:hint="eastAsia" w:cs="Times New Roman"/>
                      <w:color w:val="auto"/>
                      <w:sz w:val="21"/>
                      <w:szCs w:val="21"/>
                      <w:highlight w:val="none"/>
                      <w:lang w:val="en-US" w:eastAsia="zh-CN"/>
                    </w:rPr>
                    <w:t>1次/年</w:t>
                  </w:r>
                </w:p>
              </w:tc>
              <w:tc>
                <w:tcPr>
                  <w:tcW w:w="1128" w:type="dxa"/>
                  <w:vAlign w:val="center"/>
                </w:tcPr>
                <w:p w14:paraId="51AC522F">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执行了环评及排污许可要求，定期进行了监测</w:t>
                  </w:r>
                </w:p>
              </w:tc>
            </w:tr>
            <w:tr w14:paraId="6B5E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91" w:type="dxa"/>
                  <w:vAlign w:val="center"/>
                </w:tcPr>
                <w:p w14:paraId="37E7D428">
                  <w:pPr>
                    <w:pStyle w:val="16"/>
                    <w:adjustRightInd w:val="0"/>
                    <w:snapToGrid w:val="0"/>
                    <w:spacing w:line="0" w:lineRule="atLeast"/>
                    <w:jc w:val="center"/>
                    <w:rPr>
                      <w:rFonts w:hint="default" w:cs="Times New Roman"/>
                      <w:color w:val="auto"/>
                      <w:sz w:val="21"/>
                      <w:szCs w:val="21"/>
                      <w:highlight w:val="none"/>
                      <w:lang w:val="en-US" w:eastAsia="zh-CN"/>
                    </w:rPr>
                  </w:pPr>
                  <w:r>
                    <w:rPr>
                      <w:rFonts w:hint="default" w:cs="Times New Roman"/>
                      <w:color w:val="auto"/>
                      <w:kern w:val="0"/>
                      <w:sz w:val="21"/>
                      <w:szCs w:val="21"/>
                      <w:highlight w:val="none"/>
                      <w:lang w:val="en-US" w:eastAsia="zh-CN" w:bidi="ar"/>
                    </w:rPr>
                    <w:t>涂胶工段和封边密封工段</w:t>
                  </w:r>
                </w:p>
              </w:tc>
              <w:tc>
                <w:tcPr>
                  <w:tcW w:w="807" w:type="dxa"/>
                  <w:vAlign w:val="center"/>
                </w:tcPr>
                <w:p w14:paraId="4D56F833">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挥发性有机物</w:t>
                  </w:r>
                  <w:r>
                    <w:rPr>
                      <w:rFonts w:hint="eastAsia" w:eastAsia="宋体" w:cs="Times New Roman"/>
                      <w:color w:val="auto"/>
                      <w:sz w:val="21"/>
                      <w:szCs w:val="21"/>
                      <w:highlight w:val="none"/>
                      <w:lang w:val="en-US" w:eastAsia="zh-CN"/>
                    </w:rPr>
                    <w:t>（非甲烷总烃）</w:t>
                  </w:r>
                </w:p>
              </w:tc>
              <w:tc>
                <w:tcPr>
                  <w:tcW w:w="1590" w:type="dxa"/>
                  <w:vAlign w:val="center"/>
                </w:tcPr>
                <w:p w14:paraId="4EB8A5A0">
                  <w:pPr>
                    <w:pStyle w:val="16"/>
                    <w:adjustRightInd w:val="0"/>
                    <w:snapToGrid w:val="0"/>
                    <w:spacing w:line="0" w:lineRule="atLeast"/>
                    <w:jc w:val="center"/>
                    <w:rPr>
                      <w:rFonts w:hint="default" w:eastAsia="宋体"/>
                      <w:color w:val="auto"/>
                      <w:sz w:val="21"/>
                      <w:szCs w:val="21"/>
                      <w:highlight w:val="none"/>
                      <w:lang w:val="en-US" w:eastAsia="zh-CN"/>
                    </w:rPr>
                  </w:pPr>
                  <w:r>
                    <w:rPr>
                      <w:rFonts w:hint="eastAsia" w:cs="Times New Roman"/>
                      <w:color w:val="auto"/>
                      <w:kern w:val="0"/>
                      <w:sz w:val="21"/>
                      <w:szCs w:val="21"/>
                      <w:highlight w:val="none"/>
                      <w:lang w:val="en-US" w:eastAsia="zh-CN" w:bidi="ar"/>
                    </w:rPr>
                    <w:t>车间加强通风换气</w:t>
                  </w:r>
                  <w:r>
                    <w:rPr>
                      <w:rFonts w:hint="eastAsia"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活性炭</w:t>
                  </w:r>
                  <w:r>
                    <w:rPr>
                      <w:rFonts w:hint="eastAsia" w:cs="Times New Roman"/>
                      <w:color w:val="auto"/>
                      <w:sz w:val="21"/>
                      <w:szCs w:val="21"/>
                      <w:highlight w:val="none"/>
                      <w:lang w:val="en-US" w:eastAsia="zh-CN"/>
                    </w:rPr>
                    <w:t>吸附净化装置</w:t>
                  </w:r>
                </w:p>
              </w:tc>
              <w:tc>
                <w:tcPr>
                  <w:tcW w:w="1605" w:type="dxa"/>
                  <w:vAlign w:val="center"/>
                </w:tcPr>
                <w:p w14:paraId="11FF636D">
                  <w:pPr>
                    <w:pStyle w:val="16"/>
                    <w:adjustRightInd w:val="0"/>
                    <w:snapToGrid w:val="0"/>
                    <w:spacing w:line="0" w:lineRule="atLeast"/>
                    <w:jc w:val="center"/>
                    <w:rPr>
                      <w:rFonts w:hint="eastAsia"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《挥发性有机物无组织排放控制标准》（GB37822-2019）中无组织排放限值</w:t>
                  </w:r>
                </w:p>
              </w:tc>
              <w:tc>
                <w:tcPr>
                  <w:tcW w:w="1605" w:type="dxa"/>
                  <w:vAlign w:val="center"/>
                </w:tcPr>
                <w:p w14:paraId="7AAAF111">
                  <w:pPr>
                    <w:pStyle w:val="16"/>
                    <w:adjustRightInd w:val="0"/>
                    <w:snapToGrid w:val="0"/>
                    <w:spacing w:line="0" w:lineRule="atLeast"/>
                    <w:jc w:val="center"/>
                    <w:rPr>
                      <w:rFonts w:hint="eastAsia"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《挥发性有机物无组织排放控制标准》（GB37822-2019）中无组织排放限值</w:t>
                  </w:r>
                </w:p>
              </w:tc>
              <w:tc>
                <w:tcPr>
                  <w:tcW w:w="870" w:type="dxa"/>
                  <w:vAlign w:val="center"/>
                </w:tcPr>
                <w:p w14:paraId="593F7EFB">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监测厂界非甲烷总烃，</w:t>
                  </w:r>
                  <w:r>
                    <w:rPr>
                      <w:rFonts w:hint="eastAsia" w:cs="Times New Roman"/>
                      <w:color w:val="auto"/>
                      <w:sz w:val="21"/>
                      <w:szCs w:val="21"/>
                      <w:highlight w:val="none"/>
                      <w:lang w:val="en-US" w:eastAsia="zh-CN"/>
                    </w:rPr>
                    <w:t>1次/年</w:t>
                  </w:r>
                </w:p>
              </w:tc>
              <w:tc>
                <w:tcPr>
                  <w:tcW w:w="1128" w:type="dxa"/>
                  <w:vAlign w:val="center"/>
                </w:tcPr>
                <w:p w14:paraId="0FC11304">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执行了环评及排污许可要求，定期进行了监测</w:t>
                  </w:r>
                </w:p>
              </w:tc>
            </w:tr>
            <w:tr w14:paraId="6DB4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791" w:type="dxa"/>
                  <w:vAlign w:val="center"/>
                </w:tcPr>
                <w:p w14:paraId="1A88AEC1">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食堂</w:t>
                  </w:r>
                </w:p>
              </w:tc>
              <w:tc>
                <w:tcPr>
                  <w:tcW w:w="807" w:type="dxa"/>
                  <w:vAlign w:val="center"/>
                </w:tcPr>
                <w:p w14:paraId="55D0D3F2">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油烟</w:t>
                  </w:r>
                </w:p>
              </w:tc>
              <w:tc>
                <w:tcPr>
                  <w:tcW w:w="1590" w:type="dxa"/>
                  <w:vAlign w:val="center"/>
                </w:tcPr>
                <w:p w14:paraId="634FB90E">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经油烟净化器处理后由高于楼顶1.5m的排气筒排放</w:t>
                  </w:r>
                </w:p>
              </w:tc>
              <w:tc>
                <w:tcPr>
                  <w:tcW w:w="1605" w:type="dxa"/>
                  <w:vAlign w:val="center"/>
                </w:tcPr>
                <w:p w14:paraId="04705890">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《饮食业油烟排放标准》（GB18483-2001）</w:t>
                  </w:r>
                </w:p>
              </w:tc>
              <w:tc>
                <w:tcPr>
                  <w:tcW w:w="1605" w:type="dxa"/>
                  <w:vAlign w:val="center"/>
                </w:tcPr>
                <w:p w14:paraId="4BE4729A">
                  <w:pPr>
                    <w:pStyle w:val="16"/>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《饮食业油烟排放标准》（GB18483-2001）</w:t>
                  </w:r>
                </w:p>
              </w:tc>
              <w:tc>
                <w:tcPr>
                  <w:tcW w:w="870" w:type="dxa"/>
                  <w:vAlign w:val="center"/>
                </w:tcPr>
                <w:p w14:paraId="55994535">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未提出监测要求</w:t>
                  </w:r>
                </w:p>
              </w:tc>
              <w:tc>
                <w:tcPr>
                  <w:tcW w:w="1128" w:type="dxa"/>
                  <w:vAlign w:val="center"/>
                </w:tcPr>
                <w:p w14:paraId="09B68140">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执行了环评及排污许可要求</w:t>
                  </w:r>
                </w:p>
              </w:tc>
            </w:tr>
            <w:tr w14:paraId="6622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1" w:type="dxa"/>
                  <w:vAlign w:val="center"/>
                </w:tcPr>
                <w:p w14:paraId="7CEA58DC">
                  <w:pPr>
                    <w:adjustRightInd w:val="0"/>
                    <w:snapToGrid w:val="0"/>
                    <w:spacing w:line="0" w:lineRule="atLeast"/>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化粪池、生活污水处理站</w:t>
                  </w:r>
                </w:p>
              </w:tc>
              <w:tc>
                <w:tcPr>
                  <w:tcW w:w="807" w:type="dxa"/>
                  <w:vAlign w:val="center"/>
                </w:tcPr>
                <w:p w14:paraId="1821D2CF">
                  <w:pPr>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臭气浓度</w:t>
                  </w:r>
                </w:p>
              </w:tc>
              <w:tc>
                <w:tcPr>
                  <w:tcW w:w="1590" w:type="dxa"/>
                  <w:vAlign w:val="center"/>
                </w:tcPr>
                <w:p w14:paraId="708AC001">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化粪池地埋式设置，生活污水处理站定期喷洒除臭剂</w:t>
                  </w:r>
                </w:p>
              </w:tc>
              <w:tc>
                <w:tcPr>
                  <w:tcW w:w="1605" w:type="dxa"/>
                  <w:vAlign w:val="center"/>
                </w:tcPr>
                <w:p w14:paraId="46ED7A36">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《恶臭污染物排放标准》（GB14554-93）标准</w:t>
                  </w:r>
                </w:p>
              </w:tc>
              <w:tc>
                <w:tcPr>
                  <w:tcW w:w="1605" w:type="dxa"/>
                  <w:vAlign w:val="center"/>
                </w:tcPr>
                <w:p w14:paraId="4D5D1678">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《恶臭污染物排放标准》（GB14554-93）标准</w:t>
                  </w:r>
                </w:p>
              </w:tc>
              <w:tc>
                <w:tcPr>
                  <w:tcW w:w="870" w:type="dxa"/>
                  <w:vAlign w:val="center"/>
                </w:tcPr>
                <w:p w14:paraId="65680A1A">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监测厂界臭气浓度，</w:t>
                  </w:r>
                  <w:r>
                    <w:rPr>
                      <w:rFonts w:hint="eastAsia" w:cs="Times New Roman"/>
                      <w:color w:val="auto"/>
                      <w:sz w:val="21"/>
                      <w:szCs w:val="21"/>
                      <w:highlight w:val="none"/>
                      <w:lang w:val="en-US" w:eastAsia="zh-CN"/>
                    </w:rPr>
                    <w:t>1次/年</w:t>
                  </w:r>
                </w:p>
              </w:tc>
              <w:tc>
                <w:tcPr>
                  <w:tcW w:w="1128" w:type="dxa"/>
                  <w:vAlign w:val="center"/>
                </w:tcPr>
                <w:p w14:paraId="38DDB477">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执行了环评及排污许可要求，定期进行了监测</w:t>
                  </w:r>
                </w:p>
              </w:tc>
            </w:tr>
            <w:tr w14:paraId="1EB4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1" w:type="dxa"/>
                  <w:vAlign w:val="center"/>
                </w:tcPr>
                <w:p w14:paraId="05E2B557">
                  <w:pPr>
                    <w:adjustRightInd w:val="0"/>
                    <w:snapToGrid w:val="0"/>
                    <w:spacing w:line="0" w:lineRule="atLeast"/>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生活污水</w:t>
                  </w:r>
                </w:p>
              </w:tc>
              <w:tc>
                <w:tcPr>
                  <w:tcW w:w="807" w:type="dxa"/>
                  <w:vAlign w:val="center"/>
                </w:tcPr>
                <w:p w14:paraId="2CF43088">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pH、COD、BOD</w:t>
                  </w:r>
                  <w:r>
                    <w:rPr>
                      <w:rFonts w:hint="default" w:ascii="Times New Roman" w:hAnsi="Times New Roman" w:eastAsia="宋体" w:cs="Times New Roman"/>
                      <w:color w:val="auto"/>
                      <w:kern w:val="2"/>
                      <w:sz w:val="21"/>
                      <w:szCs w:val="21"/>
                      <w:highlight w:val="none"/>
                      <w:vertAlign w:val="subscript"/>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、SS、氨氮、总磷、动植物油</w:t>
                  </w:r>
                </w:p>
              </w:tc>
              <w:tc>
                <w:tcPr>
                  <w:tcW w:w="1590" w:type="dxa"/>
                  <w:vAlign w:val="center"/>
                </w:tcPr>
                <w:p w14:paraId="6FAB9A5C">
                  <w:pPr>
                    <w:pStyle w:val="16"/>
                    <w:adjustRightInd w:val="0"/>
                    <w:snapToGrid w:val="0"/>
                    <w:spacing w:line="0" w:lineRule="atLeast"/>
                    <w:jc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z w:val="21"/>
                      <w:szCs w:val="21"/>
                      <w:highlight w:val="none"/>
                      <w:lang w:val="en-US" w:eastAsia="zh-CN"/>
                    </w:rPr>
                    <w:t>食堂废水经隔油池处理后与其他生活污水经化粪池处理后进入自建生活污水处理站处理后回用于厂区冲厕、绿化和道路广场浇洒，不外排</w:t>
                  </w:r>
                </w:p>
              </w:tc>
              <w:tc>
                <w:tcPr>
                  <w:tcW w:w="1605" w:type="dxa"/>
                  <w:vAlign w:val="center"/>
                </w:tcPr>
                <w:p w14:paraId="4E820829">
                  <w:pPr>
                    <w:pStyle w:val="16"/>
                    <w:adjustRightInd w:val="0"/>
                    <w:snapToGrid w:val="0"/>
                    <w:spacing w:line="0" w:lineRule="atLeast"/>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《城市污水再生利用城市杂用水水质》（GB/T18920-2002）表1中（冲厕、道路广场浇洒、城市绿化）标准</w:t>
                  </w:r>
                </w:p>
              </w:tc>
              <w:tc>
                <w:tcPr>
                  <w:tcW w:w="1605" w:type="dxa"/>
                  <w:vAlign w:val="center"/>
                </w:tcPr>
                <w:p w14:paraId="72237258">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《城市污水再生利用 城市杂用水水质》（GB/T18920-2020）中城市绿化、道路广场浇洒、消防、建筑施工标准</w:t>
                  </w:r>
                </w:p>
              </w:tc>
              <w:tc>
                <w:tcPr>
                  <w:tcW w:w="870" w:type="dxa"/>
                  <w:vAlign w:val="center"/>
                </w:tcPr>
                <w:p w14:paraId="148D0FB1">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1次/年</w:t>
                  </w:r>
                </w:p>
              </w:tc>
              <w:tc>
                <w:tcPr>
                  <w:tcW w:w="1128" w:type="dxa"/>
                  <w:vAlign w:val="center"/>
                </w:tcPr>
                <w:p w14:paraId="6838B70C">
                  <w:pPr>
                    <w:pStyle w:val="16"/>
                    <w:adjustRightInd w:val="0"/>
                    <w:snapToGrid w:val="0"/>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执行了排污许可要求，定期进行了监测</w:t>
                  </w:r>
                </w:p>
              </w:tc>
            </w:tr>
            <w:tr w14:paraId="413F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1" w:type="dxa"/>
                  <w:vAlign w:val="center"/>
                </w:tcPr>
                <w:p w14:paraId="2F5499DA">
                  <w:pPr>
                    <w:adjustRightInd w:val="0"/>
                    <w:snapToGrid w:val="0"/>
                    <w:spacing w:line="0" w:lineRule="atLeast"/>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生产设备</w:t>
                  </w:r>
                </w:p>
              </w:tc>
              <w:tc>
                <w:tcPr>
                  <w:tcW w:w="807" w:type="dxa"/>
                  <w:vAlign w:val="center"/>
                </w:tcPr>
                <w:p w14:paraId="01055FBF">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噪声</w:t>
                  </w:r>
                </w:p>
              </w:tc>
              <w:tc>
                <w:tcPr>
                  <w:tcW w:w="1590" w:type="dxa"/>
                  <w:vAlign w:val="center"/>
                </w:tcPr>
                <w:p w14:paraId="4ECDE974">
                  <w:pPr>
                    <w:pStyle w:val="16"/>
                    <w:adjustRightInd w:val="0"/>
                    <w:snapToGrid w:val="0"/>
                    <w:spacing w:line="0" w:lineRule="atLeast"/>
                    <w:jc w:val="center"/>
                    <w:rPr>
                      <w:rFonts w:hint="eastAsia"/>
                      <w:color w:val="auto"/>
                      <w:sz w:val="21"/>
                      <w:szCs w:val="21"/>
                      <w:highlight w:val="none"/>
                      <w:lang w:val="en-US" w:eastAsia="zh-CN"/>
                    </w:rPr>
                  </w:pPr>
                  <w:r>
                    <w:rPr>
                      <w:rFonts w:hint="eastAsia"/>
                      <w:color w:val="auto"/>
                      <w:sz w:val="21"/>
                      <w:szCs w:val="21"/>
                      <w:highlight w:val="none"/>
                      <w:lang w:val="en-US" w:eastAsia="zh-CN"/>
                    </w:rPr>
                    <w:t>基础减震、厂房隔声、距离衰减</w:t>
                  </w:r>
                </w:p>
              </w:tc>
              <w:tc>
                <w:tcPr>
                  <w:tcW w:w="1605" w:type="dxa"/>
                  <w:vAlign w:val="center"/>
                </w:tcPr>
                <w:p w14:paraId="59DF6EBF">
                  <w:pPr>
                    <w:pStyle w:val="16"/>
                    <w:adjustRightInd w:val="0"/>
                    <w:snapToGrid w:val="0"/>
                    <w:spacing w:line="0" w:lineRule="atLeast"/>
                    <w:jc w:val="center"/>
                    <w:rPr>
                      <w:rFonts w:hint="eastAsia"/>
                      <w:color w:val="auto"/>
                      <w:sz w:val="21"/>
                      <w:szCs w:val="21"/>
                      <w:highlight w:val="none"/>
                      <w:lang w:val="en-US" w:eastAsia="zh-CN"/>
                    </w:rPr>
                  </w:pPr>
                  <w:r>
                    <w:rPr>
                      <w:rFonts w:hint="eastAsia"/>
                      <w:color w:val="auto"/>
                      <w:sz w:val="21"/>
                      <w:szCs w:val="21"/>
                      <w:highlight w:val="none"/>
                      <w:lang w:val="en-US" w:eastAsia="zh-CN"/>
                    </w:rPr>
                    <w:t>《工业企业厂界环境噪声排放标准》（GB12348-2008）3类区标准</w:t>
                  </w:r>
                </w:p>
              </w:tc>
              <w:tc>
                <w:tcPr>
                  <w:tcW w:w="1605" w:type="dxa"/>
                  <w:vAlign w:val="center"/>
                </w:tcPr>
                <w:p w14:paraId="3D867A49">
                  <w:pPr>
                    <w:pStyle w:val="16"/>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《工业企业厂界环境噪声排放标准》（GB12348-2008）3类区标准</w:t>
                  </w:r>
                </w:p>
              </w:tc>
              <w:tc>
                <w:tcPr>
                  <w:tcW w:w="870" w:type="dxa"/>
                  <w:vAlign w:val="center"/>
                </w:tcPr>
                <w:p w14:paraId="4136B433">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1次/季度</w:t>
                  </w:r>
                </w:p>
              </w:tc>
              <w:tc>
                <w:tcPr>
                  <w:tcW w:w="1128" w:type="dxa"/>
                  <w:vAlign w:val="center"/>
                </w:tcPr>
                <w:p w14:paraId="3B0AC4BC">
                  <w:pPr>
                    <w:pStyle w:val="16"/>
                    <w:adjustRightInd w:val="0"/>
                    <w:snapToGrid w:val="0"/>
                    <w:spacing w:line="0" w:lineRule="atLeast"/>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执行了环评及排污许可要求，定期进行了监测</w:t>
                  </w:r>
                </w:p>
              </w:tc>
            </w:tr>
          </w:tbl>
          <w:p w14:paraId="589F530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auto"/>
                <w:sz w:val="24"/>
                <w:szCs w:val="24"/>
                <w:highlight w:val="none"/>
                <w:shd w:val="clear" w:color="auto" w:fill="auto"/>
                <w:lang w:val="en-US" w:eastAsia="zh-CN"/>
              </w:rPr>
            </w:pPr>
            <w:r>
              <w:rPr>
                <w:rFonts w:hint="eastAsia" w:ascii="Times New Roman" w:hAnsi="Times New Roman" w:eastAsia="宋体" w:cs="Times New Roman"/>
                <w:b/>
                <w:bCs w:val="0"/>
                <w:color w:val="auto"/>
                <w:sz w:val="24"/>
                <w:szCs w:val="24"/>
                <w:highlight w:val="none"/>
                <w:shd w:val="clear" w:color="auto" w:fill="auto"/>
                <w:lang w:val="en-US" w:eastAsia="zh-CN"/>
              </w:rPr>
              <w:t>5、原项目环保管理制度</w:t>
            </w:r>
          </w:p>
          <w:p w14:paraId="101C52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highlight w:val="none"/>
                <w:shd w:val="clear" w:color="auto" w:fill="auto"/>
                <w:lang w:val="en-US" w:eastAsia="zh-CN"/>
              </w:rPr>
            </w:pPr>
            <w:r>
              <w:rPr>
                <w:rFonts w:hint="eastAsia" w:ascii="Times New Roman" w:hAnsi="Times New Roman" w:eastAsia="宋体" w:cs="Times New Roman"/>
                <w:bCs/>
                <w:color w:val="auto"/>
                <w:sz w:val="24"/>
                <w:szCs w:val="24"/>
                <w:highlight w:val="none"/>
                <w:shd w:val="clear" w:color="auto" w:fill="auto"/>
                <w:lang w:val="en-US" w:eastAsia="zh-CN"/>
              </w:rPr>
              <w:t>原项目已建立健全环保管理规章制度和监督机制，加强了对全厂职工环保法律、法规宣传，提高了全厂职工的环保意识，在实际生产中能自觉遵守国家有关的环保法律、法规和企业内部制定的环保管理制度，做到有规必行，违规必罚。</w:t>
            </w:r>
          </w:p>
          <w:p w14:paraId="0DCF1C5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auto"/>
                <w:sz w:val="24"/>
                <w:szCs w:val="24"/>
                <w:highlight w:val="none"/>
                <w:shd w:val="clear" w:color="auto" w:fill="auto"/>
                <w:lang w:val="en-US" w:eastAsia="zh-CN"/>
              </w:rPr>
            </w:pPr>
            <w:r>
              <w:rPr>
                <w:rFonts w:hint="eastAsia" w:ascii="Times New Roman" w:hAnsi="Times New Roman" w:eastAsia="宋体" w:cs="Times New Roman"/>
                <w:b/>
                <w:bCs w:val="0"/>
                <w:color w:val="auto"/>
                <w:sz w:val="24"/>
                <w:szCs w:val="24"/>
                <w:highlight w:val="none"/>
                <w:shd w:val="clear" w:color="auto" w:fill="auto"/>
                <w:lang w:val="en-US" w:eastAsia="zh-CN"/>
              </w:rPr>
              <w:t>6、原项目机构和人员配置</w:t>
            </w:r>
          </w:p>
          <w:p w14:paraId="12CE2EC5">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Times New Roman" w:hAnsi="Times New Roman" w:eastAsia="宋体" w:cs="Times New Roman"/>
                <w:bCs/>
                <w:color w:val="auto"/>
                <w:sz w:val="24"/>
                <w:szCs w:val="24"/>
                <w:highlight w:val="none"/>
                <w:shd w:val="clear" w:color="auto" w:fill="auto"/>
                <w:lang w:val="en-US" w:eastAsia="zh-CN"/>
              </w:rPr>
              <w:t>劳动定员：原项目</w:t>
            </w:r>
            <w:r>
              <w:rPr>
                <w:rFonts w:ascii="宋体" w:hAnsi="宋体"/>
                <w:color w:val="auto"/>
                <w:sz w:val="24"/>
                <w:highlight w:val="none"/>
              </w:rPr>
              <w:t>运营期工作人员为</w:t>
            </w:r>
            <w:r>
              <w:rPr>
                <w:rFonts w:hint="eastAsia" w:ascii="宋体" w:hAnsi="宋体"/>
                <w:color w:val="auto"/>
                <w:sz w:val="24"/>
                <w:highlight w:val="none"/>
              </w:rPr>
              <w:t>30</w:t>
            </w:r>
            <w:r>
              <w:rPr>
                <w:rFonts w:ascii="宋体" w:hAnsi="宋体"/>
                <w:color w:val="auto"/>
                <w:sz w:val="24"/>
                <w:highlight w:val="none"/>
              </w:rPr>
              <w:t>人</w:t>
            </w:r>
            <w:r>
              <w:rPr>
                <w:rFonts w:hint="eastAsia" w:ascii="宋体" w:hAnsi="宋体"/>
                <w:color w:val="auto"/>
                <w:sz w:val="24"/>
                <w:highlight w:val="none"/>
                <w:lang w:eastAsia="zh-CN"/>
              </w:rPr>
              <w:t>。</w:t>
            </w:r>
            <w:r>
              <w:rPr>
                <w:rFonts w:hint="eastAsia" w:ascii="宋体" w:hAnsi="宋体"/>
                <w:color w:val="auto"/>
                <w:sz w:val="24"/>
                <w:highlight w:val="none"/>
              </w:rPr>
              <w:t>厂区设有食宿，有10人在厂区住宿，30人在厂区内用餐</w:t>
            </w:r>
            <w:r>
              <w:rPr>
                <w:rFonts w:ascii="宋体" w:hAnsi="宋体"/>
                <w:color w:val="auto"/>
                <w:sz w:val="24"/>
                <w:highlight w:val="none"/>
              </w:rPr>
              <w:t>。</w:t>
            </w:r>
          </w:p>
          <w:p w14:paraId="2B8617ED">
            <w:pPr>
              <w:adjustRightInd w:val="0"/>
              <w:snapToGrid w:val="0"/>
              <w:spacing w:line="360" w:lineRule="auto"/>
              <w:ind w:firstLine="480" w:firstLineChars="200"/>
              <w:rPr>
                <w:rFonts w:hint="eastAsia" w:ascii="Times New Roman" w:hAnsi="Times New Roman" w:eastAsia="宋体" w:cs="Times New Roman"/>
                <w:bCs/>
                <w:color w:val="auto"/>
                <w:sz w:val="24"/>
                <w:szCs w:val="24"/>
                <w:highlight w:val="none"/>
                <w:shd w:val="clear" w:color="auto" w:fill="auto"/>
                <w:lang w:val="en-US" w:eastAsia="zh-CN"/>
              </w:rPr>
            </w:pPr>
            <w:r>
              <w:rPr>
                <w:rFonts w:ascii="宋体" w:hAnsi="宋体"/>
                <w:color w:val="auto"/>
                <w:sz w:val="24"/>
                <w:highlight w:val="none"/>
              </w:rPr>
              <w:t>工作制度：</w:t>
            </w:r>
            <w:r>
              <w:rPr>
                <w:rFonts w:hint="eastAsia" w:ascii="宋体" w:hAnsi="宋体"/>
                <w:color w:val="auto"/>
                <w:sz w:val="24"/>
                <w:highlight w:val="none"/>
                <w:lang w:eastAsia="zh-CN"/>
              </w:rPr>
              <w:t>原项目</w:t>
            </w:r>
            <w:r>
              <w:rPr>
                <w:rFonts w:ascii="宋体" w:hAnsi="宋体"/>
                <w:color w:val="auto"/>
                <w:sz w:val="24"/>
                <w:highlight w:val="none"/>
              </w:rPr>
              <w:t>年工作300天，实行8h单班工作制。</w:t>
            </w:r>
          </w:p>
          <w:p w14:paraId="274B6BF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shd w:val="clear" w:color="auto" w:fill="auto"/>
                <w:lang w:val="en-US" w:eastAsia="zh-CN"/>
              </w:rPr>
            </w:pPr>
            <w:r>
              <w:rPr>
                <w:rFonts w:hint="eastAsia" w:ascii="Times New Roman" w:hAnsi="Times New Roman" w:eastAsia="宋体" w:cs="Times New Roman"/>
                <w:b/>
                <w:bCs w:val="0"/>
                <w:color w:val="auto"/>
                <w:sz w:val="24"/>
                <w:szCs w:val="24"/>
                <w:highlight w:val="none"/>
                <w:shd w:val="clear" w:color="auto" w:fill="auto"/>
                <w:lang w:val="en-US" w:eastAsia="zh-CN"/>
              </w:rPr>
              <w:t>7、原项目应急预案备案情况</w:t>
            </w:r>
          </w:p>
          <w:p w14:paraId="5B62963C">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shd w:val="clear" w:color="auto" w:fill="auto"/>
                <w:lang w:val="en-US" w:eastAsia="zh-CN" w:bidi="ar-SA"/>
              </w:rPr>
            </w:pPr>
            <w:r>
              <w:rPr>
                <w:rFonts w:hint="eastAsia" w:ascii="Times New Roman" w:hAnsi="Times New Roman" w:eastAsia="宋体" w:cs="Times New Roman"/>
                <w:bCs/>
                <w:color w:val="auto"/>
                <w:kern w:val="2"/>
                <w:sz w:val="24"/>
                <w:szCs w:val="24"/>
                <w:highlight w:val="none"/>
                <w:shd w:val="clear" w:color="auto" w:fill="auto"/>
                <w:lang w:val="en-US" w:eastAsia="zh-CN" w:bidi="ar-SA"/>
              </w:rPr>
              <w:t>原项目已于2021年11月编制完成了《昆明日盛玻璃制造有限公司突发环境事件应急预案（2021年版）》，并报昆明市生态环境局寻甸分局备案</w:t>
            </w:r>
            <w:r>
              <w:rPr>
                <w:rFonts w:hint="eastAsia" w:ascii="Times New Roman" w:hAnsi="Times New Roman" w:cs="Times New Roman"/>
                <w:bCs/>
                <w:color w:val="auto"/>
                <w:kern w:val="2"/>
                <w:sz w:val="24"/>
                <w:szCs w:val="24"/>
                <w:highlight w:val="none"/>
                <w:shd w:val="clear" w:color="auto" w:fill="auto"/>
                <w:lang w:val="en-US" w:eastAsia="zh-CN" w:bidi="ar-SA"/>
              </w:rPr>
              <w:t>，备案编号：530-129-2021-134-L</w:t>
            </w:r>
            <w:r>
              <w:rPr>
                <w:rFonts w:hint="eastAsia" w:ascii="Times New Roman" w:hAnsi="Times New Roman" w:eastAsia="宋体" w:cs="Times New Roman"/>
                <w:bCs/>
                <w:color w:val="auto"/>
                <w:kern w:val="2"/>
                <w:sz w:val="24"/>
                <w:szCs w:val="24"/>
                <w:highlight w:val="none"/>
                <w:shd w:val="clear" w:color="auto" w:fill="auto"/>
                <w:lang w:val="en-US" w:eastAsia="zh-CN" w:bidi="ar-SA"/>
              </w:rPr>
              <w:t>。</w:t>
            </w:r>
          </w:p>
          <w:p w14:paraId="7676BDB0">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8、原项目主要环境问题及整改措施</w:t>
            </w:r>
          </w:p>
          <w:p w14:paraId="7050115E">
            <w:pPr>
              <w:keepNext w:val="0"/>
              <w:keepLines w:val="0"/>
              <w:pageBreakBefore w:val="0"/>
              <w:widowControl w:val="0"/>
              <w:kinsoku/>
              <w:wordWrap/>
              <w:overflowPunct/>
              <w:topLinePunct w:val="0"/>
              <w:autoSpaceDE/>
              <w:autoSpaceDN/>
              <w:bidi w:val="0"/>
              <w:adjustRightInd w:val="0"/>
              <w:snapToGrid w:val="0"/>
              <w:spacing w:line="360" w:lineRule="auto"/>
              <w:ind w:firstLine="444" w:firstLineChars="200"/>
              <w:textAlignment w:val="auto"/>
              <w:rPr>
                <w:rFonts w:hint="eastAsia" w:cs="Times New Roman"/>
                <w:color w:val="auto"/>
                <w:spacing w:val="-3"/>
                <w:sz w:val="24"/>
                <w:highlight w:val="none"/>
                <w:lang w:eastAsia="zh-CN"/>
              </w:rPr>
            </w:pPr>
            <w:r>
              <w:rPr>
                <w:rFonts w:ascii="Times New Roman" w:hAnsi="Times New Roman" w:cs="Times New Roman"/>
                <w:color w:val="auto"/>
                <w:spacing w:val="-9"/>
                <w:sz w:val="24"/>
                <w:highlight w:val="none"/>
              </w:rPr>
              <w:t>原项目环保手续完善，</w:t>
            </w:r>
            <w:r>
              <w:rPr>
                <w:rFonts w:hint="default" w:ascii="Times New Roman" w:hAnsi="Times New Roman" w:eastAsia="宋体" w:cs="Times New Roman"/>
                <w:bCs/>
                <w:color w:val="auto"/>
                <w:sz w:val="24"/>
                <w:szCs w:val="24"/>
                <w:highlight w:val="none"/>
                <w:lang w:val="zh-CN" w:eastAsia="zh-CN"/>
              </w:rPr>
              <w:t>已</w:t>
            </w:r>
            <w:r>
              <w:rPr>
                <w:rFonts w:hint="default" w:ascii="Times New Roman" w:hAnsi="Times New Roman" w:eastAsia="宋体" w:cs="Times New Roman"/>
                <w:bCs/>
                <w:color w:val="auto"/>
                <w:sz w:val="24"/>
                <w:szCs w:val="24"/>
                <w:highlight w:val="none"/>
                <w:lang w:val="en-US" w:eastAsia="zh-CN"/>
              </w:rPr>
              <w:t>取得排污许可证</w:t>
            </w:r>
            <w:r>
              <w:rPr>
                <w:rFonts w:hint="eastAsia" w:eastAsia="宋体" w:cs="Times New Roman"/>
                <w:bCs/>
                <w:color w:val="auto"/>
                <w:sz w:val="24"/>
                <w:szCs w:val="24"/>
                <w:highlight w:val="none"/>
                <w:lang w:val="en-US" w:eastAsia="zh-CN"/>
              </w:rPr>
              <w:t>，并</w:t>
            </w:r>
            <w:r>
              <w:rPr>
                <w:rFonts w:hint="default" w:ascii="Times New Roman" w:hAnsi="Times New Roman" w:eastAsia="宋体" w:cs="Times New Roman"/>
                <w:bCs/>
                <w:color w:val="auto"/>
                <w:sz w:val="24"/>
                <w:szCs w:val="24"/>
                <w:highlight w:val="none"/>
                <w:lang w:val="zh-CN" w:eastAsia="zh-CN"/>
              </w:rPr>
              <w:t>完成竣工</w:t>
            </w:r>
            <w:r>
              <w:rPr>
                <w:rFonts w:hint="eastAsia" w:cs="Times New Roman"/>
                <w:bCs/>
                <w:color w:val="auto"/>
                <w:sz w:val="24"/>
                <w:szCs w:val="24"/>
                <w:highlight w:val="none"/>
                <w:lang w:val="zh-CN" w:eastAsia="zh-CN"/>
              </w:rPr>
              <w:t>环境保护</w:t>
            </w:r>
            <w:r>
              <w:rPr>
                <w:rFonts w:hint="default" w:ascii="Times New Roman" w:hAnsi="Times New Roman" w:eastAsia="宋体" w:cs="Times New Roman"/>
                <w:bCs/>
                <w:color w:val="auto"/>
                <w:sz w:val="24"/>
                <w:szCs w:val="24"/>
                <w:highlight w:val="none"/>
                <w:lang w:val="zh-CN" w:eastAsia="zh-CN"/>
              </w:rPr>
              <w:t>验收工作</w:t>
            </w:r>
            <w:r>
              <w:rPr>
                <w:rFonts w:ascii="Times New Roman" w:hAnsi="Times New Roman" w:cs="Times New Roman"/>
                <w:color w:val="auto"/>
                <w:spacing w:val="-9"/>
                <w:sz w:val="24"/>
                <w:highlight w:val="none"/>
              </w:rPr>
              <w:t>，</w:t>
            </w:r>
            <w:r>
              <w:rPr>
                <w:rFonts w:hint="eastAsia" w:cs="Times New Roman"/>
                <w:bCs/>
                <w:color w:val="auto"/>
                <w:sz w:val="24"/>
                <w:szCs w:val="24"/>
                <w:highlight w:val="none"/>
                <w:lang w:val="en-US" w:eastAsia="zh-CN"/>
              </w:rPr>
              <w:t>且</w:t>
            </w:r>
            <w:r>
              <w:rPr>
                <w:rFonts w:ascii="Times New Roman" w:hAnsi="Times New Roman" w:cs="Times New Roman"/>
                <w:color w:val="auto"/>
                <w:spacing w:val="-9"/>
                <w:sz w:val="24"/>
                <w:highlight w:val="none"/>
              </w:rPr>
              <w:t>按照环境保护</w:t>
            </w:r>
            <w:r>
              <w:rPr>
                <w:rFonts w:ascii="Times New Roman" w:hAnsi="Times New Roman" w:cs="Times New Roman"/>
                <w:color w:val="auto"/>
                <w:sz w:val="24"/>
                <w:highlight w:val="none"/>
              </w:rPr>
              <w:t>“三同时”</w:t>
            </w:r>
            <w:r>
              <w:rPr>
                <w:rFonts w:ascii="Times New Roman" w:hAnsi="Times New Roman" w:cs="Times New Roman"/>
                <w:color w:val="auto"/>
                <w:spacing w:val="-4"/>
                <w:sz w:val="24"/>
                <w:highlight w:val="none"/>
              </w:rPr>
              <w:t>的要求配套</w:t>
            </w:r>
            <w:r>
              <w:rPr>
                <w:rFonts w:ascii="Times New Roman" w:hAnsi="Times New Roman" w:cs="Times New Roman"/>
                <w:color w:val="auto"/>
                <w:sz w:val="24"/>
                <w:highlight w:val="none"/>
              </w:rPr>
              <w:t>建设了环保设施，产生的污染物均能达标排放</w:t>
            </w:r>
            <w:r>
              <w:rPr>
                <w:rFonts w:ascii="Times New Roman" w:hAnsi="Times New Roman" w:cs="Times New Roman"/>
                <w:color w:val="auto"/>
                <w:sz w:val="24"/>
                <w:highlight w:val="none"/>
                <w:lang w:val="en-US"/>
              </w:rPr>
              <w:t>。项目运营期</w:t>
            </w:r>
            <w:r>
              <w:rPr>
                <w:rFonts w:hint="eastAsia" w:cs="Times New Roman"/>
                <w:bCs/>
                <w:color w:val="auto"/>
                <w:sz w:val="24"/>
                <w:szCs w:val="24"/>
                <w:highlight w:val="none"/>
                <w:lang w:val="en-US" w:eastAsia="zh-CN"/>
              </w:rPr>
              <w:t>生产废水均通过沉淀池沉淀后循环使用，不外排；食堂废水经隔油池处理后与其他生活污水一并进入化粪池处理后，再进入生活污水处理设备处理达《城市污水再生利用 城市杂用水水质》（GB/T18920-2020）中城市绿化、道路广场浇洒、消防、建筑施工标准后回用于项目区绿化和道路广场浇洒，不外排</w:t>
            </w:r>
            <w:r>
              <w:rPr>
                <w:rFonts w:ascii="Times New Roman" w:hAnsi="Times New Roman" w:cs="Times New Roman"/>
                <w:color w:val="auto"/>
                <w:sz w:val="24"/>
                <w:highlight w:val="none"/>
                <w:lang w:val="en-US"/>
              </w:rPr>
              <w:t>；噪声声源全部设置于厂房内部，厂界噪声均能达标排放</w:t>
            </w:r>
            <w:r>
              <w:rPr>
                <w:rFonts w:ascii="Times New Roman" w:hAnsi="Times New Roman" w:cs="Times New Roman"/>
                <w:color w:val="auto"/>
                <w:sz w:val="24"/>
                <w:highlight w:val="none"/>
              </w:rPr>
              <w:t>。</w:t>
            </w:r>
            <w:r>
              <w:rPr>
                <w:rFonts w:ascii="Times New Roman" w:hAnsi="Times New Roman" w:cs="Times New Roman"/>
                <w:color w:val="auto"/>
                <w:spacing w:val="-3"/>
                <w:sz w:val="24"/>
                <w:highlight w:val="none"/>
              </w:rPr>
              <w:t>原项目</w:t>
            </w:r>
            <w:r>
              <w:rPr>
                <w:rFonts w:hint="eastAsia" w:cs="Times New Roman"/>
                <w:color w:val="auto"/>
                <w:spacing w:val="-3"/>
                <w:sz w:val="24"/>
                <w:highlight w:val="none"/>
                <w:lang w:eastAsia="zh-CN"/>
              </w:rPr>
              <w:t>自主验收完成</w:t>
            </w:r>
            <w:r>
              <w:rPr>
                <w:rFonts w:ascii="Times New Roman" w:hAnsi="Times New Roman" w:cs="Times New Roman"/>
                <w:color w:val="auto"/>
                <w:spacing w:val="-3"/>
                <w:sz w:val="24"/>
                <w:highlight w:val="none"/>
              </w:rPr>
              <w:t>至今未收到过任何环保投诉情况</w:t>
            </w:r>
            <w:r>
              <w:rPr>
                <w:rFonts w:hint="eastAsia" w:cs="Times New Roman"/>
                <w:color w:val="auto"/>
                <w:spacing w:val="-3"/>
                <w:sz w:val="24"/>
                <w:highlight w:val="none"/>
                <w:lang w:eastAsia="zh-CN"/>
              </w:rPr>
              <w:t>。</w:t>
            </w:r>
          </w:p>
          <w:p w14:paraId="4AD651F2">
            <w:pPr>
              <w:keepNext w:val="0"/>
              <w:keepLines w:val="0"/>
              <w:pageBreakBefore w:val="0"/>
              <w:widowControl w:val="0"/>
              <w:kinsoku/>
              <w:wordWrap/>
              <w:overflowPunct/>
              <w:topLinePunct w:val="0"/>
              <w:autoSpaceDE/>
              <w:autoSpaceDN/>
              <w:bidi w:val="0"/>
              <w:adjustRightInd w:val="0"/>
              <w:snapToGrid w:val="0"/>
              <w:spacing w:line="360" w:lineRule="auto"/>
              <w:ind w:firstLine="468" w:firstLineChars="200"/>
              <w:textAlignment w:val="auto"/>
              <w:rPr>
                <w:rFonts w:hint="default" w:ascii="Times New Roman" w:hAnsi="Times New Roman" w:eastAsia="宋体" w:cs="Times New Roman"/>
                <w:bCs/>
                <w:color w:val="auto"/>
                <w:szCs w:val="21"/>
                <w:highlight w:val="none"/>
                <w:lang w:val="en-US" w:eastAsia="zh-CN"/>
              </w:rPr>
            </w:pPr>
            <w:r>
              <w:rPr>
                <w:rFonts w:hint="eastAsia" w:cs="Times New Roman"/>
                <w:color w:val="auto"/>
                <w:spacing w:val="-3"/>
                <w:sz w:val="24"/>
                <w:highlight w:val="none"/>
                <w:lang w:eastAsia="zh-CN"/>
              </w:rPr>
              <w:t>根据现场踏勘，原项目已建设危废暂存间和一般固废暂存处，但未设置事故应急池，因此本次环评提出在厂区内设置一个容积为</w:t>
            </w:r>
            <w:r>
              <w:rPr>
                <w:rFonts w:hint="eastAsia" w:cs="Times New Roman"/>
                <w:color w:val="auto"/>
                <w:spacing w:val="-3"/>
                <w:sz w:val="24"/>
                <w:highlight w:val="none"/>
                <w:lang w:val="en-US" w:eastAsia="zh-CN"/>
              </w:rPr>
              <w:t>50m</w:t>
            </w:r>
            <w:r>
              <w:rPr>
                <w:rFonts w:hint="eastAsia" w:cs="Times New Roman"/>
                <w:color w:val="auto"/>
                <w:spacing w:val="-3"/>
                <w:sz w:val="24"/>
                <w:highlight w:val="none"/>
                <w:vertAlign w:val="superscript"/>
                <w:lang w:val="en-US" w:eastAsia="zh-CN"/>
              </w:rPr>
              <w:t>3</w:t>
            </w:r>
            <w:r>
              <w:rPr>
                <w:rFonts w:hint="eastAsia" w:cs="Times New Roman"/>
                <w:color w:val="auto"/>
                <w:spacing w:val="-3"/>
                <w:sz w:val="24"/>
                <w:highlight w:val="none"/>
                <w:lang w:val="en-US" w:eastAsia="zh-CN"/>
              </w:rPr>
              <w:t>的事故应急池，用于收集事故状态下产生的废水。</w:t>
            </w:r>
          </w:p>
        </w:tc>
      </w:tr>
    </w:tbl>
    <w:p w14:paraId="4E50BDEF">
      <w:pPr>
        <w:pStyle w:val="22"/>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DCF96B3">
      <w:pPr>
        <w:pStyle w:val="22"/>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14:paraId="3E3FF19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23" w:name="_Toc6634"/>
      <w:bookmarkStart w:id="24" w:name="_Toc30051"/>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23"/>
      <w:bookmarkEnd w:id="24"/>
    </w:p>
    <w:tbl>
      <w:tblPr>
        <w:tblStyle w:val="25"/>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642"/>
      </w:tblGrid>
      <w:tr w14:paraId="5499F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79" w:hRule="atLeast"/>
          <w:jc w:val="center"/>
        </w:trPr>
        <w:tc>
          <w:tcPr>
            <w:tcW w:w="419" w:type="dxa"/>
            <w:vAlign w:val="center"/>
          </w:tcPr>
          <w:p w14:paraId="0143C398">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区域</w:t>
            </w:r>
          </w:p>
          <w:p w14:paraId="4C5C27D2">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14:paraId="3ADE15EA">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质量</w:t>
            </w:r>
          </w:p>
          <w:p w14:paraId="13ECB8D6">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现状</w:t>
            </w:r>
          </w:p>
        </w:tc>
        <w:tc>
          <w:tcPr>
            <w:tcW w:w="8642" w:type="dxa"/>
            <w:vAlign w:val="center"/>
          </w:tcPr>
          <w:p w14:paraId="2010B755">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14:paraId="4F778F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（1）达标区判定</w:t>
            </w:r>
          </w:p>
          <w:p w14:paraId="760581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lang w:val="en-US"/>
              </w:rPr>
              <w:t>云南省昆明市寻甸特色产业园区羊街片区</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区域环境空气质量功能区划为二类区，执行《环境空气质量标准》（GB3095－2012）二级标准。</w:t>
            </w:r>
          </w:p>
          <w:p w14:paraId="332D19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lang w:val="zh-CN" w:eastAsia="zh-CN"/>
              </w:rPr>
            </w:pPr>
            <w:r>
              <w:rPr>
                <w:rFonts w:hint="default" w:ascii="Times New Roman" w:hAnsi="Times New Roman" w:eastAsia="宋体" w:cs="Times New Roman"/>
                <w:color w:val="auto"/>
                <w:sz w:val="24"/>
                <w:szCs w:val="24"/>
                <w:highlight w:val="none"/>
                <w:u w:val="none"/>
                <w:lang w:val="zh-CN" w:eastAsia="zh-CN"/>
              </w:rPr>
              <w:t>根据《2022年度昆明市生态环境状况公报》可知，昆明市各县（市）区环境空气质量总体保持良好。与2021年相比，安宁市、禄劝县、石林县、嵩明县、富民县、宜良县、寻甸县环境空气综合污染指数有所下降，东川区环境空气综合污染指数有所上升。项目所在区域为环境空气质量达标区。</w:t>
            </w:r>
          </w:p>
          <w:p w14:paraId="6E122464">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ascii="Times New Roman" w:hAnsi="Times New Roman" w:eastAsia="宋体" w:cs="Times New Roman"/>
                <w:b/>
                <w:bCs/>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（2）特征污染物环境质量现状</w:t>
            </w:r>
          </w:p>
          <w:p w14:paraId="11C118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bidi="ar"/>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涉及的</w:t>
            </w:r>
            <w:r>
              <w:rPr>
                <w:rFonts w:hint="default" w:ascii="Times New Roman" w:hAnsi="Times New Roman" w:cs="Times New Roman"/>
                <w:color w:val="auto"/>
                <w:sz w:val="24"/>
                <w:szCs w:val="24"/>
                <w:highlight w:val="none"/>
                <w:lang w:val="en-US" w:eastAsia="zh-CN"/>
              </w:rPr>
              <w:t>特征因子为TSP、</w:t>
            </w:r>
            <w:r>
              <w:rPr>
                <w:rFonts w:hint="eastAsia" w:cs="Times New Roman"/>
                <w:color w:val="auto"/>
                <w:sz w:val="24"/>
                <w:szCs w:val="24"/>
                <w:highlight w:val="none"/>
                <w:lang w:val="en-US" w:eastAsia="zh-CN"/>
              </w:rPr>
              <w:t>氟化氢、硫酸雾、</w:t>
            </w:r>
            <w:r>
              <w:rPr>
                <w:rFonts w:hint="eastAsia" w:cs="Times New Roman"/>
                <w:color w:val="auto"/>
                <w:sz w:val="24"/>
                <w:highlight w:val="none"/>
                <w:lang w:val="zh-CN" w:eastAsia="zh-CN"/>
              </w:rPr>
              <w:t>氯化氢</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eastAsia" w:cs="Times New Roman"/>
                <w:color w:val="auto"/>
                <w:sz w:val="24"/>
                <w:szCs w:val="24"/>
                <w:highlight w:val="none"/>
                <w:lang w:val="en-US" w:eastAsia="zh-CN"/>
              </w:rPr>
              <w:t>硫酸雾、</w:t>
            </w:r>
            <w:r>
              <w:rPr>
                <w:rFonts w:hint="eastAsia" w:cs="Times New Roman"/>
                <w:color w:val="auto"/>
                <w:sz w:val="24"/>
                <w:highlight w:val="none"/>
                <w:lang w:val="zh-CN" w:eastAsia="zh-CN"/>
              </w:rPr>
              <w:t>氯化氢</w:t>
            </w:r>
            <w:r>
              <w:rPr>
                <w:rFonts w:hint="default" w:ascii="Times New Roman" w:hAnsi="Times New Roman" w:cs="Times New Roman"/>
                <w:color w:val="auto"/>
                <w:sz w:val="24"/>
                <w:szCs w:val="24"/>
                <w:highlight w:val="none"/>
                <w:lang w:val="en-US" w:eastAsia="zh-CN"/>
              </w:rPr>
              <w:t>执行《环境影响评价技术导则 大气环境 HJ2.2-2018》附录D中的浓度限值要求。</w:t>
            </w:r>
          </w:p>
          <w:p w14:paraId="199CE1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TSP环境空气质量现状评价</w:t>
            </w:r>
            <w:r>
              <w:rPr>
                <w:rFonts w:hint="default" w:ascii="Times New Roman" w:hAnsi="Times New Roman" w:eastAsia="宋体" w:cs="Times New Roman"/>
                <w:color w:val="auto"/>
                <w:kern w:val="0"/>
                <w:sz w:val="24"/>
                <w:szCs w:val="24"/>
                <w:highlight w:val="none"/>
                <w:lang w:val="zh-CN"/>
              </w:rPr>
              <w:t>引用</w:t>
            </w:r>
            <w:r>
              <w:rPr>
                <w:rFonts w:hint="default" w:ascii="Times New Roman" w:hAnsi="Times New Roman" w:cs="Times New Roman"/>
                <w:color w:val="auto"/>
                <w:sz w:val="24"/>
                <w:szCs w:val="24"/>
                <w:highlight w:val="none"/>
                <w:lang w:val="zh-CN"/>
              </w:rPr>
              <w:t>云南天博环境检测有限公司</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22</w:t>
            </w:r>
            <w:r>
              <w:rPr>
                <w:rFonts w:hint="default" w:ascii="Times New Roman" w:hAnsi="Times New Roman" w:eastAsia="宋体" w:cs="Times New Roman"/>
                <w:color w:val="auto"/>
                <w:sz w:val="24"/>
                <w:highlight w:val="none"/>
              </w:rPr>
              <w:t>日-202</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29</w:t>
            </w:r>
            <w:r>
              <w:rPr>
                <w:rFonts w:hint="default" w:ascii="Times New Roman" w:hAnsi="Times New Roman" w:eastAsia="宋体" w:cs="Times New Roman"/>
                <w:color w:val="auto"/>
                <w:sz w:val="24"/>
                <w:highlight w:val="none"/>
              </w:rPr>
              <w:t>日对</w:t>
            </w:r>
            <w:r>
              <w:rPr>
                <w:rFonts w:hint="default" w:ascii="Times New Roman" w:hAnsi="Times New Roman" w:eastAsia="宋体" w:cs="Times New Roman"/>
                <w:color w:val="auto"/>
                <w:kern w:val="2"/>
                <w:sz w:val="24"/>
                <w:szCs w:val="24"/>
                <w:highlight w:val="none"/>
                <w:lang w:val="zh-CN"/>
              </w:rPr>
              <w:t>《寻甸年加工喷涂铝板30万平方米项目环境影响报告书</w:t>
            </w:r>
            <w:r>
              <w:rPr>
                <w:rFonts w:hint="default" w:ascii="Times New Roman" w:hAnsi="Times New Roman" w:eastAsia="宋体" w:cs="Times New Roman"/>
                <w:color w:val="auto"/>
                <w:kern w:val="2"/>
                <w:sz w:val="24"/>
                <w:szCs w:val="24"/>
                <w:highlight w:val="none"/>
                <w:lang w:val="zh-CN" w:eastAsia="zh-CN"/>
              </w:rPr>
              <w:t>》</w:t>
            </w:r>
            <w:r>
              <w:rPr>
                <w:rFonts w:hint="default" w:ascii="Times New Roman" w:hAnsi="Times New Roman" w:eastAsia="宋体" w:cs="Times New Roman"/>
                <w:color w:val="auto"/>
                <w:kern w:val="2"/>
                <w:sz w:val="24"/>
                <w:szCs w:val="24"/>
                <w:highlight w:val="none"/>
                <w:lang w:val="en-US" w:eastAsia="zh-CN"/>
              </w:rPr>
              <w:t>的</w:t>
            </w:r>
            <w:r>
              <w:rPr>
                <w:rFonts w:hint="default" w:ascii="Times New Roman" w:hAnsi="Times New Roman" w:eastAsia="宋体" w:cs="Times New Roman"/>
                <w:color w:val="auto"/>
                <w:kern w:val="0"/>
                <w:sz w:val="24"/>
                <w:szCs w:val="24"/>
                <w:highlight w:val="none"/>
                <w:lang w:val="zh-CN" w:eastAsia="zh-CN"/>
              </w:rPr>
              <w:t>空气质量现状监测数据</w:t>
            </w:r>
            <w:r>
              <w:rPr>
                <w:rFonts w:hint="eastAsia" w:ascii="Times New Roman" w:hAnsi="Times New Roman" w:eastAsia="宋体" w:cs="Times New Roman"/>
                <w:color w:val="auto"/>
                <w:kern w:val="0"/>
                <w:sz w:val="24"/>
                <w:szCs w:val="24"/>
                <w:highlight w:val="none"/>
                <w:lang w:val="zh-CN" w:eastAsia="zh-CN"/>
              </w:rPr>
              <w:t>。</w:t>
            </w:r>
          </w:p>
          <w:p w14:paraId="4DE7E5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bCs/>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zh-CN"/>
              </w:rPr>
              <w:t>寻甸年加工喷涂铝板30万平方米项目</w:t>
            </w:r>
            <w:r>
              <w:rPr>
                <w:rFonts w:hint="default" w:ascii="Times New Roman" w:hAnsi="Times New Roman" w:eastAsia="宋体" w:cs="Times New Roman"/>
                <w:color w:val="auto"/>
                <w:sz w:val="24"/>
                <w:szCs w:val="24"/>
                <w:highlight w:val="none"/>
                <w:lang w:val="en-US" w:eastAsia="zh-CN"/>
              </w:rPr>
              <w:t>位于</w:t>
            </w: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项目区</w:t>
            </w:r>
            <w:r>
              <w:rPr>
                <w:rFonts w:hint="eastAsia" w:ascii="Times New Roman" w:hAnsi="Times New Roman" w:eastAsia="宋体" w:cs="Times New Roman"/>
                <w:color w:val="auto"/>
                <w:sz w:val="24"/>
                <w:szCs w:val="24"/>
                <w:highlight w:val="none"/>
                <w:lang w:val="en-US" w:eastAsia="zh-CN"/>
              </w:rPr>
              <w:t>东南</w:t>
            </w:r>
            <w:r>
              <w:rPr>
                <w:rFonts w:hint="default" w:ascii="Times New Roman" w:hAnsi="Times New Roman" w:eastAsia="宋体" w:cs="Times New Roman"/>
                <w:color w:val="auto"/>
                <w:sz w:val="24"/>
                <w:szCs w:val="24"/>
                <w:highlight w:val="none"/>
                <w:lang w:val="en-US" w:eastAsia="zh-CN"/>
              </w:rPr>
              <w:t>侧</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m，引用监测点</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其</w:t>
            </w:r>
            <w:r>
              <w:rPr>
                <w:rFonts w:hint="default" w:ascii="Times New Roman" w:hAnsi="Times New Roman" w:eastAsia="宋体" w:cs="Times New Roman"/>
                <w:color w:val="auto"/>
                <w:sz w:val="24"/>
                <w:szCs w:val="24"/>
                <w:highlight w:val="none"/>
                <w:lang w:val="en-US" w:eastAsia="zh-CN"/>
              </w:rPr>
              <w:t>项目厂址内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与</w:t>
            </w: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项目相距约</w:t>
            </w:r>
            <w:r>
              <w:rPr>
                <w:rFonts w:hint="eastAsia" w:cs="Times New Roman"/>
                <w:color w:val="auto"/>
                <w:sz w:val="24"/>
                <w:szCs w:val="24"/>
                <w:highlight w:val="none"/>
                <w:lang w:val="en-US" w:eastAsia="zh-CN"/>
              </w:rPr>
              <w:t>160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引用监测点</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bCs/>
                <w:color w:val="auto"/>
                <w:sz w:val="24"/>
                <w:highlight w:val="none"/>
                <w:lang w:val="en-US" w:eastAsia="zh-CN"/>
              </w:rPr>
              <w:t>深沟</w:t>
            </w:r>
            <w:r>
              <w:rPr>
                <w:rFonts w:hint="default" w:ascii="Times New Roman" w:hAnsi="Times New Roman" w:eastAsia="宋体" w:cs="Times New Roman"/>
                <w:bCs/>
                <w:color w:val="auto"/>
                <w:sz w:val="24"/>
                <w:highlight w:val="none"/>
                <w:lang w:val="en-US" w:eastAsia="zh-CN"/>
              </w:rPr>
              <w:t>村</w:t>
            </w:r>
            <w:r>
              <w:rPr>
                <w:rFonts w:hint="eastAsia" w:ascii="Times New Roman" w:hAnsi="Times New Roman" w:eastAsia="宋体" w:cs="Times New Roman"/>
                <w:bCs/>
                <w:color w:val="auto"/>
                <w:sz w:val="24"/>
                <w:highlight w:val="none"/>
                <w:lang w:val="en-US" w:eastAsia="zh-CN"/>
              </w:rPr>
              <w:t>散户</w:t>
            </w:r>
            <w:r>
              <w:rPr>
                <w:rFonts w:hint="default" w:ascii="Times New Roman" w:hAnsi="Times New Roman" w:eastAsia="宋体" w:cs="Times New Roman"/>
                <w:color w:val="auto"/>
                <w:sz w:val="24"/>
                <w:szCs w:val="24"/>
                <w:highlight w:val="none"/>
                <w:lang w:val="en-US" w:eastAsia="zh-CN"/>
              </w:rPr>
              <w:t>，与项目相距约</w:t>
            </w:r>
            <w:r>
              <w:rPr>
                <w:rFonts w:hint="eastAsia" w:cs="Times New Roman"/>
                <w:color w:val="auto"/>
                <w:sz w:val="24"/>
                <w:szCs w:val="24"/>
                <w:highlight w:val="none"/>
                <w:lang w:val="en-US" w:eastAsia="zh-CN"/>
              </w:rPr>
              <w:t>56</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lang w:val="en-US" w:eastAsia="zh-CN"/>
              </w:rPr>
              <w:t>本项目引用的现状监测点</w:t>
            </w:r>
            <w:r>
              <w:rPr>
                <w:rFonts w:hint="default" w:ascii="Times New Roman" w:hAnsi="Times New Roman" w:eastAsia="宋体" w:cs="Times New Roman"/>
                <w:b w:val="0"/>
                <w:color w:val="auto"/>
                <w:sz w:val="24"/>
                <w:szCs w:val="24"/>
                <w:highlight w:val="none"/>
                <w:lang w:val="zh-CN"/>
              </w:rPr>
              <w:t>具备类比条件，数据在技术导则要求的“近三年”时限内，属于有效数据，</w:t>
            </w:r>
            <w:r>
              <w:rPr>
                <w:rFonts w:hint="default" w:ascii="Times New Roman" w:hAnsi="Times New Roman" w:eastAsia="宋体" w:cs="Times New Roman"/>
                <w:b w:val="0"/>
                <w:bCs w:val="0"/>
                <w:color w:val="auto"/>
                <w:sz w:val="24"/>
                <w:szCs w:val="24"/>
                <w:highlight w:val="none"/>
                <w:lang w:val="zh-CN"/>
              </w:rPr>
              <w:t>故本项目空气质量现状评价引用</w:t>
            </w:r>
            <w:r>
              <w:rPr>
                <w:rFonts w:hint="default" w:ascii="Times New Roman" w:hAnsi="Times New Roman" w:eastAsia="宋体" w:cs="Times New Roman"/>
                <w:b w:val="0"/>
                <w:bCs w:val="0"/>
                <w:color w:val="auto"/>
                <w:sz w:val="24"/>
                <w:szCs w:val="24"/>
                <w:highlight w:val="none"/>
                <w:lang w:val="en-US" w:eastAsia="zh-CN"/>
              </w:rPr>
              <w:t>的数据具有时效性和代表性</w:t>
            </w:r>
            <w:r>
              <w:rPr>
                <w:rFonts w:hint="eastAsia" w:ascii="Times New Roman" w:hAnsi="Times New Roman" w:eastAsia="宋体" w:cs="Times New Roman"/>
                <w:b w:val="0"/>
                <w:bCs w:val="0"/>
                <w:color w:val="auto"/>
                <w:sz w:val="24"/>
                <w:szCs w:val="24"/>
                <w:highlight w:val="none"/>
                <w:lang w:val="en-US" w:eastAsia="zh-CN"/>
              </w:rPr>
              <w:t>。</w:t>
            </w:r>
          </w:p>
          <w:p w14:paraId="685677D0">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val="en-US" w:eastAsia="zh-CN"/>
              </w:rPr>
              <w:t>引用项目</w:t>
            </w:r>
            <w:r>
              <w:rPr>
                <w:rFonts w:hint="default" w:ascii="Times New Roman" w:hAnsi="Times New Roman" w:eastAsia="宋体" w:cs="Times New Roman"/>
                <w:color w:val="auto"/>
                <w:szCs w:val="24"/>
                <w:highlight w:val="none"/>
              </w:rPr>
              <w:t>监测点位布设见表</w:t>
            </w:r>
            <w:r>
              <w:rPr>
                <w:rFonts w:hint="default" w:ascii="Times New Roman" w:hAnsi="Times New Roman" w:eastAsia="宋体" w:cs="Times New Roman"/>
                <w:color w:val="auto"/>
                <w:szCs w:val="24"/>
                <w:highlight w:val="none"/>
                <w:lang w:val="en-US" w:eastAsia="zh-CN"/>
              </w:rPr>
              <w:t>3-1</w:t>
            </w:r>
            <w:r>
              <w:rPr>
                <w:rFonts w:hint="default" w:ascii="Times New Roman" w:hAnsi="Times New Roman" w:eastAsia="宋体" w:cs="Times New Roman"/>
                <w:color w:val="auto"/>
                <w:szCs w:val="24"/>
                <w:highlight w:val="none"/>
                <w:lang w:eastAsia="zh-CN"/>
              </w:rPr>
              <w:t>。</w:t>
            </w:r>
          </w:p>
          <w:p w14:paraId="21ECA7D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w:t>
            </w:r>
            <w:r>
              <w:rPr>
                <w:rFonts w:hint="default" w:ascii="Times New Roman" w:hAnsi="Times New Roman" w:eastAsia="宋体" w:cs="Times New Roman"/>
                <w:b/>
                <w:color w:val="auto"/>
                <w:sz w:val="21"/>
                <w:szCs w:val="21"/>
                <w:highlight w:val="none"/>
              </w:rPr>
              <w:t xml:space="preserve">   监测点位基本信息</w:t>
            </w:r>
          </w:p>
          <w:tbl>
            <w:tblPr>
              <w:tblStyle w:val="25"/>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52"/>
              <w:gridCol w:w="1377"/>
              <w:gridCol w:w="1275"/>
              <w:gridCol w:w="765"/>
              <w:gridCol w:w="1155"/>
              <w:gridCol w:w="930"/>
              <w:gridCol w:w="963"/>
            </w:tblGrid>
            <w:tr w14:paraId="7013B1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7" w:hRule="atLeast"/>
                <w:jc w:val="center"/>
              </w:trPr>
              <w:tc>
                <w:tcPr>
                  <w:tcW w:w="1159" w:type="pct"/>
                  <w:vMerge w:val="restart"/>
                  <w:tcBorders>
                    <w:tl2br w:val="nil"/>
                    <w:tr2bl w:val="nil"/>
                  </w:tcBorders>
                  <w:noWrap w:val="0"/>
                  <w:vAlign w:val="center"/>
                </w:tcPr>
                <w:p w14:paraId="7745E67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监测点名称</w:t>
                  </w:r>
                </w:p>
              </w:tc>
              <w:tc>
                <w:tcPr>
                  <w:tcW w:w="1575" w:type="pct"/>
                  <w:gridSpan w:val="2"/>
                  <w:tcBorders>
                    <w:tl2br w:val="nil"/>
                    <w:tr2bl w:val="nil"/>
                  </w:tcBorders>
                  <w:noWrap w:val="0"/>
                  <w:vAlign w:val="center"/>
                </w:tcPr>
                <w:p w14:paraId="2A37F0F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监测点位坐标</w:t>
                  </w:r>
                </w:p>
              </w:tc>
              <w:tc>
                <w:tcPr>
                  <w:tcW w:w="454" w:type="pct"/>
                  <w:vMerge w:val="restart"/>
                  <w:tcBorders>
                    <w:tl2br w:val="nil"/>
                    <w:tr2bl w:val="nil"/>
                  </w:tcBorders>
                  <w:noWrap w:val="0"/>
                  <w:vAlign w:val="center"/>
                </w:tcPr>
                <w:p w14:paraId="53BD0C4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686" w:type="pct"/>
                  <w:vMerge w:val="restart"/>
                  <w:tcBorders>
                    <w:tl2br w:val="nil"/>
                    <w:tr2bl w:val="nil"/>
                  </w:tcBorders>
                  <w:noWrap w:val="0"/>
                  <w:vAlign w:val="center"/>
                </w:tcPr>
                <w:p w14:paraId="166192C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监测时段</w:t>
                  </w:r>
                </w:p>
              </w:tc>
              <w:tc>
                <w:tcPr>
                  <w:tcW w:w="552" w:type="pct"/>
                  <w:vMerge w:val="restart"/>
                  <w:tcBorders>
                    <w:tl2br w:val="nil"/>
                    <w:tr2bl w:val="nil"/>
                  </w:tcBorders>
                  <w:noWrap w:val="0"/>
                  <w:vAlign w:val="center"/>
                </w:tcPr>
                <w:p w14:paraId="035BB6A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572" w:type="pct"/>
                  <w:vMerge w:val="restart"/>
                  <w:tcBorders>
                    <w:tl2br w:val="nil"/>
                    <w:tr2bl w:val="nil"/>
                  </w:tcBorders>
                  <w:noWrap w:val="0"/>
                  <w:vAlign w:val="center"/>
                </w:tcPr>
                <w:p w14:paraId="051BACE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w:t>
                  </w:r>
                </w:p>
              </w:tc>
            </w:tr>
            <w:tr w14:paraId="32721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atLeast"/>
                <w:jc w:val="center"/>
              </w:trPr>
              <w:tc>
                <w:tcPr>
                  <w:tcW w:w="1159" w:type="pct"/>
                  <w:vMerge w:val="continue"/>
                  <w:tcBorders>
                    <w:tl2br w:val="nil"/>
                    <w:tr2bl w:val="nil"/>
                  </w:tcBorders>
                  <w:shd w:val="clear" w:color="auto" w:fill="auto"/>
                  <w:noWrap w:val="0"/>
                  <w:vAlign w:val="center"/>
                </w:tcPr>
                <w:p w14:paraId="1C85904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817" w:type="pct"/>
                  <w:tcBorders>
                    <w:tl2br w:val="nil"/>
                    <w:tr2bl w:val="nil"/>
                  </w:tcBorders>
                  <w:shd w:val="clear" w:color="auto" w:fill="auto"/>
                  <w:noWrap w:val="0"/>
                  <w:vAlign w:val="center"/>
                </w:tcPr>
                <w:p w14:paraId="79DC85B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757" w:type="pct"/>
                  <w:tcBorders>
                    <w:tl2br w:val="nil"/>
                    <w:tr2bl w:val="nil"/>
                  </w:tcBorders>
                  <w:shd w:val="clear" w:color="auto" w:fill="auto"/>
                  <w:noWrap w:val="0"/>
                  <w:vAlign w:val="center"/>
                </w:tcPr>
                <w:p w14:paraId="4C69B89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454" w:type="pct"/>
                  <w:vMerge w:val="continue"/>
                  <w:tcBorders>
                    <w:tl2br w:val="nil"/>
                    <w:tr2bl w:val="nil"/>
                  </w:tcBorders>
                  <w:shd w:val="clear" w:color="auto" w:fill="auto"/>
                  <w:noWrap w:val="0"/>
                  <w:vAlign w:val="center"/>
                </w:tcPr>
                <w:p w14:paraId="08973EF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686" w:type="pct"/>
                  <w:vMerge w:val="continue"/>
                  <w:tcBorders>
                    <w:tl2br w:val="nil"/>
                    <w:tr2bl w:val="nil"/>
                  </w:tcBorders>
                  <w:shd w:val="clear" w:color="auto" w:fill="auto"/>
                  <w:noWrap w:val="0"/>
                  <w:vAlign w:val="center"/>
                </w:tcPr>
                <w:p w14:paraId="413A677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552" w:type="pct"/>
                  <w:vMerge w:val="continue"/>
                  <w:tcBorders>
                    <w:tl2br w:val="nil"/>
                    <w:tr2bl w:val="nil"/>
                  </w:tcBorders>
                  <w:shd w:val="clear" w:color="000000" w:fill="FFFFFF"/>
                  <w:noWrap w:val="0"/>
                  <w:vAlign w:val="center"/>
                </w:tcPr>
                <w:p w14:paraId="20DFBAB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572" w:type="pct"/>
                  <w:vMerge w:val="continue"/>
                  <w:tcBorders>
                    <w:tl2br w:val="nil"/>
                    <w:tr2bl w:val="nil"/>
                  </w:tcBorders>
                  <w:noWrap w:val="0"/>
                  <w:vAlign w:val="center"/>
                </w:tcPr>
                <w:p w14:paraId="1224C4E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r>
            <w:tr w14:paraId="586AC5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2" w:hRule="atLeast"/>
                <w:jc w:val="center"/>
              </w:trPr>
              <w:tc>
                <w:tcPr>
                  <w:tcW w:w="1159" w:type="pct"/>
                  <w:tcBorders>
                    <w:tl2br w:val="nil"/>
                    <w:tr2bl w:val="nil"/>
                  </w:tcBorders>
                  <w:noWrap w:val="0"/>
                  <w:vAlign w:val="center"/>
                </w:tcPr>
                <w:p w14:paraId="57B998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zh-CN"/>
                    </w:rPr>
                    <w:t>寻甸年加工喷涂铝板30万平方米项目</w:t>
                  </w:r>
                  <w:r>
                    <w:rPr>
                      <w:rFonts w:hint="default" w:ascii="Times New Roman" w:hAnsi="Times New Roman" w:eastAsia="宋体" w:cs="Times New Roman"/>
                      <w:bCs/>
                      <w:color w:val="auto"/>
                      <w:sz w:val="21"/>
                      <w:szCs w:val="21"/>
                      <w:highlight w:val="none"/>
                    </w:rPr>
                    <w:t>厂址内（1</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w:t>
                  </w:r>
                </w:p>
              </w:tc>
              <w:tc>
                <w:tcPr>
                  <w:tcW w:w="817" w:type="pct"/>
                  <w:tcBorders>
                    <w:tl2br w:val="nil"/>
                    <w:tr2bl w:val="nil"/>
                  </w:tcBorders>
                  <w:noWrap w:val="0"/>
                  <w:vAlign w:val="center"/>
                </w:tcPr>
                <w:p w14:paraId="77A632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103.157553°</w:t>
                  </w:r>
                </w:p>
              </w:tc>
              <w:tc>
                <w:tcPr>
                  <w:tcW w:w="757" w:type="pct"/>
                  <w:tcBorders>
                    <w:tl2br w:val="nil"/>
                    <w:tr2bl w:val="nil"/>
                  </w:tcBorders>
                  <w:noWrap w:val="0"/>
                  <w:vAlign w:val="center"/>
                </w:tcPr>
                <w:p w14:paraId="24606B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25.461592°</w:t>
                  </w:r>
                </w:p>
              </w:tc>
              <w:tc>
                <w:tcPr>
                  <w:tcW w:w="454" w:type="pct"/>
                  <w:tcBorders>
                    <w:tl2br w:val="nil"/>
                    <w:tr2bl w:val="nil"/>
                  </w:tcBorders>
                  <w:noWrap w:val="0"/>
                  <w:vAlign w:val="center"/>
                </w:tcPr>
                <w:p w14:paraId="32E640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TSP</w:t>
                  </w:r>
                </w:p>
              </w:tc>
              <w:tc>
                <w:tcPr>
                  <w:tcW w:w="686" w:type="pct"/>
                  <w:tcBorders>
                    <w:tl2br w:val="nil"/>
                    <w:tr2bl w:val="nil"/>
                  </w:tcBorders>
                  <w:noWrap w:val="0"/>
                  <w:vAlign w:val="center"/>
                </w:tcPr>
                <w:p w14:paraId="501CD3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6.22~6.29</w:t>
                  </w:r>
                </w:p>
              </w:tc>
              <w:tc>
                <w:tcPr>
                  <w:tcW w:w="552" w:type="pct"/>
                  <w:tcBorders>
                    <w:tl2br w:val="nil"/>
                    <w:tr2bl w:val="nil"/>
                  </w:tcBorders>
                  <w:noWrap w:val="0"/>
                  <w:vAlign w:val="center"/>
                </w:tcPr>
                <w:p w14:paraId="1F97F0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东南侧</w:t>
                  </w:r>
                </w:p>
              </w:tc>
              <w:tc>
                <w:tcPr>
                  <w:tcW w:w="572" w:type="pct"/>
                  <w:tcBorders>
                    <w:tl2br w:val="nil"/>
                    <w:tr2bl w:val="nil"/>
                  </w:tcBorders>
                  <w:noWrap w:val="0"/>
                  <w:vAlign w:val="center"/>
                </w:tcPr>
                <w:p w14:paraId="75DCD3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160</w:t>
                  </w:r>
                  <w:r>
                    <w:rPr>
                      <w:rFonts w:hint="default" w:ascii="Times New Roman" w:hAnsi="Times New Roman" w:eastAsia="宋体" w:cs="Times New Roman"/>
                      <w:b w:val="0"/>
                      <w:bCs w:val="0"/>
                      <w:color w:val="auto"/>
                      <w:sz w:val="21"/>
                      <w:szCs w:val="21"/>
                      <w:highlight w:val="none"/>
                    </w:rPr>
                    <w:t>m</w:t>
                  </w:r>
                </w:p>
              </w:tc>
            </w:tr>
            <w:tr w14:paraId="14E6B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8" w:hRule="atLeast"/>
                <w:jc w:val="center"/>
              </w:trPr>
              <w:tc>
                <w:tcPr>
                  <w:tcW w:w="1159" w:type="pct"/>
                  <w:tcBorders>
                    <w:tl2br w:val="nil"/>
                    <w:tr2bl w:val="nil"/>
                  </w:tcBorders>
                  <w:noWrap w:val="0"/>
                  <w:vAlign w:val="center"/>
                </w:tcPr>
                <w:p w14:paraId="68FB94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深沟村</w:t>
                  </w:r>
                  <w:r>
                    <w:rPr>
                      <w:rFonts w:hint="eastAsia" w:ascii="Times New Roman" w:hAnsi="Times New Roman" w:eastAsia="宋体" w:cs="Times New Roman"/>
                      <w:bCs/>
                      <w:color w:val="auto"/>
                      <w:sz w:val="21"/>
                      <w:szCs w:val="21"/>
                      <w:highlight w:val="none"/>
                      <w:lang w:val="en-US" w:eastAsia="zh-CN"/>
                    </w:rPr>
                    <w:t>散户</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w:t>
                  </w:r>
                </w:p>
              </w:tc>
              <w:tc>
                <w:tcPr>
                  <w:tcW w:w="817" w:type="pct"/>
                  <w:tcBorders>
                    <w:tl2br w:val="nil"/>
                    <w:tr2bl w:val="nil"/>
                  </w:tcBorders>
                  <w:noWrap w:val="0"/>
                  <w:vAlign w:val="center"/>
                </w:tcPr>
                <w:p w14:paraId="4D6AF3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103.162021°</w:t>
                  </w:r>
                </w:p>
              </w:tc>
              <w:tc>
                <w:tcPr>
                  <w:tcW w:w="757" w:type="pct"/>
                  <w:tcBorders>
                    <w:tl2br w:val="nil"/>
                    <w:tr2bl w:val="nil"/>
                  </w:tcBorders>
                  <w:noWrap w:val="0"/>
                  <w:vAlign w:val="center"/>
                </w:tcPr>
                <w:p w14:paraId="5C6185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25.465351°</w:t>
                  </w:r>
                </w:p>
              </w:tc>
              <w:tc>
                <w:tcPr>
                  <w:tcW w:w="454" w:type="pct"/>
                  <w:tcBorders>
                    <w:tl2br w:val="nil"/>
                    <w:tr2bl w:val="nil"/>
                  </w:tcBorders>
                  <w:noWrap w:val="0"/>
                  <w:vAlign w:val="center"/>
                </w:tcPr>
                <w:p w14:paraId="525718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TSP</w:t>
                  </w:r>
                </w:p>
              </w:tc>
              <w:tc>
                <w:tcPr>
                  <w:tcW w:w="686" w:type="pct"/>
                  <w:tcBorders>
                    <w:tl2br w:val="nil"/>
                    <w:tr2bl w:val="nil"/>
                  </w:tcBorders>
                  <w:noWrap w:val="0"/>
                  <w:vAlign w:val="center"/>
                </w:tcPr>
                <w:p w14:paraId="2F670A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6.22~6.29</w:t>
                  </w:r>
                </w:p>
              </w:tc>
              <w:tc>
                <w:tcPr>
                  <w:tcW w:w="552" w:type="pct"/>
                  <w:tcBorders>
                    <w:tl2br w:val="nil"/>
                    <w:tr2bl w:val="nil"/>
                  </w:tcBorders>
                  <w:noWrap w:val="0"/>
                  <w:vAlign w:val="center"/>
                </w:tcPr>
                <w:p w14:paraId="058A81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r>
                    <w:rPr>
                      <w:rFonts w:hint="eastAsia"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w:t>
                  </w:r>
                </w:p>
              </w:tc>
              <w:tc>
                <w:tcPr>
                  <w:tcW w:w="572" w:type="pct"/>
                  <w:tcBorders>
                    <w:tl2br w:val="nil"/>
                    <w:tr2bl w:val="nil"/>
                  </w:tcBorders>
                  <w:noWrap w:val="0"/>
                  <w:vAlign w:val="center"/>
                </w:tcPr>
                <w:p w14:paraId="5281ED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56</w:t>
                  </w:r>
                  <w:r>
                    <w:rPr>
                      <w:rFonts w:hint="eastAsia" w:ascii="Times New Roman" w:hAnsi="Times New Roman" w:eastAsia="宋体" w:cs="Times New Roman"/>
                      <w:b w:val="0"/>
                      <w:bCs w:val="0"/>
                      <w:color w:val="auto"/>
                      <w:sz w:val="21"/>
                      <w:szCs w:val="21"/>
                      <w:highlight w:val="none"/>
                      <w:lang w:val="en-US" w:eastAsia="zh-CN"/>
                    </w:rPr>
                    <w:t>0</w:t>
                  </w:r>
                  <w:r>
                    <w:rPr>
                      <w:rFonts w:hint="default" w:ascii="Times New Roman" w:hAnsi="Times New Roman" w:eastAsia="宋体" w:cs="Times New Roman"/>
                      <w:b w:val="0"/>
                      <w:bCs w:val="0"/>
                      <w:color w:val="auto"/>
                      <w:sz w:val="21"/>
                      <w:szCs w:val="21"/>
                      <w:highlight w:val="none"/>
                      <w:lang w:val="en-US" w:eastAsia="zh-CN"/>
                    </w:rPr>
                    <w:t>m</w:t>
                  </w:r>
                </w:p>
              </w:tc>
            </w:tr>
          </w:tbl>
          <w:p w14:paraId="4D316167">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18"/>
                <w:highlight w:val="none"/>
              </w:rPr>
              <w:t>大气环境质量现状</w:t>
            </w:r>
            <w:r>
              <w:rPr>
                <w:rFonts w:hint="default" w:ascii="Times New Roman" w:hAnsi="Times New Roman" w:eastAsia="宋体" w:cs="Times New Roman"/>
                <w:color w:val="auto"/>
                <w:szCs w:val="18"/>
                <w:highlight w:val="none"/>
                <w:lang w:val="en-US" w:eastAsia="zh-CN"/>
              </w:rPr>
              <w:t>引用</w:t>
            </w:r>
            <w:r>
              <w:rPr>
                <w:rFonts w:hint="default" w:ascii="Times New Roman" w:hAnsi="Times New Roman" w:eastAsia="宋体" w:cs="Times New Roman"/>
                <w:color w:val="auto"/>
                <w:szCs w:val="18"/>
                <w:highlight w:val="none"/>
              </w:rPr>
              <w:t>监测结果见表</w:t>
            </w:r>
            <w:r>
              <w:rPr>
                <w:rFonts w:hint="default" w:ascii="Times New Roman" w:hAnsi="Times New Roman" w:eastAsia="宋体" w:cs="Times New Roman"/>
                <w:color w:val="auto"/>
                <w:szCs w:val="18"/>
                <w:highlight w:val="none"/>
                <w:lang w:val="en-US" w:eastAsia="zh-CN"/>
              </w:rPr>
              <w:t>3-2</w:t>
            </w:r>
            <w:r>
              <w:rPr>
                <w:rFonts w:hint="default" w:ascii="Times New Roman" w:hAnsi="Times New Roman" w:eastAsia="宋体" w:cs="Times New Roman"/>
                <w:color w:val="auto"/>
                <w:szCs w:val="18"/>
                <w:highlight w:val="none"/>
              </w:rPr>
              <w:t>。</w:t>
            </w:r>
          </w:p>
          <w:p w14:paraId="76B2A69B">
            <w:pPr>
              <w:keepNext w:val="0"/>
              <w:keepLines w:val="0"/>
              <w:pageBreakBefore w:val="0"/>
              <w:widowControl w:val="0"/>
              <w:tabs>
                <w:tab w:val="left" w:pos="3072"/>
                <w:tab w:val="right" w:pos="9071"/>
              </w:tabs>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highlight w:val="none"/>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color w:val="auto"/>
                <w:kern w:val="0"/>
                <w:sz w:val="21"/>
                <w:szCs w:val="21"/>
                <w:highlight w:val="none"/>
              </w:rPr>
              <w:t xml:space="preserve"> </w:t>
            </w:r>
            <w:r>
              <w:rPr>
                <w:rFonts w:hint="default" w:ascii="Times New Roman" w:hAnsi="Times New Roman" w:cs="Times New Roman"/>
                <w:b/>
                <w:bCs/>
                <w:color w:val="auto"/>
                <w:sz w:val="21"/>
                <w:szCs w:val="21"/>
                <w:highlight w:val="none"/>
              </w:rPr>
              <w:t>TSP日均值现状监测结果</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单位：ug/m</w:t>
            </w:r>
            <w:r>
              <w:rPr>
                <w:rFonts w:hint="default" w:ascii="Times New Roman" w:hAnsi="Times New Roman" w:cs="Times New Roman"/>
                <w:b/>
                <w:bCs/>
                <w:color w:val="auto"/>
                <w:sz w:val="21"/>
                <w:szCs w:val="21"/>
                <w:highlight w:val="none"/>
                <w:vertAlign w:val="superscript"/>
              </w:rPr>
              <w:t>3</w:t>
            </w:r>
          </w:p>
          <w:tbl>
            <w:tblPr>
              <w:tblStyle w:val="25"/>
              <w:tblW w:w="83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46"/>
              <w:gridCol w:w="1800"/>
              <w:gridCol w:w="2483"/>
              <w:gridCol w:w="734"/>
              <w:gridCol w:w="983"/>
              <w:gridCol w:w="1082"/>
            </w:tblGrid>
            <w:tr w14:paraId="5C2A4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DD96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监测点位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364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采样日期</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4F38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样品编号</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E2B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TSP</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0F0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标准值</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8D2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达标情况</w:t>
                  </w:r>
                </w:p>
              </w:tc>
            </w:tr>
            <w:tr w14:paraId="65021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D6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寻甸年加工喷涂铝板</w:t>
                  </w:r>
                  <w:r>
                    <w:rPr>
                      <w:rFonts w:hint="default" w:ascii="Times New Roman" w:hAnsi="Times New Roman" w:eastAsia="宋体" w:cs="Times New Roman"/>
                      <w:i w:val="0"/>
                      <w:iCs w:val="0"/>
                      <w:color w:val="auto"/>
                      <w:kern w:val="0"/>
                      <w:sz w:val="21"/>
                      <w:szCs w:val="21"/>
                      <w:highlight w:val="none"/>
                      <w:u w:val="none"/>
                      <w:lang w:val="en-US" w:eastAsia="zh-CN" w:bidi="ar"/>
                    </w:rPr>
                    <w:t>30</w:t>
                  </w:r>
                  <w:r>
                    <w:rPr>
                      <w:rFonts w:hint="eastAsia" w:ascii="宋体" w:hAnsi="宋体" w:eastAsia="宋体" w:cs="宋体"/>
                      <w:i w:val="0"/>
                      <w:iCs w:val="0"/>
                      <w:color w:val="auto"/>
                      <w:kern w:val="0"/>
                      <w:sz w:val="21"/>
                      <w:szCs w:val="21"/>
                      <w:highlight w:val="none"/>
                      <w:u w:val="none"/>
                      <w:lang w:val="en-US" w:eastAsia="zh-CN" w:bidi="ar"/>
                    </w:rPr>
                    <w:t>万平方米项目厂址内</w:t>
                  </w: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E0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2021.6.22～6.23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03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HTSP20210618001-1-1-1</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B8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983" w:type="dxa"/>
                  <w:vMerge w:val="restart"/>
                  <w:tcBorders>
                    <w:top w:val="single" w:color="000000" w:sz="4" w:space="0"/>
                    <w:left w:val="single" w:color="000000" w:sz="4" w:space="0"/>
                    <w:right w:val="single" w:color="000000" w:sz="4" w:space="0"/>
                  </w:tcBorders>
                  <w:shd w:val="clear" w:color="auto" w:fill="auto"/>
                  <w:noWrap/>
                  <w:vAlign w:val="center"/>
                </w:tcPr>
                <w:p w14:paraId="760890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082" w:type="dxa"/>
                  <w:vMerge w:val="restart"/>
                  <w:tcBorders>
                    <w:top w:val="single" w:color="000000" w:sz="4" w:space="0"/>
                    <w:left w:val="single" w:color="000000" w:sz="4" w:space="0"/>
                    <w:right w:val="single" w:color="000000" w:sz="4" w:space="0"/>
                  </w:tcBorders>
                  <w:shd w:val="clear" w:color="auto" w:fill="auto"/>
                  <w:noWrap/>
                  <w:vAlign w:val="center"/>
                </w:tcPr>
                <w:p w14:paraId="4EA76B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r w14:paraId="43982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61F2">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FF0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2021.6.23～6.24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32F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HTSP20210618001-1-1-2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443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983" w:type="dxa"/>
                  <w:vMerge w:val="continue"/>
                  <w:tcBorders>
                    <w:left w:val="single" w:color="000000" w:sz="4" w:space="0"/>
                    <w:right w:val="single" w:color="000000" w:sz="4" w:space="0"/>
                  </w:tcBorders>
                  <w:shd w:val="clear" w:color="auto" w:fill="auto"/>
                  <w:noWrap/>
                  <w:vAlign w:val="center"/>
                </w:tcPr>
                <w:p w14:paraId="5B5879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4F6332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5AECC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9F822">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A6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2021.6.24～6.25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3BC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HTSP20210618001-1-1-3</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18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c>
                <w:tcPr>
                  <w:tcW w:w="983" w:type="dxa"/>
                  <w:vMerge w:val="continue"/>
                  <w:tcBorders>
                    <w:left w:val="single" w:color="000000" w:sz="4" w:space="0"/>
                    <w:right w:val="single" w:color="000000" w:sz="4" w:space="0"/>
                  </w:tcBorders>
                  <w:shd w:val="clear" w:color="auto" w:fill="auto"/>
                  <w:noWrap/>
                  <w:vAlign w:val="center"/>
                </w:tcPr>
                <w:p w14:paraId="083AC9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2154F4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7DB3D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974C">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61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2021.6.25～6.26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A6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HTSP20210618001-1-1-4</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8AB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983" w:type="dxa"/>
                  <w:vMerge w:val="continue"/>
                  <w:tcBorders>
                    <w:left w:val="single" w:color="000000" w:sz="4" w:space="0"/>
                    <w:right w:val="single" w:color="000000" w:sz="4" w:space="0"/>
                  </w:tcBorders>
                  <w:shd w:val="clear" w:color="auto" w:fill="auto"/>
                  <w:noWrap/>
                  <w:vAlign w:val="center"/>
                </w:tcPr>
                <w:p w14:paraId="602483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737A75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1449B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156D1">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B64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2021.6.26～6.27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B0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HTSP20210618001-1-1-5</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40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w:t>
                  </w:r>
                </w:p>
              </w:tc>
              <w:tc>
                <w:tcPr>
                  <w:tcW w:w="983" w:type="dxa"/>
                  <w:vMerge w:val="continue"/>
                  <w:tcBorders>
                    <w:left w:val="single" w:color="000000" w:sz="4" w:space="0"/>
                    <w:right w:val="single" w:color="000000" w:sz="4" w:space="0"/>
                  </w:tcBorders>
                  <w:shd w:val="clear" w:color="auto" w:fill="auto"/>
                  <w:noWrap/>
                  <w:vAlign w:val="center"/>
                </w:tcPr>
                <w:p w14:paraId="2B5F1A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34B82F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62496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FD9E">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88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2021.6.27～6.28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EDC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HTSP20210618001-1-1-6</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4B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w:t>
                  </w:r>
                </w:p>
              </w:tc>
              <w:tc>
                <w:tcPr>
                  <w:tcW w:w="983" w:type="dxa"/>
                  <w:vMerge w:val="continue"/>
                  <w:tcBorders>
                    <w:left w:val="single" w:color="000000" w:sz="4" w:space="0"/>
                    <w:right w:val="single" w:color="000000" w:sz="4" w:space="0"/>
                  </w:tcBorders>
                  <w:shd w:val="clear" w:color="auto" w:fill="auto"/>
                  <w:noWrap/>
                  <w:vAlign w:val="center"/>
                </w:tcPr>
                <w:p w14:paraId="008836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711273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22922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5757">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95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2021.6.28～6.29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C7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HTSP20210618001-1-1-7</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C1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983" w:type="dxa"/>
                  <w:vMerge w:val="continue"/>
                  <w:tcBorders>
                    <w:left w:val="single" w:color="000000" w:sz="4" w:space="0"/>
                    <w:right w:val="single" w:color="000000" w:sz="4" w:space="0"/>
                  </w:tcBorders>
                  <w:shd w:val="clear" w:color="auto" w:fill="auto"/>
                  <w:noWrap/>
                  <w:vAlign w:val="center"/>
                </w:tcPr>
                <w:p w14:paraId="69ABA0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4BB6DB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4731C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9B6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深沟村散户</w:t>
                  </w: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B29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2021.6.22～6.23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00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HTSP20210618001-2-1-1</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08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983" w:type="dxa"/>
                  <w:vMerge w:val="continue"/>
                  <w:tcBorders>
                    <w:left w:val="single" w:color="000000" w:sz="4" w:space="0"/>
                    <w:right w:val="single" w:color="000000" w:sz="4" w:space="0"/>
                  </w:tcBorders>
                  <w:shd w:val="clear" w:color="auto" w:fill="auto"/>
                  <w:noWrap/>
                  <w:vAlign w:val="center"/>
                </w:tcPr>
                <w:p w14:paraId="25E91E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2192B0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35FA2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8761">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499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2021.6.23～6.24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F92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HTSP20210618001-2-1-2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99A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983" w:type="dxa"/>
                  <w:vMerge w:val="continue"/>
                  <w:tcBorders>
                    <w:left w:val="single" w:color="000000" w:sz="4" w:space="0"/>
                    <w:right w:val="single" w:color="000000" w:sz="4" w:space="0"/>
                  </w:tcBorders>
                  <w:shd w:val="clear" w:color="auto" w:fill="auto"/>
                  <w:noWrap/>
                  <w:vAlign w:val="center"/>
                </w:tcPr>
                <w:p w14:paraId="32A556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6D5D2D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0D903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7D7A">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4ED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2021.6.24～6.25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9C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HTSP20210618001-2-1-3</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DE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983" w:type="dxa"/>
                  <w:vMerge w:val="continue"/>
                  <w:tcBorders>
                    <w:left w:val="single" w:color="000000" w:sz="4" w:space="0"/>
                    <w:right w:val="single" w:color="000000" w:sz="4" w:space="0"/>
                  </w:tcBorders>
                  <w:shd w:val="clear" w:color="auto" w:fill="auto"/>
                  <w:noWrap/>
                  <w:vAlign w:val="center"/>
                </w:tcPr>
                <w:p w14:paraId="26FC1D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4C7BE9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369CF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7C4E">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5B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2021.6.25～6.26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08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HTSP20210618001-2-1-4</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96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983" w:type="dxa"/>
                  <w:vMerge w:val="continue"/>
                  <w:tcBorders>
                    <w:left w:val="single" w:color="000000" w:sz="4" w:space="0"/>
                    <w:right w:val="single" w:color="000000" w:sz="4" w:space="0"/>
                  </w:tcBorders>
                  <w:shd w:val="clear" w:color="auto" w:fill="auto"/>
                  <w:noWrap/>
                  <w:vAlign w:val="center"/>
                </w:tcPr>
                <w:p w14:paraId="3328AC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6F804F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4DDD7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8E04">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9D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2021.6.26～6.27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FC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HTSP20210618001-2-1-5</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BC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983" w:type="dxa"/>
                  <w:vMerge w:val="continue"/>
                  <w:tcBorders>
                    <w:left w:val="single" w:color="000000" w:sz="4" w:space="0"/>
                    <w:right w:val="single" w:color="000000" w:sz="4" w:space="0"/>
                  </w:tcBorders>
                  <w:shd w:val="clear" w:color="auto" w:fill="auto"/>
                  <w:noWrap/>
                  <w:vAlign w:val="center"/>
                </w:tcPr>
                <w:p w14:paraId="5DF917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61917F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5E8EA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F9E87">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8D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2021.6.27～6.28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82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HTSP20210618001-2-1-6</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FF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983" w:type="dxa"/>
                  <w:vMerge w:val="continue"/>
                  <w:tcBorders>
                    <w:left w:val="single" w:color="000000" w:sz="4" w:space="0"/>
                    <w:right w:val="single" w:color="000000" w:sz="4" w:space="0"/>
                  </w:tcBorders>
                  <w:shd w:val="clear" w:color="auto" w:fill="auto"/>
                  <w:noWrap/>
                  <w:vAlign w:val="center"/>
                </w:tcPr>
                <w:p w14:paraId="3E7AC4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right w:val="single" w:color="000000" w:sz="4" w:space="0"/>
                  </w:tcBorders>
                  <w:shd w:val="clear" w:color="auto" w:fill="auto"/>
                  <w:noWrap/>
                  <w:vAlign w:val="center"/>
                </w:tcPr>
                <w:p w14:paraId="760BD4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14:paraId="0A7CB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2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4197B">
                  <w:pPr>
                    <w:jc w:val="center"/>
                    <w:rPr>
                      <w:rFonts w:hint="eastAsia" w:ascii="宋体" w:hAnsi="宋体" w:eastAsia="宋体" w:cs="宋体"/>
                      <w:i w:val="0"/>
                      <w:iCs w:val="0"/>
                      <w:color w:val="auto"/>
                      <w:sz w:val="21"/>
                      <w:szCs w:val="21"/>
                      <w:highlight w:val="none"/>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5C1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2021.6.28～6.29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345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HTSP20210618001-2-1-7</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7E5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c>
                <w:tcPr>
                  <w:tcW w:w="983" w:type="dxa"/>
                  <w:vMerge w:val="continue"/>
                  <w:tcBorders>
                    <w:left w:val="single" w:color="000000" w:sz="4" w:space="0"/>
                    <w:bottom w:val="single" w:color="000000" w:sz="4" w:space="0"/>
                    <w:right w:val="single" w:color="000000" w:sz="4" w:space="0"/>
                  </w:tcBorders>
                  <w:shd w:val="clear" w:color="auto" w:fill="auto"/>
                  <w:noWrap/>
                  <w:vAlign w:val="center"/>
                </w:tcPr>
                <w:p w14:paraId="76F484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082" w:type="dxa"/>
                  <w:vMerge w:val="continue"/>
                  <w:tcBorders>
                    <w:left w:val="single" w:color="000000" w:sz="4" w:space="0"/>
                    <w:bottom w:val="single" w:color="000000" w:sz="4" w:space="0"/>
                    <w:right w:val="single" w:color="000000" w:sz="4" w:space="0"/>
                  </w:tcBorders>
                  <w:shd w:val="clear" w:color="auto" w:fill="auto"/>
                  <w:noWrap/>
                  <w:vAlign w:val="center"/>
                </w:tcPr>
                <w:p w14:paraId="2ADFC2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bl>
          <w:p w14:paraId="3F833C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引用项目区内及下风向保护目标深沟村散户</w:t>
            </w:r>
            <w:r>
              <w:rPr>
                <w:rFonts w:hint="default" w:ascii="Times New Roman" w:hAnsi="Times New Roman" w:eastAsia="宋体" w:cs="Times New Roman"/>
                <w:color w:val="auto"/>
                <w:kern w:val="0"/>
                <w:sz w:val="24"/>
                <w:highlight w:val="none"/>
              </w:rPr>
              <w:t>两个监测点TSP日均值浓度能够达到《环境空气质量标准》（GB3095-2012）二级评价标准要求。项目区环境空气质量满足功能区要求。</w:t>
            </w:r>
          </w:p>
          <w:p w14:paraId="16B8CB18">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14:paraId="04583F26">
            <w:pPr>
              <w:keepNext w:val="0"/>
              <w:keepLines w:val="0"/>
              <w:suppressLineNumbers w:val="0"/>
              <w:snapToGrid w:val="0"/>
              <w:spacing w:before="0" w:beforeAutospacing="0" w:after="0" w:afterAutospacing="0" w:line="360" w:lineRule="auto"/>
              <w:ind w:left="0" w:right="0" w:firstLine="560"/>
              <w:rPr>
                <w:rFonts w:hint="default" w:ascii="Times New Roman" w:hAnsi="Times New Roman" w:cs="Times New Roman"/>
                <w:color w:val="auto"/>
                <w:kern w:val="0"/>
                <w:sz w:val="24"/>
                <w:highlight w:val="none"/>
                <w:lang w:val="zh-CN"/>
              </w:rPr>
            </w:pPr>
            <w:r>
              <w:rPr>
                <w:rFonts w:hint="default" w:ascii="Times New Roman" w:hAnsi="Times New Roman" w:cs="Times New Roman"/>
                <w:color w:val="auto"/>
                <w:kern w:val="0"/>
                <w:sz w:val="24"/>
                <w:highlight w:val="none"/>
              </w:rPr>
              <w:t>本项目涉及的地表水体主要为羊街河（果马河）。</w:t>
            </w:r>
            <w:r>
              <w:rPr>
                <w:rFonts w:hint="default" w:ascii="Times New Roman" w:hAnsi="Times New Roman" w:cs="Times New Roman"/>
                <w:color w:val="auto"/>
                <w:sz w:val="24"/>
                <w:szCs w:val="24"/>
                <w:highlight w:val="none"/>
              </w:rPr>
              <w:t>根据云南省水利厅2014年5月发布的《云南省水功能区划》（2014年修订），牛栏江（寻甸县河源—</w:t>
            </w:r>
            <w:r>
              <w:rPr>
                <w:rFonts w:hint="eastAsia" w:cs="Times New Roman"/>
                <w:color w:val="auto"/>
                <w:sz w:val="24"/>
                <w:szCs w:val="24"/>
                <w:highlight w:val="none"/>
                <w:lang w:eastAsia="zh-CN"/>
              </w:rPr>
              <w:t>沾益区</w:t>
            </w:r>
            <w:r>
              <w:rPr>
                <w:rFonts w:hint="default" w:ascii="Times New Roman" w:hAnsi="Times New Roman" w:cs="Times New Roman"/>
                <w:color w:val="auto"/>
                <w:sz w:val="24"/>
                <w:szCs w:val="24"/>
                <w:highlight w:val="none"/>
              </w:rPr>
              <w:t>德泽水库坝址）水功能区划为牛栏江-滇池补水水源保护区。现状水质为Ⅲ类～Ⅴ类，2030年水质目标为III类，羊街河（果马河）位于牛栏江-滇池补水水源保护区，寻甸县河源—</w:t>
            </w:r>
            <w:r>
              <w:rPr>
                <w:rFonts w:hint="eastAsia" w:cs="Times New Roman"/>
                <w:color w:val="auto"/>
                <w:sz w:val="24"/>
                <w:szCs w:val="24"/>
                <w:highlight w:val="none"/>
                <w:lang w:eastAsia="zh-CN"/>
              </w:rPr>
              <w:t>沾益区</w:t>
            </w:r>
            <w:r>
              <w:rPr>
                <w:rFonts w:hint="default" w:ascii="Times New Roman" w:hAnsi="Times New Roman" w:cs="Times New Roman"/>
                <w:color w:val="auto"/>
                <w:sz w:val="24"/>
                <w:szCs w:val="24"/>
                <w:highlight w:val="none"/>
              </w:rPr>
              <w:t>德泽水库坝址段，功能类别为III类水，执行《地表水环境质量标准》（GB3838-2002）III类标准</w:t>
            </w:r>
            <w:r>
              <w:rPr>
                <w:rFonts w:hint="default" w:ascii="Times New Roman" w:hAnsi="Times New Roman" w:cs="Times New Roman"/>
                <w:color w:val="auto"/>
                <w:kern w:val="0"/>
                <w:sz w:val="24"/>
                <w:szCs w:val="24"/>
                <w:highlight w:val="none"/>
                <w:lang w:val="zh-CN"/>
              </w:rPr>
              <w:t>。</w:t>
            </w:r>
          </w:p>
          <w:p w14:paraId="340943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宋体"/>
                <w:color w:val="auto"/>
                <w:kern w:val="0"/>
                <w:sz w:val="24"/>
                <w:szCs w:val="24"/>
                <w:highlight w:val="none"/>
              </w:rPr>
            </w:pPr>
            <w:r>
              <w:rPr>
                <w:rFonts w:hint="default" w:ascii="Times New Roman" w:hAnsi="Times New Roman" w:cs="Times New Roman"/>
                <w:color w:val="auto"/>
                <w:kern w:val="0"/>
                <w:sz w:val="24"/>
                <w:highlight w:val="none"/>
                <w:lang w:val="zh-CN"/>
              </w:rPr>
              <w:t>根据寻甸县人民政府发布的“20</w:t>
            </w:r>
            <w:r>
              <w:rPr>
                <w:rFonts w:hint="default" w:ascii="Times New Roman" w:hAnsi="Times New Roman" w:cs="Times New Roman"/>
                <w:color w:val="auto"/>
                <w:kern w:val="0"/>
                <w:sz w:val="24"/>
                <w:highlight w:val="none"/>
              </w:rPr>
              <w:t>2</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val="zh-CN"/>
              </w:rPr>
              <w:t>年</w:t>
            </w:r>
            <w:r>
              <w:rPr>
                <w:rFonts w:hint="eastAsia" w:cs="Times New Roman"/>
                <w:color w:val="auto"/>
                <w:kern w:val="0"/>
                <w:sz w:val="24"/>
                <w:highlight w:val="none"/>
                <w:lang w:val="en-US" w:eastAsia="zh-CN"/>
              </w:rPr>
              <w:t>12</w:t>
            </w:r>
            <w:r>
              <w:rPr>
                <w:rFonts w:hint="default" w:ascii="Times New Roman" w:hAnsi="Times New Roman" w:cs="Times New Roman"/>
                <w:color w:val="auto"/>
                <w:kern w:val="0"/>
                <w:sz w:val="24"/>
                <w:highlight w:val="none"/>
                <w:lang w:val="zh-CN"/>
              </w:rPr>
              <w:t>月寻甸县水环境质量监测月报”，寻甸县环境监测站</w:t>
            </w:r>
            <w:r>
              <w:rPr>
                <w:rFonts w:hint="default" w:ascii="Times New Roman" w:hAnsi="Times New Roman" w:cs="Times New Roman"/>
                <w:color w:val="auto"/>
                <w:kern w:val="0"/>
                <w:sz w:val="24"/>
                <w:highlight w:val="none"/>
              </w:rPr>
              <w:t>202</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年</w:t>
            </w:r>
            <w:r>
              <w:rPr>
                <w:rFonts w:hint="eastAsia" w:cs="Times New Roman"/>
                <w:color w:val="auto"/>
                <w:kern w:val="0"/>
                <w:sz w:val="24"/>
                <w:highlight w:val="none"/>
                <w:lang w:val="en-US" w:eastAsia="zh-CN"/>
              </w:rPr>
              <w:t>12</w:t>
            </w:r>
            <w:r>
              <w:rPr>
                <w:rFonts w:hint="default" w:ascii="Times New Roman" w:hAnsi="Times New Roman" w:cs="Times New Roman"/>
                <w:color w:val="auto"/>
                <w:kern w:val="0"/>
                <w:sz w:val="24"/>
                <w:highlight w:val="none"/>
              </w:rPr>
              <w:t>月</w:t>
            </w:r>
            <w:r>
              <w:rPr>
                <w:rFonts w:hint="eastAsia"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日</w:t>
            </w:r>
            <w:r>
              <w:rPr>
                <w:rFonts w:hint="default" w:ascii="Times New Roman" w:hAnsi="Times New Roman" w:cs="Times New Roman"/>
                <w:color w:val="auto"/>
                <w:kern w:val="0"/>
                <w:sz w:val="24"/>
                <w:highlight w:val="none"/>
                <w:lang w:val="zh-CN"/>
              </w:rPr>
              <w:t>对羊街河</w:t>
            </w:r>
            <w:r>
              <w:rPr>
                <w:rFonts w:hint="eastAsia" w:cs="Times New Roman"/>
                <w:color w:val="auto"/>
                <w:kern w:val="0"/>
                <w:sz w:val="24"/>
                <w:highlight w:val="none"/>
                <w:lang w:val="zh-CN"/>
              </w:rPr>
              <w:t>（</w:t>
            </w:r>
            <w:r>
              <w:rPr>
                <w:rFonts w:hint="eastAsia" w:cs="Times New Roman"/>
                <w:color w:val="auto"/>
                <w:kern w:val="0"/>
                <w:sz w:val="24"/>
                <w:highlight w:val="none"/>
                <w:lang w:val="en-US" w:eastAsia="zh-CN"/>
              </w:rPr>
              <w:t>果马河</w:t>
            </w:r>
            <w:r>
              <w:rPr>
                <w:rFonts w:hint="eastAsia" w:cs="Times New Roman"/>
                <w:color w:val="auto"/>
                <w:kern w:val="0"/>
                <w:sz w:val="24"/>
                <w:highlight w:val="none"/>
                <w:lang w:val="zh-CN"/>
              </w:rPr>
              <w:t>）</w:t>
            </w:r>
            <w:r>
              <w:rPr>
                <w:rFonts w:hint="default" w:ascii="Times New Roman" w:hAnsi="Times New Roman" w:cs="Times New Roman"/>
                <w:color w:val="auto"/>
                <w:kern w:val="0"/>
                <w:sz w:val="24"/>
                <w:highlight w:val="none"/>
                <w:lang w:val="zh-CN"/>
              </w:rPr>
              <w:t>李家坝断面的水质监测结果为</w:t>
            </w:r>
            <w:r>
              <w:rPr>
                <w:rFonts w:hint="default" w:ascii="Times New Roman" w:hAnsi="Times New Roman" w:cs="Times New Roman"/>
                <w:color w:val="auto"/>
                <w:sz w:val="24"/>
                <w:szCs w:val="24"/>
                <w:highlight w:val="none"/>
              </w:rPr>
              <w:t>III</w:t>
            </w:r>
            <w:r>
              <w:rPr>
                <w:rFonts w:hint="default" w:ascii="Times New Roman" w:hAnsi="Times New Roman" w:cs="Times New Roman"/>
                <w:color w:val="auto"/>
                <w:kern w:val="0"/>
                <w:sz w:val="24"/>
                <w:highlight w:val="none"/>
                <w:lang w:val="zh-CN"/>
              </w:rPr>
              <w:t>类</w:t>
            </w:r>
            <w:r>
              <w:rPr>
                <w:rFonts w:hint="eastAsia" w:cs="Times New Roman"/>
                <w:color w:val="auto"/>
                <w:kern w:val="0"/>
                <w:sz w:val="24"/>
                <w:highlight w:val="none"/>
                <w:lang w:val="zh-CN"/>
              </w:rPr>
              <w:t>。</w:t>
            </w:r>
            <w:r>
              <w:rPr>
                <w:rFonts w:hint="eastAsia" w:cs="Times New Roman"/>
                <w:color w:val="auto"/>
                <w:kern w:val="0"/>
                <w:sz w:val="24"/>
                <w:highlight w:val="none"/>
                <w:lang w:val="en-US" w:eastAsia="zh-CN"/>
              </w:rPr>
              <w:t>故项目区域地表水</w:t>
            </w:r>
            <w:r>
              <w:rPr>
                <w:rFonts w:hint="default" w:ascii="Times New Roman" w:hAnsi="Times New Roman" w:cs="Times New Roman"/>
                <w:color w:val="auto"/>
                <w:kern w:val="0"/>
                <w:sz w:val="24"/>
                <w:highlight w:val="none"/>
              </w:rPr>
              <w:t>羊街河（果马河）</w:t>
            </w:r>
            <w:r>
              <w:rPr>
                <w:rFonts w:hint="default" w:ascii="Times New Roman" w:hAnsi="Times New Roman" w:cs="Times New Roman"/>
                <w:color w:val="auto"/>
                <w:kern w:val="0"/>
                <w:sz w:val="24"/>
                <w:highlight w:val="none"/>
                <w:lang w:val="zh-CN"/>
              </w:rPr>
              <w:t>能满足 GB3838-2002《地表水环境质量标准》</w:t>
            </w:r>
            <w:r>
              <w:rPr>
                <w:rFonts w:hint="default" w:ascii="Times New Roman" w:hAnsi="Times New Roman" w:cs="Times New Roman"/>
                <w:color w:val="auto"/>
                <w:sz w:val="24"/>
                <w:szCs w:val="24"/>
                <w:highlight w:val="none"/>
              </w:rPr>
              <w:t>III</w:t>
            </w:r>
            <w:r>
              <w:rPr>
                <w:rFonts w:hint="default" w:ascii="Times New Roman" w:hAnsi="Times New Roman" w:cs="Times New Roman"/>
                <w:color w:val="auto"/>
                <w:kern w:val="0"/>
                <w:sz w:val="24"/>
                <w:highlight w:val="none"/>
                <w:lang w:val="zh-CN"/>
              </w:rPr>
              <w:t>类标准要求</w:t>
            </w:r>
            <w:r>
              <w:rPr>
                <w:rFonts w:hint="default" w:ascii="Times New Roman" w:hAnsi="Times New Roman" w:cs="Times New Roman"/>
                <w:color w:val="auto"/>
                <w:sz w:val="24"/>
                <w:szCs w:val="24"/>
                <w:highlight w:val="none"/>
                <w:lang w:val="zh-CN"/>
              </w:rPr>
              <w:t>。</w:t>
            </w:r>
          </w:p>
          <w:p w14:paraId="6B6DC02C">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14:paraId="402FF2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lang w:val="en-US"/>
              </w:rPr>
              <w:t>昆明市寻甸特色产业园区羊街片区</w:t>
            </w:r>
            <w:r>
              <w:rPr>
                <w:rFonts w:hint="eastAsia"/>
                <w:color w:val="auto"/>
                <w:sz w:val="24"/>
                <w:szCs w:val="24"/>
                <w:highlight w:val="none"/>
                <w:lang w:val="en-US" w:eastAsia="zh-CN"/>
              </w:rPr>
              <w:t>，根据《寻甸特色产业园区总体规划【修编】（2018-2035年）》，</w:t>
            </w:r>
            <w:r>
              <w:rPr>
                <w:rFonts w:hint="default" w:ascii="Times New Roman" w:hAnsi="Times New Roman" w:eastAsia="宋体" w:cs="Times New Roman"/>
                <w:color w:val="auto"/>
                <w:sz w:val="24"/>
                <w:highlight w:val="none"/>
              </w:rPr>
              <w:t>项目所在区域属于3类声环境功能区，</w:t>
            </w:r>
            <w:r>
              <w:rPr>
                <w:rFonts w:hint="eastAsia" w:ascii="Times New Roman" w:hAnsi="Times New Roman" w:eastAsia="宋体" w:cs="Times New Roman"/>
                <w:color w:val="auto"/>
                <w:sz w:val="24"/>
                <w:highlight w:val="none"/>
                <w:lang w:val="en-US" w:eastAsia="zh-CN"/>
              </w:rPr>
              <w:t>执行</w:t>
            </w:r>
            <w:r>
              <w:rPr>
                <w:rFonts w:hint="default" w:ascii="Times New Roman" w:hAnsi="Times New Roman" w:eastAsia="宋体" w:cs="Times New Roman"/>
                <w:color w:val="auto"/>
                <w:sz w:val="24"/>
                <w:highlight w:val="none"/>
              </w:rPr>
              <w:t>《声环境质量标准》（GB3096-2008）3类</w:t>
            </w:r>
            <w:r>
              <w:rPr>
                <w:rFonts w:hint="eastAsia" w:ascii="Times New Roman" w:hAnsi="Times New Roman" w:eastAsia="宋体" w:cs="Times New Roman"/>
                <w:color w:val="auto"/>
                <w:sz w:val="24"/>
                <w:highlight w:val="none"/>
                <w:lang w:val="en-US" w:eastAsia="zh-CN"/>
              </w:rPr>
              <w:t>标准</w:t>
            </w:r>
            <w:r>
              <w:rPr>
                <w:rFonts w:hint="eastAsia"/>
                <w:color w:val="auto"/>
                <w:sz w:val="24"/>
                <w:szCs w:val="24"/>
                <w:highlight w:val="none"/>
                <w:lang w:val="en-US" w:eastAsia="zh-CN"/>
              </w:rPr>
              <w:t>。</w:t>
            </w:r>
          </w:p>
          <w:p w14:paraId="7D666855">
            <w:pPr>
              <w:pStyle w:val="87"/>
              <w:snapToGrid w:val="0"/>
              <w:rPr>
                <w:rFonts w:hint="default"/>
                <w:color w:val="auto"/>
                <w:sz w:val="24"/>
                <w:highlight w:val="none"/>
              </w:rPr>
            </w:pPr>
            <w:r>
              <w:rPr>
                <w:rFonts w:hint="default"/>
                <w:color w:val="auto"/>
                <w:sz w:val="24"/>
                <w:highlight w:val="none"/>
              </w:rPr>
              <w:t>根据调查资料和现场踏勘，项目区周边200m范围主要为</w:t>
            </w:r>
            <w:r>
              <w:rPr>
                <w:rFonts w:hint="eastAsia"/>
                <w:color w:val="auto"/>
                <w:sz w:val="24"/>
                <w:highlight w:val="none"/>
                <w:lang w:eastAsia="zh-CN"/>
              </w:rPr>
              <w:t>园区其他在建企业及未建企业</w:t>
            </w:r>
            <w:r>
              <w:rPr>
                <w:rFonts w:hint="default"/>
                <w:color w:val="auto"/>
                <w:sz w:val="24"/>
                <w:highlight w:val="none"/>
              </w:rPr>
              <w:t>，无较大工业噪声源，</w:t>
            </w:r>
            <w:r>
              <w:rPr>
                <w:rFonts w:hint="eastAsia"/>
                <w:color w:val="auto"/>
                <w:sz w:val="24"/>
                <w:highlight w:val="none"/>
                <w:lang w:eastAsia="zh-CN"/>
              </w:rPr>
              <w:t>根据建设项目环境影响报告表编制技术指南（污染影响类），本项目厂界外</w:t>
            </w:r>
            <w:r>
              <w:rPr>
                <w:rFonts w:hint="eastAsia"/>
                <w:color w:val="auto"/>
                <w:sz w:val="24"/>
                <w:highlight w:val="none"/>
                <w:lang w:val="en-US" w:eastAsia="zh-CN"/>
              </w:rPr>
              <w:t>50米范围内不存在声环境保护目标，不用开展声环境质量现状监测</w:t>
            </w:r>
            <w:r>
              <w:rPr>
                <w:rFonts w:hint="default" w:ascii="Times New Roman" w:hAnsi="Times New Roman" w:eastAsia="宋体" w:cs="Times New Roman"/>
                <w:color w:val="auto"/>
                <w:kern w:val="0"/>
                <w:highlight w:val="none"/>
                <w:lang w:val="en-US" w:eastAsia="zh-CN"/>
              </w:rPr>
              <w:t>。</w:t>
            </w:r>
            <w:r>
              <w:rPr>
                <w:rFonts w:hint="default" w:ascii="Times New Roman" w:hAnsi="Times New Roman" w:eastAsia="宋体" w:cs="Times New Roman"/>
                <w:bCs/>
                <w:color w:val="auto"/>
                <w:sz w:val="24"/>
                <w:highlight w:val="none"/>
              </w:rPr>
              <w:t>根据《202</w:t>
            </w:r>
            <w:r>
              <w:rPr>
                <w:rFonts w:hint="eastAsia"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eastAsia" w:cs="Times New Roman"/>
                <w:bCs/>
                <w:color w:val="auto"/>
                <w:sz w:val="24"/>
                <w:highlight w:val="none"/>
                <w:lang w:eastAsia="zh-CN"/>
              </w:rPr>
              <w:t>，</w:t>
            </w:r>
            <w:r>
              <w:rPr>
                <w:rFonts w:hint="eastAsia" w:cs="Times New Roman"/>
                <w:bCs/>
                <w:color w:val="auto"/>
                <w:sz w:val="24"/>
                <w:highlight w:val="none"/>
                <w:lang w:val="en-US" w:eastAsia="zh-CN"/>
              </w:rPr>
              <w:t>寻甸县昼间区域环境噪声平均等效声级为48.6分贝。根据区域环境噪声质量划分等级，寻甸县</w:t>
            </w:r>
            <w:r>
              <w:rPr>
                <w:rFonts w:hint="default" w:ascii="Times New Roman" w:hAnsi="Times New Roman" w:eastAsia="宋体" w:cs="Times New Roman"/>
                <w:bCs/>
                <w:color w:val="auto"/>
                <w:sz w:val="24"/>
                <w:highlight w:val="none"/>
              </w:rPr>
              <w:t>环境噪声总体水平为</w:t>
            </w:r>
            <w:r>
              <w:rPr>
                <w:rFonts w:hint="eastAsia" w:cs="Times New Roman"/>
                <w:bCs/>
                <w:color w:val="auto"/>
                <w:sz w:val="24"/>
                <w:highlight w:val="none"/>
                <w:lang w:val="en-US" w:eastAsia="zh-CN"/>
              </w:rPr>
              <w:t>一级（好）。</w:t>
            </w:r>
            <w:r>
              <w:rPr>
                <w:rFonts w:hint="eastAsia" w:ascii="Times New Roman" w:hAnsi="Times New Roman" w:eastAsia="宋体" w:cs="Times New Roman"/>
                <w:bCs/>
                <w:color w:val="auto"/>
                <w:sz w:val="24"/>
                <w:highlight w:val="none"/>
                <w:lang w:val="en-US" w:eastAsia="zh-CN"/>
              </w:rPr>
              <w:t>另外，</w:t>
            </w:r>
            <w:r>
              <w:rPr>
                <w:rFonts w:hint="default"/>
                <w:color w:val="auto"/>
                <w:sz w:val="24"/>
                <w:highlight w:val="none"/>
              </w:rPr>
              <w:t>项目周围主要噪声源为</w:t>
            </w:r>
            <w:r>
              <w:rPr>
                <w:rFonts w:hint="eastAsia"/>
                <w:color w:val="auto"/>
                <w:sz w:val="24"/>
                <w:highlight w:val="none"/>
                <w:lang w:eastAsia="zh-CN"/>
              </w:rPr>
              <w:t>施工</w:t>
            </w:r>
            <w:r>
              <w:rPr>
                <w:rFonts w:hint="default"/>
                <w:color w:val="auto"/>
                <w:sz w:val="24"/>
                <w:highlight w:val="none"/>
              </w:rPr>
              <w:t>噪声，评价区域声环境质量较好</w:t>
            </w:r>
            <w:r>
              <w:rPr>
                <w:rFonts w:hint="eastAsia"/>
                <w:color w:val="auto"/>
                <w:sz w:val="24"/>
                <w:highlight w:val="none"/>
                <w:lang w:eastAsia="zh-CN"/>
              </w:rPr>
              <w:t>，</w:t>
            </w:r>
            <w:r>
              <w:rPr>
                <w:rFonts w:hint="eastAsia"/>
                <w:color w:val="auto"/>
                <w:sz w:val="24"/>
                <w:highlight w:val="none"/>
              </w:rPr>
              <w:t>声环境质量能够达到《声环境质量标准》（GB3096-2008）</w:t>
            </w:r>
            <w:r>
              <w:rPr>
                <w:rFonts w:hint="eastAsia"/>
                <w:color w:val="auto"/>
                <w:sz w:val="24"/>
                <w:highlight w:val="none"/>
                <w:lang w:val="en-US" w:eastAsia="zh-CN"/>
              </w:rPr>
              <w:t>3</w:t>
            </w:r>
            <w:r>
              <w:rPr>
                <w:rFonts w:hint="eastAsia"/>
                <w:color w:val="auto"/>
                <w:sz w:val="24"/>
                <w:highlight w:val="none"/>
              </w:rPr>
              <w:t>类区标准</w:t>
            </w:r>
            <w:r>
              <w:rPr>
                <w:rFonts w:hint="default"/>
                <w:color w:val="auto"/>
                <w:sz w:val="24"/>
                <w:highlight w:val="none"/>
              </w:rPr>
              <w:t>。</w:t>
            </w:r>
          </w:p>
          <w:p w14:paraId="659AA426">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地下水</w:t>
            </w:r>
            <w:r>
              <w:rPr>
                <w:rFonts w:hint="default" w:ascii="Times New Roman" w:hAnsi="Times New Roman" w:eastAsia="宋体" w:cs="Times New Roman"/>
                <w:b/>
                <w:bCs/>
                <w:color w:val="auto"/>
                <w:sz w:val="24"/>
                <w:szCs w:val="24"/>
                <w:highlight w:val="none"/>
                <w:lang w:val="en-US" w:eastAsia="zh-CN"/>
              </w:rPr>
              <w:t>环境质量现状</w:t>
            </w:r>
          </w:p>
          <w:p w14:paraId="3F49695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本项目位于</w:t>
            </w:r>
            <w:r>
              <w:rPr>
                <w:rFonts w:hint="default" w:ascii="Times New Roman" w:hAnsi="Times New Roman" w:eastAsia="宋体" w:cs="Times New Roman"/>
                <w:color w:val="auto"/>
                <w:sz w:val="24"/>
                <w:highlight w:val="none"/>
                <w:lang w:val="en-US" w:eastAsia="zh-CN"/>
              </w:rPr>
              <w:t>昆明市寻甸特色产业园区羊街片区</w:t>
            </w:r>
            <w:r>
              <w:rPr>
                <w:rFonts w:hint="eastAsia" w:ascii="Times New Roman" w:hAnsi="Times New Roman" w:eastAsia="宋体" w:cs="Times New Roman"/>
                <w:color w:val="auto"/>
                <w:sz w:val="24"/>
                <w:highlight w:val="none"/>
                <w:lang w:eastAsia="zh-CN"/>
              </w:rPr>
              <w:t>，项目区地下水质量执行《地下水质量标准》（GB/T14848-2017）中III类标准。</w:t>
            </w:r>
          </w:p>
          <w:p w14:paraId="23A10F4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
                <w:bCs/>
                <w:color w:val="auto"/>
                <w:szCs w:val="21"/>
                <w:highlight w:val="none"/>
              </w:rPr>
            </w:pPr>
            <w:r>
              <w:rPr>
                <w:rFonts w:hint="default" w:ascii="Times New Roman" w:hAnsi="Times New Roman" w:eastAsia="宋体" w:cs="Times New Roman"/>
                <w:color w:val="auto"/>
                <w:sz w:val="24"/>
                <w:szCs w:val="24"/>
                <w:highlight w:val="none"/>
                <w:lang w:val="zh-CN"/>
              </w:rPr>
              <w:t>为了解项目所在区域地下水环境质量现状，本</w:t>
            </w:r>
            <w:r>
              <w:rPr>
                <w:color w:val="auto"/>
                <w:sz w:val="24"/>
                <w:highlight w:val="none"/>
              </w:rPr>
              <w:t>项目地下</w:t>
            </w:r>
            <w:r>
              <w:rPr>
                <w:color w:val="auto"/>
                <w:kern w:val="0"/>
                <w:sz w:val="24"/>
                <w:highlight w:val="none"/>
              </w:rPr>
              <w:t>水</w:t>
            </w:r>
            <w:r>
              <w:rPr>
                <w:color w:val="auto"/>
                <w:kern w:val="0"/>
                <w:sz w:val="24"/>
                <w:highlight w:val="none"/>
                <w:lang w:val="zh-CN"/>
              </w:rPr>
              <w:t>现状评价</w:t>
            </w:r>
            <w:r>
              <w:rPr>
                <w:rFonts w:hint="default" w:ascii="Times New Roman" w:hAnsi="Times New Roman" w:eastAsia="宋体" w:cs="Times New Roman"/>
                <w:color w:val="auto"/>
                <w:sz w:val="24"/>
                <w:szCs w:val="24"/>
                <w:highlight w:val="none"/>
                <w:lang w:val="zh-CN"/>
              </w:rPr>
              <w:t>引用云南佳测环境检测科技有限公司</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日</w:t>
            </w:r>
            <w:r>
              <w:rPr>
                <w:rFonts w:hint="eastAsia" w:ascii="Times New Roman" w:hAnsi="Times New Roman" w:eastAsia="宋体" w:cs="Times New Roman"/>
                <w:color w:val="auto"/>
                <w:sz w:val="24"/>
                <w:highlight w:val="none"/>
                <w:lang w:eastAsia="zh-CN"/>
              </w:rPr>
              <w:t>出具的</w:t>
            </w:r>
            <w:r>
              <w:rPr>
                <w:rFonts w:hint="default" w:ascii="Times New Roman" w:hAnsi="Times New Roman" w:eastAsia="宋体" w:cs="Times New Roman"/>
                <w:color w:val="auto"/>
                <w:kern w:val="2"/>
                <w:sz w:val="24"/>
                <w:szCs w:val="24"/>
                <w:highlight w:val="none"/>
                <w:lang w:val="zh-CN"/>
              </w:rPr>
              <w:t>《寻甸年加工喷涂铝板30万平方米项目</w:t>
            </w:r>
            <w:r>
              <w:rPr>
                <w:rFonts w:hint="eastAsia" w:ascii="Times New Roman" w:hAnsi="Times New Roman" w:eastAsia="宋体" w:cs="Times New Roman"/>
                <w:color w:val="auto"/>
                <w:kern w:val="2"/>
                <w:sz w:val="24"/>
                <w:szCs w:val="24"/>
                <w:highlight w:val="none"/>
                <w:lang w:val="zh-CN"/>
              </w:rPr>
              <w:t>地下水环境质量检测报告</w:t>
            </w:r>
            <w:r>
              <w:rPr>
                <w:rFonts w:hint="default" w:ascii="Times New Roman" w:hAnsi="Times New Roman" w:eastAsia="宋体" w:cs="Times New Roman"/>
                <w:color w:val="auto"/>
                <w:kern w:val="2"/>
                <w:sz w:val="24"/>
                <w:szCs w:val="24"/>
                <w:highlight w:val="none"/>
                <w:lang w:val="zh-CN" w:eastAsia="zh-CN"/>
              </w:rPr>
              <w:t>》</w:t>
            </w:r>
            <w:r>
              <w:rPr>
                <w:rFonts w:hint="default" w:ascii="Times New Roman" w:hAnsi="Times New Roman" w:eastAsia="宋体" w:cs="Times New Roman"/>
                <w:color w:val="auto"/>
                <w:sz w:val="24"/>
                <w:szCs w:val="24"/>
                <w:highlight w:val="none"/>
                <w:lang w:val="zh-CN"/>
              </w:rPr>
              <w:t>中的监测数据，</w:t>
            </w:r>
            <w:r>
              <w:rPr>
                <w:rFonts w:hint="eastAsia" w:cs="Times New Roman"/>
                <w:color w:val="auto"/>
                <w:sz w:val="24"/>
                <w:szCs w:val="24"/>
                <w:highlight w:val="none"/>
                <w:lang w:val="zh-CN"/>
              </w:rPr>
              <w:t>监测时间为：</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日-202</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31</w:t>
            </w:r>
            <w:r>
              <w:rPr>
                <w:rFonts w:hint="default" w:ascii="Times New Roman" w:hAnsi="Times New Roman" w:eastAsia="宋体" w:cs="Times New Roman"/>
                <w:color w:val="auto"/>
                <w:sz w:val="24"/>
                <w:highlight w:val="none"/>
              </w:rPr>
              <w:t>日</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17</w:t>
            </w:r>
            <w:r>
              <w:rPr>
                <w:rFonts w:hint="default" w:ascii="Times New Roman" w:hAnsi="Times New Roman" w:eastAsia="宋体" w:cs="Times New Roman"/>
                <w:color w:val="auto"/>
                <w:sz w:val="24"/>
                <w:highlight w:val="none"/>
              </w:rPr>
              <w:t>日-202</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19</w:t>
            </w:r>
            <w:r>
              <w:rPr>
                <w:rFonts w:hint="default" w:ascii="Times New Roman" w:hAnsi="Times New Roman" w:eastAsia="宋体" w:cs="Times New Roman"/>
                <w:color w:val="auto"/>
                <w:sz w:val="24"/>
                <w:highlight w:val="none"/>
              </w:rPr>
              <w:t>日</w:t>
            </w:r>
            <w:r>
              <w:rPr>
                <w:rFonts w:hint="eastAsia" w:cs="Times New Roman"/>
                <w:color w:val="auto"/>
                <w:sz w:val="24"/>
                <w:highlight w:val="none"/>
                <w:lang w:eastAsia="zh-CN"/>
              </w:rPr>
              <w:t>。</w:t>
            </w:r>
            <w:r>
              <w:rPr>
                <w:rFonts w:hint="default" w:ascii="Times New Roman" w:hAnsi="Times New Roman" w:eastAsia="宋体" w:cs="Times New Roman"/>
                <w:color w:val="auto"/>
                <w:sz w:val="24"/>
                <w:szCs w:val="24"/>
                <w:highlight w:val="none"/>
                <w:lang w:val="zh-CN"/>
              </w:rPr>
              <w:t>引用1#监测点位</w:t>
            </w:r>
            <w:r>
              <w:rPr>
                <w:rFonts w:hint="eastAsia" w:cs="Times New Roman"/>
                <w:color w:val="auto"/>
                <w:sz w:val="24"/>
                <w:szCs w:val="24"/>
                <w:highlight w:val="none"/>
                <w:lang w:val="zh-CN"/>
              </w:rPr>
              <w:t>（泉点）</w:t>
            </w:r>
            <w:r>
              <w:rPr>
                <w:rFonts w:hint="default" w:ascii="Times New Roman" w:hAnsi="Times New Roman" w:eastAsia="宋体" w:cs="Times New Roman"/>
                <w:color w:val="auto"/>
                <w:sz w:val="24"/>
                <w:szCs w:val="24"/>
                <w:highlight w:val="none"/>
                <w:lang w:val="zh-CN"/>
              </w:rPr>
              <w:t>位于深沟村，2#监测点位</w:t>
            </w:r>
            <w:r>
              <w:rPr>
                <w:rFonts w:hint="eastAsia" w:cs="Times New Roman"/>
                <w:color w:val="auto"/>
                <w:sz w:val="24"/>
                <w:szCs w:val="24"/>
                <w:highlight w:val="none"/>
                <w:lang w:val="zh-CN"/>
              </w:rPr>
              <w:t>（泉点）</w:t>
            </w:r>
            <w:r>
              <w:rPr>
                <w:rFonts w:hint="default" w:ascii="Times New Roman" w:hAnsi="Times New Roman" w:eastAsia="宋体" w:cs="Times New Roman"/>
                <w:color w:val="auto"/>
                <w:sz w:val="24"/>
                <w:szCs w:val="24"/>
                <w:highlight w:val="none"/>
                <w:lang w:val="zh-CN"/>
              </w:rPr>
              <w:t>位于</w:t>
            </w:r>
            <w:r>
              <w:rPr>
                <w:rFonts w:hint="eastAsia" w:ascii="Times New Roman" w:hAnsi="Times New Roman" w:eastAsia="宋体" w:cs="Times New Roman"/>
                <w:color w:val="auto"/>
                <w:sz w:val="24"/>
                <w:szCs w:val="24"/>
                <w:highlight w:val="none"/>
                <w:lang w:val="zh-CN"/>
              </w:rPr>
              <w:t>清水村，</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#监测点位</w:t>
            </w:r>
            <w:r>
              <w:rPr>
                <w:rFonts w:hint="eastAsia" w:cs="Times New Roman"/>
                <w:color w:val="auto"/>
                <w:sz w:val="24"/>
                <w:szCs w:val="24"/>
                <w:highlight w:val="none"/>
                <w:lang w:val="zh-CN"/>
              </w:rPr>
              <w:t>（泉点）</w:t>
            </w:r>
            <w:r>
              <w:rPr>
                <w:rFonts w:hint="default" w:ascii="Times New Roman" w:hAnsi="Times New Roman" w:eastAsia="宋体" w:cs="Times New Roman"/>
                <w:color w:val="auto"/>
                <w:sz w:val="24"/>
                <w:szCs w:val="24"/>
                <w:highlight w:val="none"/>
                <w:lang w:val="zh-CN"/>
              </w:rPr>
              <w:t>位于</w:t>
            </w:r>
            <w:r>
              <w:rPr>
                <w:rFonts w:hint="default" w:ascii="Times New Roman" w:hAnsi="Times New Roman" w:cs="Times New Roman"/>
                <w:color w:val="auto"/>
                <w:sz w:val="24"/>
                <w:szCs w:val="24"/>
                <w:highlight w:val="none"/>
              </w:rPr>
              <w:t>新街村</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zh-CN"/>
              </w:rPr>
              <w:t>分别位于本项目</w:t>
            </w:r>
            <w:r>
              <w:rPr>
                <w:rFonts w:hint="eastAsia" w:cs="Times New Roman"/>
                <w:color w:val="auto"/>
                <w:sz w:val="24"/>
                <w:szCs w:val="24"/>
                <w:highlight w:val="none"/>
                <w:lang w:val="zh-CN"/>
              </w:rPr>
              <w:t>东北</w:t>
            </w:r>
            <w:r>
              <w:rPr>
                <w:rFonts w:hint="default" w:ascii="Times New Roman" w:hAnsi="Times New Roman" w:eastAsia="宋体" w:cs="Times New Roman"/>
                <w:color w:val="auto"/>
                <w:sz w:val="24"/>
                <w:szCs w:val="24"/>
                <w:highlight w:val="none"/>
                <w:lang w:val="zh-CN"/>
              </w:rPr>
              <w:t>侧约</w:t>
            </w:r>
            <w:r>
              <w:rPr>
                <w:rFonts w:hint="eastAsia" w:cs="Times New Roman"/>
                <w:color w:val="auto"/>
                <w:sz w:val="24"/>
                <w:szCs w:val="24"/>
                <w:highlight w:val="none"/>
                <w:lang w:val="en-US" w:eastAsia="zh-CN"/>
              </w:rPr>
              <w:t>3245</w:t>
            </w:r>
            <w:r>
              <w:rPr>
                <w:rFonts w:hint="default" w:ascii="Times New Roman" w:hAnsi="Times New Roman" w:eastAsia="宋体" w:cs="Times New Roman"/>
                <w:color w:val="auto"/>
                <w:sz w:val="24"/>
                <w:szCs w:val="24"/>
                <w:highlight w:val="none"/>
                <w:lang w:val="zh-CN"/>
              </w:rPr>
              <w:t>m、</w:t>
            </w:r>
            <w:r>
              <w:rPr>
                <w:rFonts w:hint="eastAsia" w:cs="Times New Roman"/>
                <w:color w:val="auto"/>
                <w:sz w:val="24"/>
                <w:szCs w:val="24"/>
                <w:highlight w:val="none"/>
                <w:lang w:val="zh-CN"/>
              </w:rPr>
              <w:t>东</w:t>
            </w:r>
            <w:r>
              <w:rPr>
                <w:rFonts w:hint="default" w:ascii="Times New Roman" w:hAnsi="Times New Roman" w:eastAsia="宋体" w:cs="Times New Roman"/>
                <w:color w:val="auto"/>
                <w:sz w:val="24"/>
                <w:szCs w:val="24"/>
                <w:highlight w:val="none"/>
                <w:lang w:val="zh-CN"/>
              </w:rPr>
              <w:t>北侧约</w:t>
            </w:r>
            <w:r>
              <w:rPr>
                <w:rFonts w:hint="eastAsia" w:cs="Times New Roman"/>
                <w:color w:val="auto"/>
                <w:sz w:val="24"/>
                <w:szCs w:val="24"/>
                <w:highlight w:val="none"/>
                <w:lang w:val="en-US" w:eastAsia="zh-CN"/>
              </w:rPr>
              <w:t>910</w:t>
            </w:r>
            <w:r>
              <w:rPr>
                <w:rFonts w:hint="default" w:ascii="Times New Roman" w:hAnsi="Times New Roman" w:eastAsia="宋体" w:cs="Times New Roman"/>
                <w:color w:val="auto"/>
                <w:sz w:val="24"/>
                <w:szCs w:val="24"/>
                <w:highlight w:val="none"/>
                <w:lang w:val="zh-CN"/>
              </w:rPr>
              <w:t>m</w:t>
            </w:r>
            <w:r>
              <w:rPr>
                <w:rFonts w:hint="eastAsia" w:cs="Times New Roman"/>
                <w:color w:val="auto"/>
                <w:sz w:val="24"/>
                <w:szCs w:val="24"/>
                <w:highlight w:val="none"/>
                <w:lang w:val="zh-CN"/>
              </w:rPr>
              <w:t>、西南侧</w:t>
            </w:r>
            <w:r>
              <w:rPr>
                <w:rFonts w:hint="eastAsia" w:cs="Times New Roman"/>
                <w:color w:val="auto"/>
                <w:sz w:val="24"/>
                <w:szCs w:val="24"/>
                <w:highlight w:val="none"/>
                <w:lang w:val="en-US" w:eastAsia="zh-CN"/>
              </w:rPr>
              <w:t>2320m（监测点位</w:t>
            </w:r>
            <w:r>
              <w:rPr>
                <w:color w:val="auto"/>
                <w:sz w:val="24"/>
                <w:highlight w:val="none"/>
              </w:rPr>
              <w:t>详见附图</w:t>
            </w:r>
            <w:r>
              <w:rPr>
                <w:rFonts w:hint="eastAsia"/>
                <w:color w:val="auto"/>
                <w:sz w:val="24"/>
                <w:highlight w:val="none"/>
                <w:lang w:val="en-US" w:eastAsia="zh-CN"/>
              </w:rPr>
              <w:t>12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rPr>
              <w:t>。其中清水村监测点位位于项目区地下水上游，新街村点位位于项目区地下水下游，深沟村地下水监测点位为参照点。</w:t>
            </w:r>
            <w:r>
              <w:rPr>
                <w:rFonts w:hint="default" w:ascii="Times New Roman" w:hAnsi="Times New Roman" w:eastAsia="宋体" w:cs="Times New Roman"/>
                <w:color w:val="auto"/>
                <w:sz w:val="24"/>
                <w:szCs w:val="24"/>
                <w:highlight w:val="none"/>
                <w:lang w:val="zh-CN" w:eastAsia="zh-CN"/>
              </w:rPr>
              <w:t>引用的地下水监测点位均在同一水文地质单元内，</w:t>
            </w:r>
            <w:r>
              <w:rPr>
                <w:rFonts w:hint="default" w:ascii="Times New Roman" w:hAnsi="Times New Roman" w:eastAsia="宋体" w:cs="Times New Roman"/>
                <w:color w:val="auto"/>
                <w:sz w:val="24"/>
                <w:szCs w:val="24"/>
                <w:highlight w:val="none"/>
                <w:lang w:val="zh-CN"/>
              </w:rPr>
              <w:t>具备类比条件，数据在技术导则要求的“近三年”的时限内，属于有效数据，故本项目地下水质量现状评价引用</w:t>
            </w:r>
            <w:r>
              <w:rPr>
                <w:rFonts w:hint="default" w:ascii="Times New Roman" w:hAnsi="Times New Roman" w:eastAsia="宋体" w:cs="Times New Roman"/>
                <w:color w:val="auto"/>
                <w:sz w:val="24"/>
                <w:szCs w:val="24"/>
                <w:highlight w:val="none"/>
                <w:lang w:val="zh-CN" w:eastAsia="zh-CN"/>
              </w:rPr>
              <w:t>的数据具有时效性和代表性</w:t>
            </w:r>
            <w:r>
              <w:rPr>
                <w:rFonts w:hint="default" w:ascii="Times New Roman" w:hAnsi="Times New Roman" w:eastAsia="宋体" w:cs="Times New Roman"/>
                <w:color w:val="auto"/>
                <w:sz w:val="24"/>
                <w:szCs w:val="24"/>
                <w:highlight w:val="none"/>
                <w:lang w:val="zh-CN"/>
              </w:rPr>
              <w:t>。</w:t>
            </w:r>
          </w:p>
          <w:p w14:paraId="6EE0462D">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表</w:t>
            </w:r>
            <w:r>
              <w:rPr>
                <w:rFonts w:hint="eastAsia" w:cs="Times New Roman"/>
                <w:b/>
                <w:bCs/>
                <w:color w:val="auto"/>
                <w:szCs w:val="21"/>
                <w:highlight w:val="none"/>
                <w:lang w:val="en-US" w:eastAsia="zh-CN"/>
              </w:rPr>
              <w:t>3-3</w:t>
            </w:r>
            <w:r>
              <w:rPr>
                <w:rFonts w:hint="default" w:ascii="Times New Roman" w:hAnsi="Times New Roman" w:cs="Times New Roman"/>
                <w:b/>
                <w:bCs/>
                <w:color w:val="auto"/>
                <w:szCs w:val="21"/>
                <w:highlight w:val="none"/>
                <w:lang w:val="en-US" w:eastAsia="zh-CN"/>
              </w:rPr>
              <w:t xml:space="preserve">  </w:t>
            </w:r>
            <w:r>
              <w:rPr>
                <w:rFonts w:hint="eastAsia" w:cs="Times New Roman"/>
                <w:b/>
                <w:bCs/>
                <w:color w:val="auto"/>
                <w:szCs w:val="21"/>
                <w:highlight w:val="none"/>
                <w:lang w:val="en-US" w:eastAsia="zh-CN"/>
              </w:rPr>
              <w:t>引用</w:t>
            </w:r>
            <w:r>
              <w:rPr>
                <w:rFonts w:hint="default" w:ascii="Times New Roman" w:hAnsi="Times New Roman" w:cs="Times New Roman"/>
                <w:b/>
                <w:bCs/>
                <w:color w:val="auto"/>
                <w:szCs w:val="21"/>
                <w:highlight w:val="none"/>
              </w:rPr>
              <w:t>地下水监测结果</w:t>
            </w:r>
            <w:r>
              <w:rPr>
                <w:rFonts w:hint="eastAsia" w:cs="Times New Roman"/>
                <w:b/>
                <w:bCs/>
                <w:color w:val="auto"/>
                <w:szCs w:val="21"/>
                <w:highlight w:val="none"/>
                <w:lang w:val="en-US" w:eastAsia="zh-CN"/>
              </w:rPr>
              <w:t xml:space="preserve">   </w:t>
            </w:r>
            <w:r>
              <w:rPr>
                <w:rFonts w:hint="default" w:ascii="Times New Roman" w:hAnsi="Times New Roman" w:cs="Times New Roman"/>
                <w:b/>
                <w:bCs/>
                <w:color w:val="auto"/>
                <w:szCs w:val="21"/>
                <w:highlight w:val="none"/>
              </w:rPr>
              <w:t>单位：mg/L</w:t>
            </w:r>
          </w:p>
          <w:tbl>
            <w:tblPr>
              <w:tblStyle w:val="25"/>
              <w:tblW w:w="8449" w:type="dxa"/>
              <w:jc w:val="center"/>
              <w:tblLayout w:type="fixed"/>
              <w:tblCellMar>
                <w:top w:w="0" w:type="dxa"/>
                <w:left w:w="0" w:type="dxa"/>
                <w:bottom w:w="0" w:type="dxa"/>
                <w:right w:w="0" w:type="dxa"/>
              </w:tblCellMar>
            </w:tblPr>
            <w:tblGrid>
              <w:gridCol w:w="296"/>
              <w:gridCol w:w="411"/>
              <w:gridCol w:w="567"/>
              <w:gridCol w:w="577"/>
              <w:gridCol w:w="565"/>
              <w:gridCol w:w="544"/>
              <w:gridCol w:w="403"/>
              <w:gridCol w:w="531"/>
              <w:gridCol w:w="531"/>
              <w:gridCol w:w="565"/>
              <w:gridCol w:w="589"/>
              <w:gridCol w:w="383"/>
              <w:gridCol w:w="531"/>
              <w:gridCol w:w="531"/>
              <w:gridCol w:w="515"/>
              <w:gridCol w:w="510"/>
              <w:gridCol w:w="400"/>
            </w:tblGrid>
            <w:tr w14:paraId="3382E9C9">
              <w:tblPrEx>
                <w:tblCellMar>
                  <w:top w:w="0" w:type="dxa"/>
                  <w:left w:w="0" w:type="dxa"/>
                  <w:bottom w:w="0" w:type="dxa"/>
                  <w:right w:w="0" w:type="dxa"/>
                </w:tblCellMar>
              </w:tblPrEx>
              <w:trPr>
                <w:jc w:val="center"/>
              </w:trPr>
              <w:tc>
                <w:tcPr>
                  <w:tcW w:w="418" w:type="pct"/>
                  <w:gridSpan w:val="2"/>
                  <w:vMerge w:val="restart"/>
                  <w:tcBorders>
                    <w:top w:val="single" w:color="000000" w:sz="4" w:space="0"/>
                    <w:left w:val="single" w:color="000000" w:sz="4" w:space="0"/>
                    <w:right w:val="single" w:color="000000" w:sz="4" w:space="0"/>
                  </w:tcBorders>
                  <w:vAlign w:val="center"/>
                </w:tcPr>
                <w:p w14:paraId="5E3F6D0D">
                  <w:pPr>
                    <w:pStyle w:val="69"/>
                    <w:jc w:val="center"/>
                    <w:rPr>
                      <w:rFonts w:hint="default" w:ascii="Times New Roman" w:hAnsi="Times New Roman" w:cs="Times New Roman"/>
                      <w:b/>
                      <w:bCs/>
                      <w:color w:val="auto"/>
                      <w:sz w:val="21"/>
                      <w:szCs w:val="21"/>
                      <w:highlight w:val="none"/>
                    </w:rPr>
                  </w:pPr>
                  <w:r>
                    <w:rPr>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33655</wp:posOffset>
                            </wp:positionV>
                            <wp:extent cx="438150" cy="657225"/>
                            <wp:effectExtent l="3810" t="2540" r="15240" b="6985"/>
                            <wp:wrapNone/>
                            <wp:docPr id="1" name="直接连接符 1"/>
                            <wp:cNvGraphicFramePr/>
                            <a:graphic xmlns:a="http://schemas.openxmlformats.org/drawingml/2006/main">
                              <a:graphicData uri="http://schemas.microsoft.com/office/word/2010/wordprocessingShape">
                                <wps:wsp>
                                  <wps:cNvCnPr/>
                                  <wps:spPr>
                                    <a:xfrm>
                                      <a:off x="1218565" y="1287780"/>
                                      <a:ext cx="438150"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45pt;margin-top:2.65pt;height:51.75pt;width:34.5pt;z-index:251659264;mso-width-relative:page;mso-height-relative:page;" filled="f" stroked="t" coordsize="21600,21600" o:gfxdata="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N5Z20wAAAAYBAAAPAAAAAAAAAAEAIAAAACIAAABkcnMvZG93bnJldi54bWxQSwECFAAUAAAACACH&#10;TuJA464ygPABAADBAwAADgAAAAAAAAABACAAAAAiAQAAZHJzL2Uyb0RvYy54bWxQSwUGAAAAAAYA&#10;BgBZAQAAhAUAAAAA&#10;">
                            <v:fill on="f" focussize="0,0"/>
                            <v:stroke weight="0.5pt" color="#000000 [3200]" miterlimit="8" joinstyle="miter"/>
                            <v:imagedata o:title=""/>
                            <o:lock v:ext="edit" aspectratio="f"/>
                          </v:line>
                        </w:pict>
                      </mc:Fallback>
                    </mc:AlternateConten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日期</w:t>
                  </w:r>
                </w:p>
                <w:p w14:paraId="601F665D">
                  <w:pPr>
                    <w:pStyle w:val="69"/>
                    <w:jc w:val="both"/>
                    <w:rPr>
                      <w:rFonts w:hint="default" w:ascii="Times New Roman" w:hAnsi="Times New Roman" w:cs="Times New Roman"/>
                      <w:b/>
                      <w:bCs/>
                      <w:color w:val="auto"/>
                      <w:sz w:val="21"/>
                      <w:szCs w:val="21"/>
                      <w:highlight w:val="none"/>
                    </w:rPr>
                  </w:pPr>
                </w:p>
                <w:p w14:paraId="1A123FA9">
                  <w:pPr>
                    <w:pStyle w:val="69"/>
                    <w:jc w:val="both"/>
                    <w:rPr>
                      <w:rFonts w:hint="default" w:ascii="Times New Roman" w:hAnsi="Times New Roman" w:cs="Times New Roman"/>
                      <w:b/>
                      <w:bCs/>
                      <w:color w:val="auto"/>
                      <w:sz w:val="21"/>
                      <w:szCs w:val="21"/>
                      <w:highlight w:val="none"/>
                    </w:rPr>
                  </w:pPr>
                </w:p>
                <w:p w14:paraId="1F69E5F9">
                  <w:pPr>
                    <w:pStyle w:val="69"/>
                    <w:jc w:val="both"/>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项目</w:t>
                  </w:r>
                </w:p>
              </w:tc>
              <w:tc>
                <w:tcPr>
                  <w:tcW w:w="1011" w:type="pct"/>
                  <w:gridSpan w:val="3"/>
                  <w:tcBorders>
                    <w:top w:val="single" w:color="000000" w:sz="4" w:space="0"/>
                    <w:left w:val="single" w:color="000000" w:sz="4" w:space="0"/>
                    <w:bottom w:val="single" w:color="000000" w:sz="4" w:space="0"/>
                    <w:right w:val="single" w:color="000000" w:sz="4" w:space="0"/>
                  </w:tcBorders>
                  <w:vAlign w:val="center"/>
                </w:tcPr>
                <w:p w14:paraId="66CC186C">
                  <w:pPr>
                    <w:pStyle w:val="69"/>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HS1深沟村</w:t>
                  </w:r>
                </w:p>
              </w:tc>
              <w:tc>
                <w:tcPr>
                  <w:tcW w:w="321" w:type="pct"/>
                  <w:vMerge w:val="restart"/>
                  <w:tcBorders>
                    <w:top w:val="single" w:color="000000" w:sz="4" w:space="0"/>
                    <w:left w:val="single" w:color="000000" w:sz="4" w:space="0"/>
                    <w:right w:val="single" w:color="000000" w:sz="4" w:space="0"/>
                  </w:tcBorders>
                  <w:vAlign w:val="center"/>
                </w:tcPr>
                <w:p w14:paraId="211A41D7">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执行标准</w:t>
                  </w:r>
                </w:p>
              </w:tc>
              <w:tc>
                <w:tcPr>
                  <w:tcW w:w="238" w:type="pct"/>
                  <w:vMerge w:val="restart"/>
                  <w:tcBorders>
                    <w:top w:val="single" w:color="000000" w:sz="4" w:space="0"/>
                    <w:left w:val="single" w:color="000000" w:sz="4" w:space="0"/>
                    <w:right w:val="single" w:color="000000" w:sz="4" w:space="0"/>
                  </w:tcBorders>
                  <w:vAlign w:val="center"/>
                </w:tcPr>
                <w:p w14:paraId="666E470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达标评价</w:t>
                  </w:r>
                </w:p>
              </w:tc>
              <w:tc>
                <w:tcPr>
                  <w:tcW w:w="962" w:type="pct"/>
                  <w:gridSpan w:val="3"/>
                  <w:tcBorders>
                    <w:top w:val="single" w:color="000000" w:sz="4" w:space="0"/>
                    <w:left w:val="single" w:color="000000" w:sz="4" w:space="0"/>
                    <w:bottom w:val="single" w:color="000000" w:sz="4" w:space="0"/>
                    <w:right w:val="single" w:color="000000" w:sz="4" w:space="0"/>
                  </w:tcBorders>
                  <w:vAlign w:val="center"/>
                </w:tcPr>
                <w:p w14:paraId="5F05DB60">
                  <w:pPr>
                    <w:pStyle w:val="69"/>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HS2清水村</w:t>
                  </w:r>
                </w:p>
              </w:tc>
              <w:tc>
                <w:tcPr>
                  <w:tcW w:w="348" w:type="pct"/>
                  <w:vMerge w:val="restart"/>
                  <w:tcBorders>
                    <w:top w:val="single" w:color="000000" w:sz="4" w:space="0"/>
                    <w:left w:val="single" w:color="000000" w:sz="4" w:space="0"/>
                    <w:right w:val="single" w:color="000000" w:sz="4" w:space="0"/>
                  </w:tcBorders>
                  <w:vAlign w:val="center"/>
                </w:tcPr>
                <w:p w14:paraId="0263049A">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执行标准</w:t>
                  </w:r>
                </w:p>
              </w:tc>
              <w:tc>
                <w:tcPr>
                  <w:tcW w:w="226" w:type="pct"/>
                  <w:vMerge w:val="restart"/>
                  <w:tcBorders>
                    <w:top w:val="single" w:color="000000" w:sz="4" w:space="0"/>
                    <w:left w:val="single" w:color="000000" w:sz="4" w:space="0"/>
                    <w:right w:val="single" w:color="000000" w:sz="4" w:space="0"/>
                  </w:tcBorders>
                  <w:vAlign w:val="center"/>
                </w:tcPr>
                <w:p w14:paraId="18E3E14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达标评价</w:t>
                  </w:r>
                </w:p>
              </w:tc>
              <w:tc>
                <w:tcPr>
                  <w:tcW w:w="933" w:type="pct"/>
                  <w:gridSpan w:val="3"/>
                  <w:tcBorders>
                    <w:top w:val="single" w:color="000000" w:sz="4" w:space="0"/>
                    <w:left w:val="single" w:color="000000" w:sz="4" w:space="0"/>
                    <w:bottom w:val="single" w:color="auto" w:sz="4" w:space="0"/>
                    <w:right w:val="single" w:color="000000" w:sz="4" w:space="0"/>
                  </w:tcBorders>
                  <w:vAlign w:val="center"/>
                </w:tcPr>
                <w:p w14:paraId="6AC883EB">
                  <w:pPr>
                    <w:pStyle w:val="69"/>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HS3新街村</w:t>
                  </w:r>
                </w:p>
              </w:tc>
              <w:tc>
                <w:tcPr>
                  <w:tcW w:w="301" w:type="pct"/>
                  <w:vMerge w:val="restart"/>
                  <w:tcBorders>
                    <w:top w:val="single" w:color="000000" w:sz="4" w:space="0"/>
                    <w:left w:val="single" w:color="000000" w:sz="4" w:space="0"/>
                    <w:right w:val="single" w:color="000000" w:sz="4" w:space="0"/>
                  </w:tcBorders>
                  <w:vAlign w:val="center"/>
                </w:tcPr>
                <w:p w14:paraId="5F2B279A">
                  <w:pPr>
                    <w:pStyle w:val="69"/>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执行标准</w:t>
                  </w:r>
                </w:p>
              </w:tc>
              <w:tc>
                <w:tcPr>
                  <w:tcW w:w="236" w:type="pct"/>
                  <w:vMerge w:val="restart"/>
                  <w:tcBorders>
                    <w:top w:val="single" w:color="000000" w:sz="4" w:space="0"/>
                    <w:left w:val="single" w:color="000000" w:sz="4" w:space="0"/>
                    <w:right w:val="single" w:color="000000" w:sz="4" w:space="0"/>
                  </w:tcBorders>
                  <w:vAlign w:val="center"/>
                </w:tcPr>
                <w:p w14:paraId="42A45E1A">
                  <w:pPr>
                    <w:pStyle w:val="69"/>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达标评价</w:t>
                  </w:r>
                </w:p>
              </w:tc>
            </w:tr>
            <w:tr w14:paraId="08FD62E6">
              <w:tblPrEx>
                <w:tblCellMar>
                  <w:top w:w="0" w:type="dxa"/>
                  <w:left w:w="0" w:type="dxa"/>
                  <w:bottom w:w="0" w:type="dxa"/>
                  <w:right w:w="0" w:type="dxa"/>
                </w:tblCellMar>
              </w:tblPrEx>
              <w:trPr>
                <w:jc w:val="center"/>
              </w:trPr>
              <w:tc>
                <w:tcPr>
                  <w:tcW w:w="418" w:type="pct"/>
                  <w:gridSpan w:val="2"/>
                  <w:vMerge w:val="continue"/>
                  <w:tcBorders>
                    <w:left w:val="single" w:color="000000" w:sz="4" w:space="0"/>
                    <w:bottom w:val="single" w:color="000000" w:sz="8" w:space="0"/>
                    <w:right w:val="single" w:color="000000" w:sz="4" w:space="0"/>
                  </w:tcBorders>
                  <w:vAlign w:val="center"/>
                </w:tcPr>
                <w:p w14:paraId="3F88F39F">
                  <w:pPr>
                    <w:jc w:val="center"/>
                    <w:rPr>
                      <w:rFonts w:hint="default" w:ascii="Times New Roman" w:hAnsi="Times New Roman" w:cs="Times New Roman"/>
                      <w:color w:val="auto"/>
                      <w:szCs w:val="21"/>
                      <w:highlight w:val="none"/>
                    </w:rPr>
                  </w:pPr>
                </w:p>
              </w:tc>
              <w:tc>
                <w:tcPr>
                  <w:tcW w:w="335" w:type="pct"/>
                  <w:tcBorders>
                    <w:top w:val="single" w:color="000000" w:sz="4" w:space="0"/>
                    <w:left w:val="single" w:color="000000" w:sz="4" w:space="0"/>
                    <w:bottom w:val="single" w:color="000000" w:sz="4" w:space="0"/>
                    <w:right w:val="single" w:color="000000" w:sz="4" w:space="0"/>
                  </w:tcBorders>
                  <w:vAlign w:val="center"/>
                </w:tcPr>
                <w:p w14:paraId="06FA9F37">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color w:val="auto"/>
                      <w:sz w:val="21"/>
                      <w:szCs w:val="21"/>
                      <w:highlight w:val="none"/>
                    </w:rPr>
                    <w:t>20</w:t>
                  </w:r>
                  <w:r>
                    <w:rPr>
                      <w:rFonts w:hint="default" w:ascii="Times New Roman" w:hAnsi="Times New Roman" w:cs="Times New Roman"/>
                      <w:b/>
                      <w:color w:val="auto"/>
                      <w:sz w:val="21"/>
                      <w:szCs w:val="21"/>
                      <w:highlight w:val="none"/>
                      <w:lang w:eastAsia="zh-CN"/>
                    </w:rPr>
                    <w:t>21</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7</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29</w:t>
                  </w:r>
                </w:p>
              </w:tc>
              <w:tc>
                <w:tcPr>
                  <w:tcW w:w="341" w:type="pct"/>
                  <w:tcBorders>
                    <w:top w:val="single" w:color="000000" w:sz="4" w:space="0"/>
                    <w:left w:val="single" w:color="000000" w:sz="4" w:space="0"/>
                    <w:bottom w:val="single" w:color="000000" w:sz="4" w:space="0"/>
                    <w:right w:val="single" w:color="auto" w:sz="4" w:space="0"/>
                  </w:tcBorders>
                  <w:vAlign w:val="center"/>
                </w:tcPr>
                <w:p w14:paraId="37E022EB">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color w:val="auto"/>
                      <w:sz w:val="21"/>
                      <w:szCs w:val="21"/>
                      <w:highlight w:val="none"/>
                    </w:rPr>
                    <w:t>20</w:t>
                  </w:r>
                  <w:r>
                    <w:rPr>
                      <w:rFonts w:hint="default" w:ascii="Times New Roman" w:hAnsi="Times New Roman" w:cs="Times New Roman"/>
                      <w:b/>
                      <w:color w:val="auto"/>
                      <w:sz w:val="21"/>
                      <w:szCs w:val="21"/>
                      <w:highlight w:val="none"/>
                      <w:lang w:eastAsia="zh-CN"/>
                    </w:rPr>
                    <w:t>21</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7</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30</w:t>
                  </w:r>
                </w:p>
              </w:tc>
              <w:tc>
                <w:tcPr>
                  <w:tcW w:w="334" w:type="pct"/>
                  <w:tcBorders>
                    <w:left w:val="single" w:color="000000" w:sz="4" w:space="0"/>
                    <w:right w:val="single" w:color="000000" w:sz="4" w:space="0"/>
                  </w:tcBorders>
                  <w:vAlign w:val="center"/>
                </w:tcPr>
                <w:p w14:paraId="2D72364B">
                  <w:pPr>
                    <w:pStyle w:val="69"/>
                    <w:jc w:val="center"/>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2021.7.31</w:t>
                  </w:r>
                </w:p>
              </w:tc>
              <w:tc>
                <w:tcPr>
                  <w:tcW w:w="321" w:type="pct"/>
                  <w:vMerge w:val="continue"/>
                  <w:tcBorders>
                    <w:left w:val="single" w:color="000000" w:sz="4" w:space="0"/>
                    <w:right w:val="single" w:color="000000" w:sz="4" w:space="0"/>
                  </w:tcBorders>
                  <w:vAlign w:val="center"/>
                </w:tcPr>
                <w:p w14:paraId="015AC34F">
                  <w:pPr>
                    <w:jc w:val="center"/>
                    <w:rPr>
                      <w:rFonts w:hint="default" w:ascii="Times New Roman" w:hAnsi="Times New Roman" w:cs="Times New Roman"/>
                      <w:color w:val="auto"/>
                      <w:szCs w:val="21"/>
                      <w:highlight w:val="none"/>
                    </w:rPr>
                  </w:pPr>
                </w:p>
              </w:tc>
              <w:tc>
                <w:tcPr>
                  <w:tcW w:w="238" w:type="pct"/>
                  <w:vMerge w:val="continue"/>
                  <w:tcBorders>
                    <w:left w:val="single" w:color="000000" w:sz="4" w:space="0"/>
                    <w:right w:val="single" w:color="000000" w:sz="4" w:space="0"/>
                  </w:tcBorders>
                  <w:vAlign w:val="center"/>
                </w:tcPr>
                <w:p w14:paraId="0C9796CE">
                  <w:pPr>
                    <w:jc w:val="center"/>
                    <w:rPr>
                      <w:rFonts w:hint="default" w:ascii="Times New Roman" w:hAnsi="Times New Roman" w:cs="Times New Roman"/>
                      <w:color w:val="auto"/>
                      <w:szCs w:val="21"/>
                      <w:highlight w:val="none"/>
                    </w:rPr>
                  </w:pPr>
                </w:p>
              </w:tc>
              <w:tc>
                <w:tcPr>
                  <w:tcW w:w="314" w:type="pct"/>
                  <w:tcBorders>
                    <w:top w:val="single" w:color="000000" w:sz="4" w:space="0"/>
                    <w:left w:val="single" w:color="000000" w:sz="4" w:space="0"/>
                    <w:bottom w:val="single" w:color="000000" w:sz="4" w:space="0"/>
                    <w:right w:val="single" w:color="000000" w:sz="4" w:space="0"/>
                  </w:tcBorders>
                  <w:vAlign w:val="center"/>
                </w:tcPr>
                <w:p w14:paraId="0413A13C">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20</w:t>
                  </w:r>
                  <w:r>
                    <w:rPr>
                      <w:rFonts w:hint="default" w:ascii="Times New Roman" w:hAnsi="Times New Roman" w:cs="Times New Roman"/>
                      <w:b/>
                      <w:color w:val="auto"/>
                      <w:sz w:val="21"/>
                      <w:szCs w:val="21"/>
                      <w:highlight w:val="none"/>
                      <w:lang w:eastAsia="zh-CN"/>
                    </w:rPr>
                    <w:t>21</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7</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29</w:t>
                  </w:r>
                </w:p>
              </w:tc>
              <w:tc>
                <w:tcPr>
                  <w:tcW w:w="314" w:type="pct"/>
                  <w:tcBorders>
                    <w:top w:val="single" w:color="000000" w:sz="4" w:space="0"/>
                    <w:left w:val="single" w:color="000000" w:sz="4" w:space="0"/>
                    <w:bottom w:val="single" w:color="000000" w:sz="4" w:space="0"/>
                    <w:right w:val="single" w:color="auto" w:sz="4" w:space="0"/>
                  </w:tcBorders>
                  <w:vAlign w:val="center"/>
                </w:tcPr>
                <w:p w14:paraId="73A73E79">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20</w:t>
                  </w:r>
                  <w:r>
                    <w:rPr>
                      <w:rFonts w:hint="default" w:ascii="Times New Roman" w:hAnsi="Times New Roman" w:cs="Times New Roman"/>
                      <w:b/>
                      <w:color w:val="auto"/>
                      <w:sz w:val="21"/>
                      <w:szCs w:val="21"/>
                      <w:highlight w:val="none"/>
                      <w:lang w:eastAsia="zh-CN"/>
                    </w:rPr>
                    <w:t>21</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7</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30</w:t>
                  </w:r>
                </w:p>
              </w:tc>
              <w:tc>
                <w:tcPr>
                  <w:tcW w:w="334" w:type="pct"/>
                  <w:tcBorders>
                    <w:left w:val="single" w:color="000000" w:sz="4" w:space="0"/>
                    <w:right w:val="single" w:color="000000" w:sz="4" w:space="0"/>
                  </w:tcBorders>
                  <w:vAlign w:val="center"/>
                </w:tcPr>
                <w:p w14:paraId="120CB71A">
                  <w:pPr>
                    <w:pStyle w:val="69"/>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eastAsia="zh-CN"/>
                    </w:rPr>
                    <w:t>2021.7.31</w:t>
                  </w:r>
                </w:p>
              </w:tc>
              <w:tc>
                <w:tcPr>
                  <w:tcW w:w="348" w:type="pct"/>
                  <w:vMerge w:val="continue"/>
                  <w:tcBorders>
                    <w:left w:val="single" w:color="000000" w:sz="4" w:space="0"/>
                    <w:right w:val="single" w:color="000000" w:sz="4" w:space="0"/>
                  </w:tcBorders>
                  <w:vAlign w:val="center"/>
                </w:tcPr>
                <w:p w14:paraId="3233A768">
                  <w:pPr>
                    <w:jc w:val="center"/>
                    <w:rPr>
                      <w:rFonts w:hint="default" w:ascii="Times New Roman" w:hAnsi="Times New Roman" w:cs="Times New Roman"/>
                      <w:color w:val="auto"/>
                      <w:szCs w:val="21"/>
                      <w:highlight w:val="none"/>
                    </w:rPr>
                  </w:pPr>
                </w:p>
              </w:tc>
              <w:tc>
                <w:tcPr>
                  <w:tcW w:w="226" w:type="pct"/>
                  <w:vMerge w:val="continue"/>
                  <w:tcBorders>
                    <w:left w:val="single" w:color="000000" w:sz="4" w:space="0"/>
                    <w:right w:val="single" w:color="000000" w:sz="4" w:space="0"/>
                  </w:tcBorders>
                  <w:vAlign w:val="center"/>
                </w:tcPr>
                <w:p w14:paraId="4FB18BA8">
                  <w:pPr>
                    <w:jc w:val="center"/>
                    <w:rPr>
                      <w:rFonts w:hint="default" w:ascii="Times New Roman" w:hAnsi="Times New Roman" w:cs="Times New Roman"/>
                      <w:color w:val="auto"/>
                      <w:szCs w:val="21"/>
                      <w:highlight w:val="none"/>
                    </w:rPr>
                  </w:pPr>
                </w:p>
              </w:tc>
              <w:tc>
                <w:tcPr>
                  <w:tcW w:w="314" w:type="pct"/>
                  <w:tcBorders>
                    <w:top w:val="single" w:color="auto" w:sz="4" w:space="0"/>
                    <w:left w:val="single" w:color="000000" w:sz="4" w:space="0"/>
                    <w:right w:val="single" w:color="000000" w:sz="4" w:space="0"/>
                  </w:tcBorders>
                  <w:vAlign w:val="center"/>
                </w:tcPr>
                <w:p w14:paraId="29DF6FCB">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color w:val="auto"/>
                      <w:sz w:val="21"/>
                      <w:szCs w:val="21"/>
                      <w:highlight w:val="none"/>
                    </w:rPr>
                    <w:t>20</w:t>
                  </w:r>
                  <w:r>
                    <w:rPr>
                      <w:rFonts w:hint="default" w:ascii="Times New Roman" w:hAnsi="Times New Roman" w:cs="Times New Roman"/>
                      <w:b/>
                      <w:color w:val="auto"/>
                      <w:sz w:val="21"/>
                      <w:szCs w:val="21"/>
                      <w:highlight w:val="none"/>
                      <w:lang w:eastAsia="zh-CN"/>
                    </w:rPr>
                    <w:t>21</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7</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29</w:t>
                  </w:r>
                </w:p>
              </w:tc>
              <w:tc>
                <w:tcPr>
                  <w:tcW w:w="314" w:type="pct"/>
                  <w:tcBorders>
                    <w:top w:val="single" w:color="auto" w:sz="4" w:space="0"/>
                    <w:left w:val="single" w:color="000000" w:sz="4" w:space="0"/>
                    <w:right w:val="single" w:color="000000" w:sz="4" w:space="0"/>
                  </w:tcBorders>
                  <w:vAlign w:val="center"/>
                </w:tcPr>
                <w:p w14:paraId="651F631A">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color w:val="auto"/>
                      <w:sz w:val="21"/>
                      <w:szCs w:val="21"/>
                      <w:highlight w:val="none"/>
                    </w:rPr>
                    <w:t>20</w:t>
                  </w:r>
                  <w:r>
                    <w:rPr>
                      <w:rFonts w:hint="default" w:ascii="Times New Roman" w:hAnsi="Times New Roman" w:cs="Times New Roman"/>
                      <w:b/>
                      <w:color w:val="auto"/>
                      <w:sz w:val="21"/>
                      <w:szCs w:val="21"/>
                      <w:highlight w:val="none"/>
                      <w:lang w:eastAsia="zh-CN"/>
                    </w:rPr>
                    <w:t>21</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7</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eastAsia="zh-CN"/>
                    </w:rPr>
                    <w:t>30</w:t>
                  </w:r>
                </w:p>
              </w:tc>
              <w:tc>
                <w:tcPr>
                  <w:tcW w:w="304" w:type="pct"/>
                  <w:tcBorders>
                    <w:top w:val="single" w:color="auto" w:sz="4" w:space="0"/>
                    <w:left w:val="single" w:color="000000" w:sz="4" w:space="0"/>
                    <w:right w:val="single" w:color="000000" w:sz="4" w:space="0"/>
                  </w:tcBorders>
                  <w:vAlign w:val="center"/>
                </w:tcPr>
                <w:p w14:paraId="3041D890">
                  <w:pPr>
                    <w:pStyle w:val="69"/>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eastAsia="zh-CN"/>
                    </w:rPr>
                    <w:t>2021.7.31</w:t>
                  </w:r>
                </w:p>
              </w:tc>
              <w:tc>
                <w:tcPr>
                  <w:tcW w:w="301" w:type="pct"/>
                  <w:vMerge w:val="continue"/>
                  <w:tcBorders>
                    <w:left w:val="single" w:color="000000" w:sz="4" w:space="0"/>
                    <w:right w:val="single" w:color="000000" w:sz="4" w:space="0"/>
                  </w:tcBorders>
                  <w:vAlign w:val="center"/>
                </w:tcPr>
                <w:p w14:paraId="123F88E5">
                  <w:pPr>
                    <w:jc w:val="center"/>
                    <w:rPr>
                      <w:rFonts w:hint="default" w:ascii="Times New Roman" w:hAnsi="Times New Roman" w:cs="Times New Roman"/>
                      <w:color w:val="auto"/>
                      <w:szCs w:val="21"/>
                      <w:highlight w:val="none"/>
                    </w:rPr>
                  </w:pPr>
                </w:p>
              </w:tc>
              <w:tc>
                <w:tcPr>
                  <w:tcW w:w="236" w:type="pct"/>
                  <w:vMerge w:val="continue"/>
                  <w:tcBorders>
                    <w:left w:val="single" w:color="000000" w:sz="4" w:space="0"/>
                    <w:right w:val="single" w:color="000000" w:sz="4" w:space="0"/>
                  </w:tcBorders>
                  <w:vAlign w:val="center"/>
                </w:tcPr>
                <w:p w14:paraId="094596FB">
                  <w:pPr>
                    <w:jc w:val="center"/>
                    <w:rPr>
                      <w:rFonts w:hint="default" w:ascii="Times New Roman" w:hAnsi="Times New Roman" w:cs="Times New Roman"/>
                      <w:color w:val="auto"/>
                      <w:szCs w:val="21"/>
                      <w:highlight w:val="none"/>
                    </w:rPr>
                  </w:pPr>
                </w:p>
              </w:tc>
            </w:tr>
            <w:tr w14:paraId="2068A2CE">
              <w:trPr>
                <w:jc w:val="center"/>
              </w:trPr>
              <w:tc>
                <w:tcPr>
                  <w:tcW w:w="418" w:type="pct"/>
                  <w:gridSpan w:val="2"/>
                  <w:tcBorders>
                    <w:top w:val="single" w:color="000000" w:sz="8" w:space="0"/>
                    <w:left w:val="single" w:color="000000" w:sz="4" w:space="0"/>
                    <w:bottom w:val="single" w:color="000000" w:sz="4" w:space="0"/>
                    <w:right w:val="single" w:color="000000" w:sz="4" w:space="0"/>
                  </w:tcBorders>
                  <w:vAlign w:val="center"/>
                </w:tcPr>
                <w:p w14:paraId="43F70A3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335" w:type="pct"/>
                  <w:tcBorders>
                    <w:top w:val="single" w:color="000000" w:sz="4" w:space="0"/>
                    <w:left w:val="single" w:color="000000" w:sz="4" w:space="0"/>
                    <w:bottom w:val="single" w:color="000000" w:sz="4" w:space="0"/>
                    <w:right w:val="single" w:color="000000" w:sz="4" w:space="0"/>
                  </w:tcBorders>
                  <w:vAlign w:val="center"/>
                </w:tcPr>
                <w:p w14:paraId="7EFB4AA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7.78</w:t>
                  </w:r>
                </w:p>
              </w:tc>
              <w:tc>
                <w:tcPr>
                  <w:tcW w:w="341" w:type="pct"/>
                  <w:tcBorders>
                    <w:top w:val="single" w:color="000000" w:sz="4" w:space="0"/>
                    <w:left w:val="single" w:color="000000" w:sz="4" w:space="0"/>
                    <w:bottom w:val="single" w:color="000000" w:sz="4" w:space="0"/>
                    <w:right w:val="single" w:color="000000" w:sz="4" w:space="0"/>
                  </w:tcBorders>
                  <w:vAlign w:val="center"/>
                </w:tcPr>
                <w:p w14:paraId="3E2A268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7.82</w:t>
                  </w:r>
                </w:p>
              </w:tc>
              <w:tc>
                <w:tcPr>
                  <w:tcW w:w="334" w:type="pct"/>
                  <w:tcBorders>
                    <w:top w:val="single" w:color="000000" w:sz="4" w:space="0"/>
                    <w:left w:val="single" w:color="000000" w:sz="4" w:space="0"/>
                    <w:bottom w:val="single" w:color="000000" w:sz="4" w:space="0"/>
                    <w:right w:val="single" w:color="000000" w:sz="4" w:space="0"/>
                  </w:tcBorders>
                  <w:vAlign w:val="center"/>
                </w:tcPr>
                <w:p w14:paraId="5F94095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7.80</w:t>
                  </w:r>
                </w:p>
              </w:tc>
              <w:tc>
                <w:tcPr>
                  <w:tcW w:w="321" w:type="pct"/>
                  <w:tcBorders>
                    <w:top w:val="single" w:color="000000" w:sz="4" w:space="0"/>
                    <w:left w:val="single" w:color="000000" w:sz="4" w:space="0"/>
                    <w:bottom w:val="single" w:color="000000" w:sz="4" w:space="0"/>
                    <w:right w:val="single" w:color="000000" w:sz="4" w:space="0"/>
                  </w:tcBorders>
                  <w:vAlign w:val="center"/>
                </w:tcPr>
                <w:p w14:paraId="47700B72">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6.5~8.5</w:t>
                  </w:r>
                </w:p>
              </w:tc>
              <w:tc>
                <w:tcPr>
                  <w:tcW w:w="238" w:type="pct"/>
                  <w:tcBorders>
                    <w:top w:val="single" w:color="000000" w:sz="4" w:space="0"/>
                    <w:left w:val="single" w:color="000000" w:sz="4" w:space="0"/>
                    <w:bottom w:val="single" w:color="000000" w:sz="4" w:space="0"/>
                    <w:right w:val="single" w:color="000000" w:sz="4" w:space="0"/>
                  </w:tcBorders>
                  <w:vAlign w:val="center"/>
                </w:tcPr>
                <w:p w14:paraId="2ECCFC8A">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368FB47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7.53</w:t>
                  </w:r>
                </w:p>
              </w:tc>
              <w:tc>
                <w:tcPr>
                  <w:tcW w:w="314" w:type="pct"/>
                  <w:tcBorders>
                    <w:top w:val="single" w:color="000000" w:sz="4" w:space="0"/>
                    <w:left w:val="single" w:color="000000" w:sz="4" w:space="0"/>
                    <w:bottom w:val="single" w:color="000000" w:sz="4" w:space="0"/>
                    <w:right w:val="single" w:color="000000" w:sz="4" w:space="0"/>
                  </w:tcBorders>
                  <w:vAlign w:val="center"/>
                </w:tcPr>
                <w:p w14:paraId="560FB72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7.48</w:t>
                  </w:r>
                </w:p>
              </w:tc>
              <w:tc>
                <w:tcPr>
                  <w:tcW w:w="334" w:type="pct"/>
                  <w:tcBorders>
                    <w:top w:val="single" w:color="000000" w:sz="4" w:space="0"/>
                    <w:left w:val="single" w:color="000000" w:sz="4" w:space="0"/>
                    <w:bottom w:val="single" w:color="000000" w:sz="4" w:space="0"/>
                    <w:right w:val="single" w:color="000000" w:sz="4" w:space="0"/>
                  </w:tcBorders>
                  <w:vAlign w:val="center"/>
                </w:tcPr>
                <w:p w14:paraId="4022FEDF">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7.51</w:t>
                  </w:r>
                </w:p>
              </w:tc>
              <w:tc>
                <w:tcPr>
                  <w:tcW w:w="348" w:type="pct"/>
                  <w:tcBorders>
                    <w:top w:val="single" w:color="000000" w:sz="4" w:space="0"/>
                    <w:left w:val="single" w:color="000000" w:sz="4" w:space="0"/>
                    <w:bottom w:val="single" w:color="000000" w:sz="4" w:space="0"/>
                    <w:right w:val="single" w:color="000000" w:sz="4" w:space="0"/>
                  </w:tcBorders>
                  <w:vAlign w:val="center"/>
                </w:tcPr>
                <w:p w14:paraId="1F73CBA9">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6.5~8.5</w:t>
                  </w:r>
                </w:p>
              </w:tc>
              <w:tc>
                <w:tcPr>
                  <w:tcW w:w="226" w:type="pct"/>
                  <w:tcBorders>
                    <w:top w:val="single" w:color="000000" w:sz="4" w:space="0"/>
                    <w:left w:val="single" w:color="000000" w:sz="4" w:space="0"/>
                    <w:bottom w:val="single" w:color="000000" w:sz="4" w:space="0"/>
                    <w:right w:val="single" w:color="000000" w:sz="4" w:space="0"/>
                  </w:tcBorders>
                  <w:vAlign w:val="center"/>
                </w:tcPr>
                <w:p w14:paraId="108B9F10">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4A4F1CA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7.57</w:t>
                  </w:r>
                </w:p>
              </w:tc>
              <w:tc>
                <w:tcPr>
                  <w:tcW w:w="314" w:type="pct"/>
                  <w:tcBorders>
                    <w:top w:val="single" w:color="000000" w:sz="4" w:space="0"/>
                    <w:left w:val="single" w:color="000000" w:sz="4" w:space="0"/>
                    <w:bottom w:val="single" w:color="000000" w:sz="4" w:space="0"/>
                    <w:right w:val="single" w:color="000000" w:sz="4" w:space="0"/>
                  </w:tcBorders>
                  <w:vAlign w:val="center"/>
                </w:tcPr>
                <w:p w14:paraId="7E77811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7.50</w:t>
                  </w:r>
                </w:p>
              </w:tc>
              <w:tc>
                <w:tcPr>
                  <w:tcW w:w="304" w:type="pct"/>
                  <w:tcBorders>
                    <w:top w:val="single" w:color="000000" w:sz="4" w:space="0"/>
                    <w:left w:val="single" w:color="000000" w:sz="4" w:space="0"/>
                    <w:bottom w:val="single" w:color="000000" w:sz="4" w:space="0"/>
                    <w:right w:val="single" w:color="000000" w:sz="4" w:space="0"/>
                  </w:tcBorders>
                  <w:vAlign w:val="center"/>
                </w:tcPr>
                <w:p w14:paraId="29DB2046">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7.60</w:t>
                  </w:r>
                </w:p>
              </w:tc>
              <w:tc>
                <w:tcPr>
                  <w:tcW w:w="301" w:type="pct"/>
                  <w:tcBorders>
                    <w:top w:val="single" w:color="000000" w:sz="4" w:space="0"/>
                    <w:left w:val="single" w:color="000000" w:sz="4" w:space="0"/>
                    <w:bottom w:val="single" w:color="000000" w:sz="4" w:space="0"/>
                    <w:right w:val="single" w:color="000000" w:sz="4" w:space="0"/>
                  </w:tcBorders>
                  <w:vAlign w:val="center"/>
                </w:tcPr>
                <w:p w14:paraId="64C7689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6.5~8.5</w:t>
                  </w:r>
                </w:p>
              </w:tc>
              <w:tc>
                <w:tcPr>
                  <w:tcW w:w="236" w:type="pct"/>
                  <w:tcBorders>
                    <w:top w:val="single" w:color="000000" w:sz="4" w:space="0"/>
                    <w:left w:val="single" w:color="000000" w:sz="4" w:space="0"/>
                    <w:bottom w:val="single" w:color="000000" w:sz="4" w:space="0"/>
                    <w:right w:val="single" w:color="000000" w:sz="4" w:space="0"/>
                  </w:tcBorders>
                  <w:vAlign w:val="center"/>
                </w:tcPr>
                <w:p w14:paraId="6020CB9E">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达标</w:t>
                  </w:r>
                </w:p>
              </w:tc>
            </w:tr>
            <w:tr w14:paraId="408F8EEE">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747705FF">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335" w:type="pct"/>
                  <w:tcBorders>
                    <w:top w:val="single" w:color="000000" w:sz="4" w:space="0"/>
                    <w:left w:val="single" w:color="000000" w:sz="4" w:space="0"/>
                    <w:bottom w:val="single" w:color="000000" w:sz="4" w:space="0"/>
                    <w:right w:val="single" w:color="000000" w:sz="4" w:space="0"/>
                  </w:tcBorders>
                  <w:vAlign w:val="center"/>
                </w:tcPr>
                <w:p w14:paraId="643DC28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0.324</w:t>
                  </w:r>
                </w:p>
              </w:tc>
              <w:tc>
                <w:tcPr>
                  <w:tcW w:w="341" w:type="pct"/>
                  <w:tcBorders>
                    <w:top w:val="single" w:color="000000" w:sz="4" w:space="0"/>
                    <w:left w:val="single" w:color="000000" w:sz="4" w:space="0"/>
                    <w:bottom w:val="single" w:color="000000" w:sz="4" w:space="0"/>
                    <w:right w:val="single" w:color="000000" w:sz="4" w:space="0"/>
                  </w:tcBorders>
                  <w:vAlign w:val="center"/>
                </w:tcPr>
                <w:p w14:paraId="5FD10A9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0.385</w:t>
                  </w:r>
                </w:p>
              </w:tc>
              <w:tc>
                <w:tcPr>
                  <w:tcW w:w="334" w:type="pct"/>
                  <w:tcBorders>
                    <w:top w:val="single" w:color="000000" w:sz="4" w:space="0"/>
                    <w:left w:val="single" w:color="000000" w:sz="4" w:space="0"/>
                    <w:bottom w:val="single" w:color="000000" w:sz="4" w:space="0"/>
                    <w:right w:val="single" w:color="000000" w:sz="4" w:space="0"/>
                  </w:tcBorders>
                  <w:vAlign w:val="center"/>
                </w:tcPr>
                <w:p w14:paraId="06664F2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0.362</w:t>
                  </w:r>
                </w:p>
              </w:tc>
              <w:tc>
                <w:tcPr>
                  <w:tcW w:w="321" w:type="pct"/>
                  <w:tcBorders>
                    <w:top w:val="single" w:color="000000" w:sz="4" w:space="0"/>
                    <w:left w:val="single" w:color="000000" w:sz="4" w:space="0"/>
                    <w:bottom w:val="single" w:color="000000" w:sz="4" w:space="0"/>
                    <w:right w:val="single" w:color="000000" w:sz="4" w:space="0"/>
                  </w:tcBorders>
                  <w:vAlign w:val="center"/>
                </w:tcPr>
                <w:p w14:paraId="677DFB28">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0.5</w:t>
                  </w:r>
                </w:p>
              </w:tc>
              <w:tc>
                <w:tcPr>
                  <w:tcW w:w="238" w:type="pct"/>
                  <w:tcBorders>
                    <w:top w:val="single" w:color="000000" w:sz="4" w:space="0"/>
                    <w:left w:val="single" w:color="000000" w:sz="4" w:space="0"/>
                    <w:bottom w:val="single" w:color="000000" w:sz="4" w:space="0"/>
                    <w:right w:val="single" w:color="000000" w:sz="4" w:space="0"/>
                  </w:tcBorders>
                  <w:vAlign w:val="center"/>
                </w:tcPr>
                <w:p w14:paraId="3034C710">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76C7CFC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0.025L</w:t>
                  </w:r>
                </w:p>
              </w:tc>
              <w:tc>
                <w:tcPr>
                  <w:tcW w:w="314" w:type="pct"/>
                  <w:tcBorders>
                    <w:top w:val="single" w:color="000000" w:sz="4" w:space="0"/>
                    <w:left w:val="single" w:color="000000" w:sz="4" w:space="0"/>
                    <w:bottom w:val="single" w:color="000000" w:sz="4" w:space="0"/>
                    <w:right w:val="single" w:color="000000" w:sz="4" w:space="0"/>
                  </w:tcBorders>
                  <w:vAlign w:val="center"/>
                </w:tcPr>
                <w:p w14:paraId="1CCB9E6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0.025L</w:t>
                  </w:r>
                </w:p>
              </w:tc>
              <w:tc>
                <w:tcPr>
                  <w:tcW w:w="334" w:type="pct"/>
                  <w:tcBorders>
                    <w:top w:val="single" w:color="000000" w:sz="4" w:space="0"/>
                    <w:left w:val="single" w:color="000000" w:sz="4" w:space="0"/>
                    <w:bottom w:val="single" w:color="000000" w:sz="4" w:space="0"/>
                    <w:right w:val="single" w:color="000000" w:sz="4" w:space="0"/>
                  </w:tcBorders>
                  <w:vAlign w:val="center"/>
                </w:tcPr>
                <w:p w14:paraId="3337DF1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0.025L</w:t>
                  </w:r>
                </w:p>
              </w:tc>
              <w:tc>
                <w:tcPr>
                  <w:tcW w:w="348" w:type="pct"/>
                  <w:tcBorders>
                    <w:top w:val="single" w:color="000000" w:sz="4" w:space="0"/>
                    <w:left w:val="single" w:color="000000" w:sz="4" w:space="0"/>
                    <w:bottom w:val="single" w:color="000000" w:sz="4" w:space="0"/>
                    <w:right w:val="single" w:color="000000" w:sz="4" w:space="0"/>
                  </w:tcBorders>
                  <w:vAlign w:val="center"/>
                </w:tcPr>
                <w:p w14:paraId="2D000CE5">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0.5</w:t>
                  </w:r>
                </w:p>
              </w:tc>
              <w:tc>
                <w:tcPr>
                  <w:tcW w:w="226" w:type="pct"/>
                  <w:tcBorders>
                    <w:top w:val="single" w:color="000000" w:sz="4" w:space="0"/>
                    <w:left w:val="single" w:color="000000" w:sz="4" w:space="0"/>
                    <w:bottom w:val="single" w:color="000000" w:sz="4" w:space="0"/>
                    <w:right w:val="single" w:color="000000" w:sz="4" w:space="0"/>
                  </w:tcBorders>
                  <w:vAlign w:val="center"/>
                </w:tcPr>
                <w:p w14:paraId="64F1E195">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618C6DB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0.035</w:t>
                  </w:r>
                </w:p>
              </w:tc>
              <w:tc>
                <w:tcPr>
                  <w:tcW w:w="314" w:type="pct"/>
                  <w:tcBorders>
                    <w:top w:val="single" w:color="000000" w:sz="4" w:space="0"/>
                    <w:left w:val="single" w:color="000000" w:sz="4" w:space="0"/>
                    <w:bottom w:val="single" w:color="000000" w:sz="4" w:space="0"/>
                    <w:right w:val="single" w:color="000000" w:sz="4" w:space="0"/>
                  </w:tcBorders>
                  <w:vAlign w:val="center"/>
                </w:tcPr>
                <w:p w14:paraId="290C46E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0.048</w:t>
                  </w:r>
                </w:p>
              </w:tc>
              <w:tc>
                <w:tcPr>
                  <w:tcW w:w="304" w:type="pct"/>
                  <w:tcBorders>
                    <w:top w:val="single" w:color="000000" w:sz="4" w:space="0"/>
                    <w:left w:val="single" w:color="000000" w:sz="4" w:space="0"/>
                    <w:bottom w:val="single" w:color="000000" w:sz="4" w:space="0"/>
                    <w:right w:val="single" w:color="000000" w:sz="4" w:space="0"/>
                  </w:tcBorders>
                  <w:vAlign w:val="center"/>
                </w:tcPr>
                <w:p w14:paraId="56830C5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0.050</w:t>
                  </w:r>
                </w:p>
              </w:tc>
              <w:tc>
                <w:tcPr>
                  <w:tcW w:w="301" w:type="pct"/>
                  <w:tcBorders>
                    <w:top w:val="single" w:color="000000" w:sz="4" w:space="0"/>
                    <w:left w:val="single" w:color="000000" w:sz="4" w:space="0"/>
                    <w:bottom w:val="single" w:color="000000" w:sz="4" w:space="0"/>
                    <w:right w:val="single" w:color="000000" w:sz="4" w:space="0"/>
                  </w:tcBorders>
                  <w:vAlign w:val="center"/>
                </w:tcPr>
                <w:p w14:paraId="03345498">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0.5</w:t>
                  </w:r>
                </w:p>
              </w:tc>
              <w:tc>
                <w:tcPr>
                  <w:tcW w:w="236" w:type="pct"/>
                  <w:tcBorders>
                    <w:top w:val="single" w:color="000000" w:sz="4" w:space="0"/>
                    <w:left w:val="single" w:color="000000" w:sz="4" w:space="0"/>
                    <w:bottom w:val="single" w:color="000000" w:sz="4" w:space="0"/>
                    <w:right w:val="single" w:color="000000" w:sz="4" w:space="0"/>
                  </w:tcBorders>
                  <w:vAlign w:val="center"/>
                </w:tcPr>
                <w:p w14:paraId="73B0ED1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B19A7DF">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0F1B132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硝酸盐</w:t>
                  </w:r>
                </w:p>
              </w:tc>
              <w:tc>
                <w:tcPr>
                  <w:tcW w:w="335" w:type="pct"/>
                  <w:tcBorders>
                    <w:top w:val="single" w:color="000000" w:sz="4" w:space="0"/>
                    <w:left w:val="single" w:color="000000" w:sz="4" w:space="0"/>
                    <w:bottom w:val="single" w:color="000000" w:sz="4" w:space="0"/>
                    <w:right w:val="single" w:color="000000" w:sz="4" w:space="0"/>
                  </w:tcBorders>
                  <w:vAlign w:val="center"/>
                </w:tcPr>
                <w:p w14:paraId="60DE08C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w:t>
                  </w:r>
                </w:p>
              </w:tc>
              <w:tc>
                <w:tcPr>
                  <w:tcW w:w="341" w:type="pct"/>
                  <w:tcBorders>
                    <w:top w:val="single" w:color="000000" w:sz="4" w:space="0"/>
                    <w:left w:val="single" w:color="000000" w:sz="4" w:space="0"/>
                    <w:bottom w:val="single" w:color="000000" w:sz="4" w:space="0"/>
                    <w:right w:val="single" w:color="000000" w:sz="4" w:space="0"/>
                  </w:tcBorders>
                  <w:vAlign w:val="center"/>
                </w:tcPr>
                <w:p w14:paraId="10B4343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14.9</w:t>
                  </w:r>
                </w:p>
              </w:tc>
              <w:tc>
                <w:tcPr>
                  <w:tcW w:w="334" w:type="pct"/>
                  <w:tcBorders>
                    <w:top w:val="single" w:color="000000" w:sz="4" w:space="0"/>
                    <w:left w:val="single" w:color="000000" w:sz="4" w:space="0"/>
                    <w:bottom w:val="single" w:color="000000" w:sz="4" w:space="0"/>
                    <w:right w:val="single" w:color="000000" w:sz="4" w:space="0"/>
                  </w:tcBorders>
                  <w:vAlign w:val="center"/>
                </w:tcPr>
                <w:p w14:paraId="2C06AE2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w:t>
                  </w:r>
                </w:p>
              </w:tc>
              <w:tc>
                <w:tcPr>
                  <w:tcW w:w="321" w:type="pct"/>
                  <w:tcBorders>
                    <w:top w:val="single" w:color="000000" w:sz="4" w:space="0"/>
                    <w:left w:val="single" w:color="000000" w:sz="4" w:space="0"/>
                    <w:bottom w:val="single" w:color="000000" w:sz="4" w:space="0"/>
                    <w:right w:val="single" w:color="000000" w:sz="4" w:space="0"/>
                  </w:tcBorders>
                  <w:vAlign w:val="center"/>
                </w:tcPr>
                <w:p w14:paraId="44C6EACF">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20</w:t>
                  </w:r>
                </w:p>
              </w:tc>
              <w:tc>
                <w:tcPr>
                  <w:tcW w:w="238" w:type="pct"/>
                  <w:tcBorders>
                    <w:top w:val="single" w:color="000000" w:sz="4" w:space="0"/>
                    <w:left w:val="single" w:color="000000" w:sz="4" w:space="0"/>
                    <w:bottom w:val="single" w:color="000000" w:sz="4" w:space="0"/>
                    <w:right w:val="single" w:color="000000" w:sz="4" w:space="0"/>
                  </w:tcBorders>
                  <w:vAlign w:val="center"/>
                </w:tcPr>
                <w:p w14:paraId="77864FAD">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413A73C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5.58</w:t>
                  </w:r>
                </w:p>
              </w:tc>
              <w:tc>
                <w:tcPr>
                  <w:tcW w:w="314" w:type="pct"/>
                  <w:tcBorders>
                    <w:top w:val="single" w:color="000000" w:sz="4" w:space="0"/>
                    <w:left w:val="single" w:color="000000" w:sz="4" w:space="0"/>
                    <w:bottom w:val="single" w:color="000000" w:sz="4" w:space="0"/>
                    <w:right w:val="single" w:color="000000" w:sz="4" w:space="0"/>
                  </w:tcBorders>
                  <w:vAlign w:val="center"/>
                </w:tcPr>
                <w:p w14:paraId="6F7A3E2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5.60</w:t>
                  </w:r>
                </w:p>
              </w:tc>
              <w:tc>
                <w:tcPr>
                  <w:tcW w:w="334" w:type="pct"/>
                  <w:tcBorders>
                    <w:top w:val="single" w:color="000000" w:sz="4" w:space="0"/>
                    <w:left w:val="single" w:color="000000" w:sz="4" w:space="0"/>
                    <w:bottom w:val="single" w:color="000000" w:sz="4" w:space="0"/>
                    <w:right w:val="single" w:color="000000" w:sz="4" w:space="0"/>
                  </w:tcBorders>
                  <w:vAlign w:val="center"/>
                </w:tcPr>
                <w:p w14:paraId="42B5E89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5.42</w:t>
                  </w:r>
                </w:p>
              </w:tc>
              <w:tc>
                <w:tcPr>
                  <w:tcW w:w="348" w:type="pct"/>
                  <w:tcBorders>
                    <w:top w:val="single" w:color="000000" w:sz="4" w:space="0"/>
                    <w:left w:val="single" w:color="000000" w:sz="4" w:space="0"/>
                    <w:bottom w:val="single" w:color="000000" w:sz="4" w:space="0"/>
                    <w:right w:val="single" w:color="000000" w:sz="4" w:space="0"/>
                  </w:tcBorders>
                  <w:vAlign w:val="center"/>
                </w:tcPr>
                <w:p w14:paraId="4EBC48CC">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20</w:t>
                  </w:r>
                </w:p>
              </w:tc>
              <w:tc>
                <w:tcPr>
                  <w:tcW w:w="226" w:type="pct"/>
                  <w:tcBorders>
                    <w:top w:val="single" w:color="000000" w:sz="4" w:space="0"/>
                    <w:left w:val="single" w:color="000000" w:sz="4" w:space="0"/>
                    <w:bottom w:val="single" w:color="000000" w:sz="4" w:space="0"/>
                    <w:right w:val="single" w:color="000000" w:sz="4" w:space="0"/>
                  </w:tcBorders>
                  <w:vAlign w:val="center"/>
                </w:tcPr>
                <w:p w14:paraId="499DF589">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7A8C8A3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6.48</w:t>
                  </w:r>
                </w:p>
              </w:tc>
              <w:tc>
                <w:tcPr>
                  <w:tcW w:w="314" w:type="pct"/>
                  <w:tcBorders>
                    <w:top w:val="single" w:color="000000" w:sz="4" w:space="0"/>
                    <w:left w:val="single" w:color="000000" w:sz="4" w:space="0"/>
                    <w:bottom w:val="single" w:color="000000" w:sz="4" w:space="0"/>
                    <w:right w:val="single" w:color="000000" w:sz="4" w:space="0"/>
                  </w:tcBorders>
                  <w:vAlign w:val="center"/>
                </w:tcPr>
                <w:p w14:paraId="5A4AC93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6.27</w:t>
                  </w:r>
                </w:p>
              </w:tc>
              <w:tc>
                <w:tcPr>
                  <w:tcW w:w="304" w:type="pct"/>
                  <w:tcBorders>
                    <w:top w:val="single" w:color="000000" w:sz="4" w:space="0"/>
                    <w:left w:val="single" w:color="000000" w:sz="4" w:space="0"/>
                    <w:bottom w:val="single" w:color="000000" w:sz="4" w:space="0"/>
                    <w:right w:val="single" w:color="000000" w:sz="4" w:space="0"/>
                  </w:tcBorders>
                  <w:vAlign w:val="center"/>
                </w:tcPr>
                <w:p w14:paraId="7CA221C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6.58</w:t>
                  </w:r>
                </w:p>
              </w:tc>
              <w:tc>
                <w:tcPr>
                  <w:tcW w:w="301" w:type="pct"/>
                  <w:tcBorders>
                    <w:top w:val="single" w:color="000000" w:sz="4" w:space="0"/>
                    <w:left w:val="single" w:color="000000" w:sz="4" w:space="0"/>
                    <w:bottom w:val="single" w:color="000000" w:sz="4" w:space="0"/>
                    <w:right w:val="single" w:color="000000" w:sz="4" w:space="0"/>
                  </w:tcBorders>
                  <w:vAlign w:val="center"/>
                </w:tcPr>
                <w:p w14:paraId="6C612FF3">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20</w:t>
                  </w:r>
                </w:p>
              </w:tc>
              <w:tc>
                <w:tcPr>
                  <w:tcW w:w="236" w:type="pct"/>
                  <w:tcBorders>
                    <w:top w:val="single" w:color="000000" w:sz="4" w:space="0"/>
                    <w:left w:val="single" w:color="000000" w:sz="4" w:space="0"/>
                    <w:bottom w:val="single" w:color="000000" w:sz="4" w:space="0"/>
                    <w:right w:val="single" w:color="000000" w:sz="4" w:space="0"/>
                  </w:tcBorders>
                  <w:vAlign w:val="center"/>
                </w:tcPr>
                <w:p w14:paraId="762A548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6251504">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6F8B24D6">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亚硝酸盐</w:t>
                  </w:r>
                </w:p>
              </w:tc>
              <w:tc>
                <w:tcPr>
                  <w:tcW w:w="335" w:type="pct"/>
                  <w:tcBorders>
                    <w:top w:val="single" w:color="000000" w:sz="4" w:space="0"/>
                    <w:left w:val="single" w:color="000000" w:sz="4" w:space="0"/>
                    <w:bottom w:val="single" w:color="000000" w:sz="4" w:space="0"/>
                    <w:right w:val="single" w:color="000000" w:sz="4" w:space="0"/>
                  </w:tcBorders>
                  <w:vAlign w:val="center"/>
                </w:tcPr>
                <w:p w14:paraId="372A1D16">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0.680</w:t>
                  </w:r>
                </w:p>
              </w:tc>
              <w:tc>
                <w:tcPr>
                  <w:tcW w:w="341" w:type="pct"/>
                  <w:tcBorders>
                    <w:top w:val="single" w:color="000000" w:sz="4" w:space="0"/>
                    <w:left w:val="single" w:color="000000" w:sz="4" w:space="0"/>
                    <w:bottom w:val="single" w:color="000000" w:sz="4" w:space="0"/>
                    <w:right w:val="single" w:color="000000" w:sz="4" w:space="0"/>
                  </w:tcBorders>
                  <w:vAlign w:val="center"/>
                </w:tcPr>
                <w:p w14:paraId="140F01B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0.674</w:t>
                  </w:r>
                </w:p>
              </w:tc>
              <w:tc>
                <w:tcPr>
                  <w:tcW w:w="334" w:type="pct"/>
                  <w:tcBorders>
                    <w:top w:val="single" w:color="000000" w:sz="4" w:space="0"/>
                    <w:left w:val="single" w:color="000000" w:sz="4" w:space="0"/>
                    <w:bottom w:val="single" w:color="000000" w:sz="4" w:space="0"/>
                    <w:right w:val="single" w:color="000000" w:sz="4" w:space="0"/>
                  </w:tcBorders>
                  <w:vAlign w:val="center"/>
                </w:tcPr>
                <w:p w14:paraId="454F770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0.650</w:t>
                  </w:r>
                </w:p>
              </w:tc>
              <w:tc>
                <w:tcPr>
                  <w:tcW w:w="321" w:type="pct"/>
                  <w:tcBorders>
                    <w:top w:val="single" w:color="000000" w:sz="4" w:space="0"/>
                    <w:left w:val="single" w:color="000000" w:sz="4" w:space="0"/>
                    <w:bottom w:val="single" w:color="000000" w:sz="4" w:space="0"/>
                    <w:right w:val="single" w:color="000000" w:sz="4" w:space="0"/>
                  </w:tcBorders>
                  <w:vAlign w:val="center"/>
                </w:tcPr>
                <w:p w14:paraId="543F636C">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38" w:type="pct"/>
                  <w:tcBorders>
                    <w:top w:val="single" w:color="000000" w:sz="4" w:space="0"/>
                    <w:left w:val="single" w:color="000000" w:sz="4" w:space="0"/>
                    <w:bottom w:val="single" w:color="000000" w:sz="4" w:space="0"/>
                    <w:right w:val="single" w:color="000000" w:sz="4" w:space="0"/>
                  </w:tcBorders>
                  <w:vAlign w:val="center"/>
                </w:tcPr>
                <w:p w14:paraId="60CEF483">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6DBDEF6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0.003</w:t>
                  </w:r>
                </w:p>
              </w:tc>
              <w:tc>
                <w:tcPr>
                  <w:tcW w:w="314" w:type="pct"/>
                  <w:tcBorders>
                    <w:top w:val="single" w:color="000000" w:sz="4" w:space="0"/>
                    <w:left w:val="single" w:color="000000" w:sz="4" w:space="0"/>
                    <w:bottom w:val="single" w:color="000000" w:sz="4" w:space="0"/>
                    <w:right w:val="single" w:color="000000" w:sz="4" w:space="0"/>
                  </w:tcBorders>
                  <w:vAlign w:val="center"/>
                </w:tcPr>
                <w:p w14:paraId="4BBDEAF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w:t>
                  </w:r>
                </w:p>
              </w:tc>
              <w:tc>
                <w:tcPr>
                  <w:tcW w:w="334" w:type="pct"/>
                  <w:tcBorders>
                    <w:top w:val="single" w:color="000000" w:sz="4" w:space="0"/>
                    <w:left w:val="single" w:color="000000" w:sz="4" w:space="0"/>
                    <w:bottom w:val="single" w:color="000000" w:sz="4" w:space="0"/>
                    <w:right w:val="single" w:color="000000" w:sz="4" w:space="0"/>
                  </w:tcBorders>
                  <w:vAlign w:val="center"/>
                </w:tcPr>
                <w:p w14:paraId="361E4906">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w:t>
                  </w:r>
                </w:p>
              </w:tc>
              <w:tc>
                <w:tcPr>
                  <w:tcW w:w="348" w:type="pct"/>
                  <w:tcBorders>
                    <w:top w:val="single" w:color="000000" w:sz="4" w:space="0"/>
                    <w:left w:val="single" w:color="000000" w:sz="4" w:space="0"/>
                    <w:bottom w:val="single" w:color="000000" w:sz="4" w:space="0"/>
                    <w:right w:val="single" w:color="000000" w:sz="4" w:space="0"/>
                  </w:tcBorders>
                  <w:vAlign w:val="center"/>
                </w:tcPr>
                <w:p w14:paraId="352D2241">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26" w:type="pct"/>
                  <w:tcBorders>
                    <w:top w:val="single" w:color="000000" w:sz="4" w:space="0"/>
                    <w:left w:val="single" w:color="000000" w:sz="4" w:space="0"/>
                    <w:bottom w:val="single" w:color="000000" w:sz="4" w:space="0"/>
                    <w:right w:val="single" w:color="000000" w:sz="4" w:space="0"/>
                  </w:tcBorders>
                  <w:vAlign w:val="center"/>
                </w:tcPr>
                <w:p w14:paraId="39DC0693">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61960DD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0.008</w:t>
                  </w:r>
                </w:p>
              </w:tc>
              <w:tc>
                <w:tcPr>
                  <w:tcW w:w="314" w:type="pct"/>
                  <w:tcBorders>
                    <w:top w:val="single" w:color="000000" w:sz="4" w:space="0"/>
                    <w:left w:val="single" w:color="000000" w:sz="4" w:space="0"/>
                    <w:bottom w:val="single" w:color="000000" w:sz="4" w:space="0"/>
                    <w:right w:val="single" w:color="000000" w:sz="4" w:space="0"/>
                  </w:tcBorders>
                  <w:vAlign w:val="center"/>
                </w:tcPr>
                <w:p w14:paraId="7659B79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0.007</w:t>
                  </w:r>
                </w:p>
              </w:tc>
              <w:tc>
                <w:tcPr>
                  <w:tcW w:w="304" w:type="pct"/>
                  <w:tcBorders>
                    <w:top w:val="single" w:color="000000" w:sz="4" w:space="0"/>
                    <w:left w:val="single" w:color="000000" w:sz="4" w:space="0"/>
                    <w:bottom w:val="single" w:color="000000" w:sz="4" w:space="0"/>
                    <w:right w:val="single" w:color="000000" w:sz="4" w:space="0"/>
                  </w:tcBorders>
                  <w:vAlign w:val="center"/>
                </w:tcPr>
                <w:p w14:paraId="772539D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0.006</w:t>
                  </w:r>
                </w:p>
              </w:tc>
              <w:tc>
                <w:tcPr>
                  <w:tcW w:w="301" w:type="pct"/>
                  <w:tcBorders>
                    <w:top w:val="single" w:color="000000" w:sz="4" w:space="0"/>
                    <w:left w:val="single" w:color="000000" w:sz="4" w:space="0"/>
                    <w:bottom w:val="single" w:color="000000" w:sz="4" w:space="0"/>
                    <w:right w:val="single" w:color="000000" w:sz="4" w:space="0"/>
                  </w:tcBorders>
                  <w:vAlign w:val="center"/>
                </w:tcPr>
                <w:p w14:paraId="3F8122F6">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36" w:type="pct"/>
                  <w:tcBorders>
                    <w:top w:val="single" w:color="000000" w:sz="4" w:space="0"/>
                    <w:left w:val="single" w:color="000000" w:sz="4" w:space="0"/>
                    <w:bottom w:val="single" w:color="000000" w:sz="4" w:space="0"/>
                    <w:right w:val="single" w:color="000000" w:sz="4" w:space="0"/>
                  </w:tcBorders>
                  <w:vAlign w:val="center"/>
                </w:tcPr>
                <w:p w14:paraId="0096513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49BD51A">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1BF1805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氯化物</w:t>
                  </w:r>
                </w:p>
              </w:tc>
              <w:tc>
                <w:tcPr>
                  <w:tcW w:w="335" w:type="pct"/>
                  <w:tcBorders>
                    <w:top w:val="single" w:color="000000" w:sz="4" w:space="0"/>
                    <w:left w:val="single" w:color="000000" w:sz="4" w:space="0"/>
                    <w:bottom w:val="single" w:color="000000" w:sz="4" w:space="0"/>
                    <w:right w:val="single" w:color="000000" w:sz="4" w:space="0"/>
                  </w:tcBorders>
                  <w:vAlign w:val="center"/>
                </w:tcPr>
                <w:p w14:paraId="3FBD3E3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1" w:type="pct"/>
                  <w:tcBorders>
                    <w:top w:val="single" w:color="000000" w:sz="4" w:space="0"/>
                    <w:left w:val="single" w:color="000000" w:sz="4" w:space="0"/>
                    <w:bottom w:val="single" w:color="000000" w:sz="4" w:space="0"/>
                    <w:right w:val="single" w:color="000000" w:sz="4" w:space="0"/>
                  </w:tcBorders>
                  <w:vAlign w:val="center"/>
                </w:tcPr>
                <w:p w14:paraId="793E33E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34" w:type="pct"/>
                  <w:tcBorders>
                    <w:top w:val="single" w:color="000000" w:sz="4" w:space="0"/>
                    <w:left w:val="single" w:color="000000" w:sz="4" w:space="0"/>
                    <w:bottom w:val="single" w:color="000000" w:sz="4" w:space="0"/>
                    <w:right w:val="single" w:color="000000" w:sz="4" w:space="0"/>
                  </w:tcBorders>
                  <w:vAlign w:val="center"/>
                </w:tcPr>
                <w:p w14:paraId="7EE0795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21" w:type="pct"/>
                  <w:tcBorders>
                    <w:top w:val="single" w:color="000000" w:sz="4" w:space="0"/>
                    <w:left w:val="single" w:color="000000" w:sz="4" w:space="0"/>
                    <w:bottom w:val="single" w:color="000000" w:sz="4" w:space="0"/>
                    <w:right w:val="single" w:color="000000" w:sz="4" w:space="0"/>
                  </w:tcBorders>
                  <w:vAlign w:val="center"/>
                </w:tcPr>
                <w:p w14:paraId="62F2050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238" w:type="pct"/>
                  <w:tcBorders>
                    <w:top w:val="single" w:color="000000" w:sz="4" w:space="0"/>
                    <w:left w:val="single" w:color="000000" w:sz="4" w:space="0"/>
                    <w:bottom w:val="single" w:color="000000" w:sz="4" w:space="0"/>
                    <w:right w:val="single" w:color="000000" w:sz="4" w:space="0"/>
                  </w:tcBorders>
                  <w:vAlign w:val="center"/>
                </w:tcPr>
                <w:p w14:paraId="12B0F7FA">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5ABF48E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14" w:type="pct"/>
                  <w:tcBorders>
                    <w:top w:val="single" w:color="000000" w:sz="4" w:space="0"/>
                    <w:left w:val="single" w:color="000000" w:sz="4" w:space="0"/>
                    <w:bottom w:val="single" w:color="000000" w:sz="4" w:space="0"/>
                    <w:right w:val="single" w:color="000000" w:sz="4" w:space="0"/>
                  </w:tcBorders>
                  <w:vAlign w:val="center"/>
                </w:tcPr>
                <w:p w14:paraId="44C4DB3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34" w:type="pct"/>
                  <w:tcBorders>
                    <w:top w:val="single" w:color="000000" w:sz="4" w:space="0"/>
                    <w:left w:val="single" w:color="000000" w:sz="4" w:space="0"/>
                    <w:bottom w:val="single" w:color="000000" w:sz="4" w:space="0"/>
                    <w:right w:val="single" w:color="000000" w:sz="4" w:space="0"/>
                  </w:tcBorders>
                  <w:vAlign w:val="center"/>
                </w:tcPr>
                <w:p w14:paraId="5D9EC626">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8" w:type="pct"/>
                  <w:tcBorders>
                    <w:top w:val="single" w:color="000000" w:sz="4" w:space="0"/>
                    <w:left w:val="single" w:color="000000" w:sz="4" w:space="0"/>
                    <w:bottom w:val="single" w:color="000000" w:sz="4" w:space="0"/>
                    <w:right w:val="single" w:color="000000" w:sz="4" w:space="0"/>
                  </w:tcBorders>
                  <w:vAlign w:val="center"/>
                </w:tcPr>
                <w:p w14:paraId="2786852C">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226" w:type="pct"/>
                  <w:tcBorders>
                    <w:top w:val="single" w:color="000000" w:sz="4" w:space="0"/>
                    <w:left w:val="single" w:color="000000" w:sz="4" w:space="0"/>
                    <w:bottom w:val="single" w:color="000000" w:sz="4" w:space="0"/>
                    <w:right w:val="single" w:color="000000" w:sz="4" w:space="0"/>
                  </w:tcBorders>
                  <w:vAlign w:val="center"/>
                </w:tcPr>
                <w:p w14:paraId="5EA787BE">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2991B31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14" w:type="pct"/>
                  <w:tcBorders>
                    <w:top w:val="single" w:color="000000" w:sz="4" w:space="0"/>
                    <w:left w:val="single" w:color="000000" w:sz="4" w:space="0"/>
                    <w:bottom w:val="single" w:color="000000" w:sz="4" w:space="0"/>
                    <w:right w:val="single" w:color="000000" w:sz="4" w:space="0"/>
                  </w:tcBorders>
                  <w:vAlign w:val="center"/>
                </w:tcPr>
                <w:p w14:paraId="0D3692A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04" w:type="pct"/>
                  <w:tcBorders>
                    <w:top w:val="single" w:color="000000" w:sz="4" w:space="0"/>
                    <w:left w:val="single" w:color="000000" w:sz="4" w:space="0"/>
                    <w:bottom w:val="single" w:color="000000" w:sz="4" w:space="0"/>
                    <w:right w:val="single" w:color="000000" w:sz="4" w:space="0"/>
                  </w:tcBorders>
                  <w:vAlign w:val="center"/>
                </w:tcPr>
                <w:p w14:paraId="56A7C8F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01" w:type="pct"/>
                  <w:tcBorders>
                    <w:top w:val="single" w:color="000000" w:sz="4" w:space="0"/>
                    <w:left w:val="single" w:color="000000" w:sz="4" w:space="0"/>
                    <w:bottom w:val="single" w:color="000000" w:sz="4" w:space="0"/>
                    <w:right w:val="single" w:color="000000" w:sz="4" w:space="0"/>
                  </w:tcBorders>
                  <w:vAlign w:val="center"/>
                </w:tcPr>
                <w:p w14:paraId="43A85BCE">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236" w:type="pct"/>
                  <w:tcBorders>
                    <w:top w:val="single" w:color="000000" w:sz="4" w:space="0"/>
                    <w:left w:val="single" w:color="000000" w:sz="4" w:space="0"/>
                    <w:bottom w:val="single" w:color="000000" w:sz="4" w:space="0"/>
                    <w:right w:val="single" w:color="000000" w:sz="4" w:space="0"/>
                  </w:tcBorders>
                  <w:vAlign w:val="center"/>
                </w:tcPr>
                <w:p w14:paraId="1BC6B82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0B983A5">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2C843E5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硫酸盐</w:t>
                  </w:r>
                </w:p>
              </w:tc>
              <w:tc>
                <w:tcPr>
                  <w:tcW w:w="335" w:type="pct"/>
                  <w:tcBorders>
                    <w:top w:val="single" w:color="000000" w:sz="4" w:space="0"/>
                    <w:left w:val="single" w:color="000000" w:sz="4" w:space="0"/>
                    <w:bottom w:val="single" w:color="000000" w:sz="4" w:space="0"/>
                    <w:right w:val="single" w:color="000000" w:sz="4" w:space="0"/>
                  </w:tcBorders>
                  <w:vAlign w:val="center"/>
                </w:tcPr>
                <w:p w14:paraId="609BB14E">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341" w:type="pct"/>
                  <w:tcBorders>
                    <w:top w:val="single" w:color="000000" w:sz="4" w:space="0"/>
                    <w:left w:val="single" w:color="000000" w:sz="4" w:space="0"/>
                    <w:bottom w:val="single" w:color="000000" w:sz="4" w:space="0"/>
                    <w:right w:val="single" w:color="000000" w:sz="4" w:space="0"/>
                  </w:tcBorders>
                  <w:vAlign w:val="center"/>
                </w:tcPr>
                <w:p w14:paraId="0E76B560">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13</w:t>
                  </w:r>
                </w:p>
              </w:tc>
              <w:tc>
                <w:tcPr>
                  <w:tcW w:w="334" w:type="pct"/>
                  <w:tcBorders>
                    <w:top w:val="single" w:color="000000" w:sz="4" w:space="0"/>
                    <w:left w:val="single" w:color="000000" w:sz="4" w:space="0"/>
                    <w:bottom w:val="single" w:color="000000" w:sz="4" w:space="0"/>
                    <w:right w:val="single" w:color="000000" w:sz="4" w:space="0"/>
                  </w:tcBorders>
                  <w:vAlign w:val="center"/>
                </w:tcPr>
                <w:p w14:paraId="58D89F2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w:t>
                  </w:r>
                </w:p>
              </w:tc>
              <w:tc>
                <w:tcPr>
                  <w:tcW w:w="321" w:type="pct"/>
                  <w:tcBorders>
                    <w:top w:val="single" w:color="000000" w:sz="4" w:space="0"/>
                    <w:left w:val="single" w:color="000000" w:sz="4" w:space="0"/>
                    <w:bottom w:val="single" w:color="000000" w:sz="4" w:space="0"/>
                    <w:right w:val="single" w:color="000000" w:sz="4" w:space="0"/>
                  </w:tcBorders>
                  <w:vAlign w:val="center"/>
                </w:tcPr>
                <w:p w14:paraId="25F35910">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250</w:t>
                  </w:r>
                </w:p>
              </w:tc>
              <w:tc>
                <w:tcPr>
                  <w:tcW w:w="238" w:type="pct"/>
                  <w:tcBorders>
                    <w:top w:val="single" w:color="000000" w:sz="4" w:space="0"/>
                    <w:left w:val="single" w:color="000000" w:sz="4" w:space="0"/>
                    <w:bottom w:val="single" w:color="000000" w:sz="4" w:space="0"/>
                    <w:right w:val="single" w:color="000000" w:sz="4" w:space="0"/>
                  </w:tcBorders>
                  <w:vAlign w:val="center"/>
                </w:tcPr>
                <w:p w14:paraId="5DAA5DFB">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5AFA4A76">
                  <w:pPr>
                    <w:widowControl/>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3</w:t>
                  </w:r>
                </w:p>
              </w:tc>
              <w:tc>
                <w:tcPr>
                  <w:tcW w:w="314" w:type="pct"/>
                  <w:tcBorders>
                    <w:top w:val="single" w:color="000000" w:sz="4" w:space="0"/>
                    <w:left w:val="single" w:color="000000" w:sz="4" w:space="0"/>
                    <w:bottom w:val="single" w:color="000000" w:sz="4" w:space="0"/>
                    <w:right w:val="single" w:color="000000" w:sz="4" w:space="0"/>
                  </w:tcBorders>
                  <w:vAlign w:val="center"/>
                </w:tcPr>
                <w:p w14:paraId="03B355AB">
                  <w:pPr>
                    <w:widowControl/>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1</w:t>
                  </w:r>
                </w:p>
              </w:tc>
              <w:tc>
                <w:tcPr>
                  <w:tcW w:w="334" w:type="pct"/>
                  <w:tcBorders>
                    <w:top w:val="single" w:color="000000" w:sz="4" w:space="0"/>
                    <w:left w:val="single" w:color="000000" w:sz="4" w:space="0"/>
                    <w:bottom w:val="single" w:color="000000" w:sz="4" w:space="0"/>
                    <w:right w:val="single" w:color="000000" w:sz="4" w:space="0"/>
                  </w:tcBorders>
                  <w:vAlign w:val="center"/>
                </w:tcPr>
                <w:p w14:paraId="733233D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348" w:type="pct"/>
                  <w:tcBorders>
                    <w:top w:val="single" w:color="000000" w:sz="4" w:space="0"/>
                    <w:left w:val="single" w:color="000000" w:sz="4" w:space="0"/>
                    <w:bottom w:val="single" w:color="000000" w:sz="4" w:space="0"/>
                    <w:right w:val="single" w:color="000000" w:sz="4" w:space="0"/>
                  </w:tcBorders>
                  <w:vAlign w:val="center"/>
                </w:tcPr>
                <w:p w14:paraId="72CCF29A">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250</w:t>
                  </w:r>
                </w:p>
              </w:tc>
              <w:tc>
                <w:tcPr>
                  <w:tcW w:w="226" w:type="pct"/>
                  <w:tcBorders>
                    <w:top w:val="single" w:color="000000" w:sz="4" w:space="0"/>
                    <w:left w:val="single" w:color="000000" w:sz="4" w:space="0"/>
                    <w:bottom w:val="single" w:color="000000" w:sz="4" w:space="0"/>
                    <w:right w:val="single" w:color="000000" w:sz="4" w:space="0"/>
                  </w:tcBorders>
                  <w:vAlign w:val="center"/>
                </w:tcPr>
                <w:p w14:paraId="10E3C992">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4C860D74">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314" w:type="pct"/>
                  <w:tcBorders>
                    <w:top w:val="single" w:color="000000" w:sz="4" w:space="0"/>
                    <w:left w:val="single" w:color="000000" w:sz="4" w:space="0"/>
                    <w:bottom w:val="single" w:color="000000" w:sz="4" w:space="0"/>
                    <w:right w:val="single" w:color="000000" w:sz="4" w:space="0"/>
                  </w:tcBorders>
                  <w:vAlign w:val="center"/>
                </w:tcPr>
                <w:p w14:paraId="76D04374">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11</w:t>
                  </w:r>
                </w:p>
              </w:tc>
              <w:tc>
                <w:tcPr>
                  <w:tcW w:w="304" w:type="pct"/>
                  <w:tcBorders>
                    <w:top w:val="single" w:color="000000" w:sz="4" w:space="0"/>
                    <w:left w:val="single" w:color="000000" w:sz="4" w:space="0"/>
                    <w:bottom w:val="single" w:color="000000" w:sz="4" w:space="0"/>
                    <w:right w:val="single" w:color="000000" w:sz="4" w:space="0"/>
                  </w:tcBorders>
                  <w:vAlign w:val="center"/>
                </w:tcPr>
                <w:p w14:paraId="6754834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301" w:type="pct"/>
                  <w:tcBorders>
                    <w:top w:val="single" w:color="000000" w:sz="4" w:space="0"/>
                    <w:left w:val="single" w:color="000000" w:sz="4" w:space="0"/>
                    <w:bottom w:val="single" w:color="000000" w:sz="4" w:space="0"/>
                    <w:right w:val="single" w:color="000000" w:sz="4" w:space="0"/>
                  </w:tcBorders>
                  <w:vAlign w:val="center"/>
                </w:tcPr>
                <w:p w14:paraId="17513DAE">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250</w:t>
                  </w:r>
                </w:p>
              </w:tc>
              <w:tc>
                <w:tcPr>
                  <w:tcW w:w="236" w:type="pct"/>
                  <w:tcBorders>
                    <w:top w:val="single" w:color="000000" w:sz="4" w:space="0"/>
                    <w:left w:val="single" w:color="000000" w:sz="4" w:space="0"/>
                    <w:bottom w:val="single" w:color="000000" w:sz="4" w:space="0"/>
                    <w:right w:val="single" w:color="000000" w:sz="4" w:space="0"/>
                  </w:tcBorders>
                  <w:vAlign w:val="center"/>
                </w:tcPr>
                <w:p w14:paraId="7467D9C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F4CBF2E">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04CB8F7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总硬度</w:t>
                  </w:r>
                </w:p>
              </w:tc>
              <w:tc>
                <w:tcPr>
                  <w:tcW w:w="335" w:type="pct"/>
                  <w:tcBorders>
                    <w:top w:val="single" w:color="000000" w:sz="4" w:space="0"/>
                    <w:left w:val="single" w:color="000000" w:sz="4" w:space="0"/>
                    <w:bottom w:val="single" w:color="000000" w:sz="4" w:space="0"/>
                    <w:right w:val="single" w:color="000000" w:sz="4" w:space="0"/>
                  </w:tcBorders>
                  <w:vAlign w:val="center"/>
                </w:tcPr>
                <w:p w14:paraId="1078A836">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245</w:t>
                  </w:r>
                </w:p>
              </w:tc>
              <w:tc>
                <w:tcPr>
                  <w:tcW w:w="341" w:type="pct"/>
                  <w:tcBorders>
                    <w:top w:val="single" w:color="000000" w:sz="4" w:space="0"/>
                    <w:left w:val="single" w:color="000000" w:sz="4" w:space="0"/>
                    <w:bottom w:val="single" w:color="000000" w:sz="4" w:space="0"/>
                    <w:right w:val="single" w:color="000000" w:sz="4" w:space="0"/>
                  </w:tcBorders>
                  <w:vAlign w:val="center"/>
                </w:tcPr>
                <w:p w14:paraId="536E8ACC">
                  <w:pPr>
                    <w:widowControl/>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36</w:t>
                  </w:r>
                </w:p>
              </w:tc>
              <w:tc>
                <w:tcPr>
                  <w:tcW w:w="334" w:type="pct"/>
                  <w:tcBorders>
                    <w:top w:val="single" w:color="000000" w:sz="4" w:space="0"/>
                    <w:left w:val="single" w:color="000000" w:sz="4" w:space="0"/>
                    <w:bottom w:val="single" w:color="000000" w:sz="4" w:space="0"/>
                    <w:right w:val="single" w:color="000000" w:sz="4" w:space="0"/>
                  </w:tcBorders>
                  <w:vAlign w:val="center"/>
                </w:tcPr>
                <w:p w14:paraId="64EB740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250</w:t>
                  </w:r>
                </w:p>
              </w:tc>
              <w:tc>
                <w:tcPr>
                  <w:tcW w:w="321" w:type="pct"/>
                  <w:tcBorders>
                    <w:top w:val="single" w:color="000000" w:sz="4" w:space="0"/>
                    <w:left w:val="single" w:color="000000" w:sz="4" w:space="0"/>
                    <w:bottom w:val="single" w:color="000000" w:sz="4" w:space="0"/>
                    <w:right w:val="single" w:color="000000" w:sz="4" w:space="0"/>
                  </w:tcBorders>
                  <w:vAlign w:val="center"/>
                </w:tcPr>
                <w:p w14:paraId="1CDA8B06">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450</w:t>
                  </w:r>
                </w:p>
              </w:tc>
              <w:tc>
                <w:tcPr>
                  <w:tcW w:w="238" w:type="pct"/>
                  <w:tcBorders>
                    <w:top w:val="single" w:color="000000" w:sz="4" w:space="0"/>
                    <w:left w:val="single" w:color="000000" w:sz="4" w:space="0"/>
                    <w:bottom w:val="single" w:color="000000" w:sz="4" w:space="0"/>
                    <w:right w:val="single" w:color="000000" w:sz="4" w:space="0"/>
                  </w:tcBorders>
                  <w:vAlign w:val="center"/>
                </w:tcPr>
                <w:p w14:paraId="7ED09067">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58419994">
                  <w:pPr>
                    <w:widowControl/>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59</w:t>
                  </w:r>
                </w:p>
              </w:tc>
              <w:tc>
                <w:tcPr>
                  <w:tcW w:w="314" w:type="pct"/>
                  <w:tcBorders>
                    <w:top w:val="single" w:color="000000" w:sz="4" w:space="0"/>
                    <w:left w:val="single" w:color="000000" w:sz="4" w:space="0"/>
                    <w:bottom w:val="single" w:color="000000" w:sz="4" w:space="0"/>
                    <w:right w:val="single" w:color="000000" w:sz="4" w:space="0"/>
                  </w:tcBorders>
                  <w:vAlign w:val="center"/>
                </w:tcPr>
                <w:p w14:paraId="2A1EB7E2">
                  <w:pPr>
                    <w:widowControl/>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25</w:t>
                  </w:r>
                  <w:r>
                    <w:rPr>
                      <w:rFonts w:hint="default" w:ascii="Times New Roman" w:hAnsi="Times New Roman" w:cs="Times New Roman"/>
                      <w:color w:val="auto"/>
                      <w:szCs w:val="21"/>
                      <w:highlight w:val="none"/>
                    </w:rPr>
                    <w:t>5</w:t>
                  </w:r>
                </w:p>
              </w:tc>
              <w:tc>
                <w:tcPr>
                  <w:tcW w:w="334" w:type="pct"/>
                  <w:tcBorders>
                    <w:top w:val="single" w:color="000000" w:sz="4" w:space="0"/>
                    <w:left w:val="single" w:color="000000" w:sz="4" w:space="0"/>
                    <w:bottom w:val="single" w:color="000000" w:sz="4" w:space="0"/>
                    <w:right w:val="single" w:color="000000" w:sz="4" w:space="0"/>
                  </w:tcBorders>
                  <w:vAlign w:val="center"/>
                </w:tcPr>
                <w:p w14:paraId="0A3823D6">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245</w:t>
                  </w:r>
                </w:p>
              </w:tc>
              <w:tc>
                <w:tcPr>
                  <w:tcW w:w="348" w:type="pct"/>
                  <w:tcBorders>
                    <w:top w:val="single" w:color="000000" w:sz="4" w:space="0"/>
                    <w:left w:val="single" w:color="000000" w:sz="4" w:space="0"/>
                    <w:bottom w:val="single" w:color="000000" w:sz="4" w:space="0"/>
                    <w:right w:val="single" w:color="000000" w:sz="4" w:space="0"/>
                  </w:tcBorders>
                  <w:vAlign w:val="center"/>
                </w:tcPr>
                <w:p w14:paraId="22B3BC66">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450</w:t>
                  </w:r>
                </w:p>
              </w:tc>
              <w:tc>
                <w:tcPr>
                  <w:tcW w:w="226" w:type="pct"/>
                  <w:tcBorders>
                    <w:top w:val="single" w:color="000000" w:sz="4" w:space="0"/>
                    <w:left w:val="single" w:color="000000" w:sz="4" w:space="0"/>
                    <w:bottom w:val="single" w:color="000000" w:sz="4" w:space="0"/>
                    <w:right w:val="single" w:color="000000" w:sz="4" w:space="0"/>
                  </w:tcBorders>
                  <w:vAlign w:val="center"/>
                </w:tcPr>
                <w:p w14:paraId="2AE88877">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79DA3818">
                  <w:pPr>
                    <w:widowControl/>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64</w:t>
                  </w:r>
                </w:p>
              </w:tc>
              <w:tc>
                <w:tcPr>
                  <w:tcW w:w="314" w:type="pct"/>
                  <w:tcBorders>
                    <w:top w:val="single" w:color="000000" w:sz="4" w:space="0"/>
                    <w:left w:val="single" w:color="000000" w:sz="4" w:space="0"/>
                    <w:bottom w:val="single" w:color="000000" w:sz="4" w:space="0"/>
                    <w:right w:val="single" w:color="000000" w:sz="4" w:space="0"/>
                  </w:tcBorders>
                  <w:vAlign w:val="center"/>
                </w:tcPr>
                <w:p w14:paraId="71E1F110">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242</w:t>
                  </w:r>
                </w:p>
              </w:tc>
              <w:tc>
                <w:tcPr>
                  <w:tcW w:w="304" w:type="pct"/>
                  <w:tcBorders>
                    <w:top w:val="single" w:color="000000" w:sz="4" w:space="0"/>
                    <w:left w:val="single" w:color="000000" w:sz="4" w:space="0"/>
                    <w:bottom w:val="single" w:color="000000" w:sz="4" w:space="0"/>
                    <w:right w:val="single" w:color="000000" w:sz="4" w:space="0"/>
                  </w:tcBorders>
                  <w:vAlign w:val="center"/>
                </w:tcPr>
                <w:p w14:paraId="1BC45B7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258</w:t>
                  </w:r>
                </w:p>
              </w:tc>
              <w:tc>
                <w:tcPr>
                  <w:tcW w:w="301" w:type="pct"/>
                  <w:tcBorders>
                    <w:top w:val="single" w:color="000000" w:sz="4" w:space="0"/>
                    <w:left w:val="single" w:color="000000" w:sz="4" w:space="0"/>
                    <w:bottom w:val="single" w:color="000000" w:sz="4" w:space="0"/>
                    <w:right w:val="single" w:color="000000" w:sz="4" w:space="0"/>
                  </w:tcBorders>
                  <w:vAlign w:val="center"/>
                </w:tcPr>
                <w:p w14:paraId="77C90DE1">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450</w:t>
                  </w:r>
                </w:p>
              </w:tc>
              <w:tc>
                <w:tcPr>
                  <w:tcW w:w="236" w:type="pct"/>
                  <w:tcBorders>
                    <w:top w:val="single" w:color="000000" w:sz="4" w:space="0"/>
                    <w:left w:val="single" w:color="000000" w:sz="4" w:space="0"/>
                    <w:bottom w:val="single" w:color="000000" w:sz="4" w:space="0"/>
                    <w:right w:val="single" w:color="000000" w:sz="4" w:space="0"/>
                  </w:tcBorders>
                  <w:vAlign w:val="center"/>
                </w:tcPr>
                <w:p w14:paraId="2FEF7F0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D16FAFB">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56EA3CC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溶解性总固体</w:t>
                  </w:r>
                </w:p>
              </w:tc>
              <w:tc>
                <w:tcPr>
                  <w:tcW w:w="335" w:type="pct"/>
                  <w:tcBorders>
                    <w:top w:val="single" w:color="000000" w:sz="4" w:space="0"/>
                    <w:left w:val="single" w:color="000000" w:sz="4" w:space="0"/>
                    <w:bottom w:val="single" w:color="000000" w:sz="4" w:space="0"/>
                    <w:right w:val="single" w:color="000000" w:sz="4" w:space="0"/>
                  </w:tcBorders>
                  <w:vAlign w:val="center"/>
                </w:tcPr>
                <w:p w14:paraId="494DE02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350</w:t>
                  </w:r>
                </w:p>
              </w:tc>
              <w:tc>
                <w:tcPr>
                  <w:tcW w:w="341" w:type="pct"/>
                  <w:tcBorders>
                    <w:top w:val="single" w:color="000000" w:sz="4" w:space="0"/>
                    <w:left w:val="single" w:color="000000" w:sz="4" w:space="0"/>
                    <w:bottom w:val="single" w:color="000000" w:sz="4" w:space="0"/>
                    <w:right w:val="single" w:color="000000" w:sz="4" w:space="0"/>
                  </w:tcBorders>
                  <w:vAlign w:val="center"/>
                </w:tcPr>
                <w:p w14:paraId="0004ECC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382</w:t>
                  </w:r>
                </w:p>
              </w:tc>
              <w:tc>
                <w:tcPr>
                  <w:tcW w:w="334" w:type="pct"/>
                  <w:tcBorders>
                    <w:top w:val="single" w:color="000000" w:sz="4" w:space="0"/>
                    <w:left w:val="single" w:color="000000" w:sz="4" w:space="0"/>
                    <w:bottom w:val="single" w:color="000000" w:sz="4" w:space="0"/>
                    <w:right w:val="single" w:color="000000" w:sz="4" w:space="0"/>
                  </w:tcBorders>
                  <w:vAlign w:val="center"/>
                </w:tcPr>
                <w:p w14:paraId="15B210D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361</w:t>
                  </w:r>
                </w:p>
              </w:tc>
              <w:tc>
                <w:tcPr>
                  <w:tcW w:w="321" w:type="pct"/>
                  <w:tcBorders>
                    <w:top w:val="single" w:color="000000" w:sz="4" w:space="0"/>
                    <w:left w:val="single" w:color="000000" w:sz="4" w:space="0"/>
                    <w:bottom w:val="single" w:color="000000" w:sz="4" w:space="0"/>
                    <w:right w:val="single" w:color="000000" w:sz="4" w:space="0"/>
                  </w:tcBorders>
                  <w:vAlign w:val="center"/>
                </w:tcPr>
                <w:p w14:paraId="75B565FE">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1000</w:t>
                  </w:r>
                </w:p>
              </w:tc>
              <w:tc>
                <w:tcPr>
                  <w:tcW w:w="238" w:type="pct"/>
                  <w:tcBorders>
                    <w:top w:val="single" w:color="000000" w:sz="4" w:space="0"/>
                    <w:left w:val="single" w:color="000000" w:sz="4" w:space="0"/>
                    <w:bottom w:val="single" w:color="000000" w:sz="4" w:space="0"/>
                    <w:right w:val="single" w:color="000000" w:sz="4" w:space="0"/>
                  </w:tcBorders>
                  <w:vAlign w:val="center"/>
                </w:tcPr>
                <w:p w14:paraId="250BCD5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1F648B57">
                  <w:pPr>
                    <w:widowControl/>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75</w:t>
                  </w:r>
                </w:p>
              </w:tc>
              <w:tc>
                <w:tcPr>
                  <w:tcW w:w="314" w:type="pct"/>
                  <w:tcBorders>
                    <w:top w:val="single" w:color="000000" w:sz="4" w:space="0"/>
                    <w:left w:val="single" w:color="000000" w:sz="4" w:space="0"/>
                    <w:bottom w:val="single" w:color="000000" w:sz="4" w:space="0"/>
                    <w:right w:val="single" w:color="000000" w:sz="4" w:space="0"/>
                  </w:tcBorders>
                  <w:vAlign w:val="center"/>
                </w:tcPr>
                <w:p w14:paraId="6187D6AC">
                  <w:pPr>
                    <w:widowControl/>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40</w:t>
                  </w:r>
                </w:p>
              </w:tc>
              <w:tc>
                <w:tcPr>
                  <w:tcW w:w="334" w:type="pct"/>
                  <w:tcBorders>
                    <w:top w:val="single" w:color="000000" w:sz="4" w:space="0"/>
                    <w:left w:val="single" w:color="000000" w:sz="4" w:space="0"/>
                    <w:bottom w:val="single" w:color="000000" w:sz="4" w:space="0"/>
                    <w:right w:val="single" w:color="000000" w:sz="4" w:space="0"/>
                  </w:tcBorders>
                  <w:vAlign w:val="center"/>
                </w:tcPr>
                <w:p w14:paraId="3EBF525F">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350</w:t>
                  </w:r>
                </w:p>
              </w:tc>
              <w:tc>
                <w:tcPr>
                  <w:tcW w:w="348" w:type="pct"/>
                  <w:tcBorders>
                    <w:top w:val="single" w:color="000000" w:sz="4" w:space="0"/>
                    <w:left w:val="single" w:color="000000" w:sz="4" w:space="0"/>
                    <w:bottom w:val="single" w:color="000000" w:sz="4" w:space="0"/>
                    <w:right w:val="single" w:color="000000" w:sz="4" w:space="0"/>
                  </w:tcBorders>
                  <w:vAlign w:val="center"/>
                </w:tcPr>
                <w:p w14:paraId="72574541">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1000</w:t>
                  </w:r>
                </w:p>
              </w:tc>
              <w:tc>
                <w:tcPr>
                  <w:tcW w:w="226" w:type="pct"/>
                  <w:tcBorders>
                    <w:top w:val="single" w:color="000000" w:sz="4" w:space="0"/>
                    <w:left w:val="single" w:color="000000" w:sz="4" w:space="0"/>
                    <w:bottom w:val="single" w:color="000000" w:sz="4" w:space="0"/>
                    <w:right w:val="single" w:color="000000" w:sz="4" w:space="0"/>
                  </w:tcBorders>
                  <w:vAlign w:val="center"/>
                </w:tcPr>
                <w:p w14:paraId="3E44C58D">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58372FC2">
                  <w:pPr>
                    <w:widowControl/>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01</w:t>
                  </w:r>
                </w:p>
              </w:tc>
              <w:tc>
                <w:tcPr>
                  <w:tcW w:w="314" w:type="pct"/>
                  <w:tcBorders>
                    <w:top w:val="single" w:color="000000" w:sz="4" w:space="0"/>
                    <w:left w:val="single" w:color="000000" w:sz="4" w:space="0"/>
                    <w:bottom w:val="single" w:color="000000" w:sz="4" w:space="0"/>
                    <w:right w:val="single" w:color="000000" w:sz="4" w:space="0"/>
                  </w:tcBorders>
                  <w:vAlign w:val="center"/>
                </w:tcPr>
                <w:p w14:paraId="7909B3F6">
                  <w:pPr>
                    <w:widowControl/>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16</w:t>
                  </w:r>
                </w:p>
              </w:tc>
              <w:tc>
                <w:tcPr>
                  <w:tcW w:w="304" w:type="pct"/>
                  <w:tcBorders>
                    <w:top w:val="single" w:color="000000" w:sz="4" w:space="0"/>
                    <w:left w:val="single" w:color="000000" w:sz="4" w:space="0"/>
                    <w:bottom w:val="single" w:color="000000" w:sz="4" w:space="0"/>
                    <w:right w:val="single" w:color="000000" w:sz="4" w:space="0"/>
                  </w:tcBorders>
                  <w:vAlign w:val="center"/>
                </w:tcPr>
                <w:p w14:paraId="40D68ED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330</w:t>
                  </w:r>
                </w:p>
              </w:tc>
              <w:tc>
                <w:tcPr>
                  <w:tcW w:w="301" w:type="pct"/>
                  <w:tcBorders>
                    <w:top w:val="single" w:color="000000" w:sz="4" w:space="0"/>
                    <w:left w:val="single" w:color="000000" w:sz="4" w:space="0"/>
                    <w:bottom w:val="single" w:color="000000" w:sz="4" w:space="0"/>
                    <w:right w:val="single" w:color="000000" w:sz="4" w:space="0"/>
                  </w:tcBorders>
                  <w:vAlign w:val="center"/>
                </w:tcPr>
                <w:p w14:paraId="767DD847">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1000</w:t>
                  </w:r>
                </w:p>
              </w:tc>
              <w:tc>
                <w:tcPr>
                  <w:tcW w:w="236" w:type="pct"/>
                  <w:tcBorders>
                    <w:top w:val="single" w:color="000000" w:sz="4" w:space="0"/>
                    <w:left w:val="single" w:color="000000" w:sz="4" w:space="0"/>
                    <w:bottom w:val="single" w:color="000000" w:sz="4" w:space="0"/>
                    <w:right w:val="single" w:color="000000" w:sz="4" w:space="0"/>
                  </w:tcBorders>
                  <w:vAlign w:val="center"/>
                </w:tcPr>
                <w:p w14:paraId="00EAD9A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0BA033E">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69862128">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高锰酸盐指数</w:t>
                  </w:r>
                </w:p>
              </w:tc>
              <w:tc>
                <w:tcPr>
                  <w:tcW w:w="335" w:type="pct"/>
                  <w:tcBorders>
                    <w:top w:val="single" w:color="000000" w:sz="4" w:space="0"/>
                    <w:left w:val="single" w:color="000000" w:sz="4" w:space="0"/>
                    <w:bottom w:val="single" w:color="000000" w:sz="4" w:space="0"/>
                    <w:right w:val="single" w:color="000000" w:sz="4" w:space="0"/>
                  </w:tcBorders>
                  <w:vAlign w:val="center"/>
                </w:tcPr>
                <w:p w14:paraId="6379D02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w:t>
                  </w:r>
                </w:p>
              </w:tc>
              <w:tc>
                <w:tcPr>
                  <w:tcW w:w="341" w:type="pct"/>
                  <w:tcBorders>
                    <w:top w:val="single" w:color="000000" w:sz="4" w:space="0"/>
                    <w:left w:val="single" w:color="000000" w:sz="4" w:space="0"/>
                    <w:bottom w:val="single" w:color="000000" w:sz="4" w:space="0"/>
                    <w:right w:val="single" w:color="000000" w:sz="4" w:space="0"/>
                  </w:tcBorders>
                  <w:vAlign w:val="center"/>
                </w:tcPr>
                <w:p w14:paraId="71F1ED6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w:t>
                  </w:r>
                </w:p>
              </w:tc>
              <w:tc>
                <w:tcPr>
                  <w:tcW w:w="334" w:type="pct"/>
                  <w:tcBorders>
                    <w:top w:val="single" w:color="000000" w:sz="4" w:space="0"/>
                    <w:left w:val="single" w:color="000000" w:sz="4" w:space="0"/>
                    <w:bottom w:val="single" w:color="000000" w:sz="4" w:space="0"/>
                    <w:right w:val="single" w:color="000000" w:sz="4" w:space="0"/>
                  </w:tcBorders>
                  <w:vAlign w:val="center"/>
                </w:tcPr>
                <w:p w14:paraId="5AA7941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w:t>
                  </w:r>
                </w:p>
              </w:tc>
              <w:tc>
                <w:tcPr>
                  <w:tcW w:w="321" w:type="pct"/>
                  <w:tcBorders>
                    <w:top w:val="single" w:color="000000" w:sz="4" w:space="0"/>
                    <w:left w:val="single" w:color="000000" w:sz="4" w:space="0"/>
                    <w:bottom w:val="single" w:color="000000" w:sz="4" w:space="0"/>
                    <w:right w:val="single" w:color="000000" w:sz="4" w:space="0"/>
                  </w:tcBorders>
                  <w:vAlign w:val="center"/>
                </w:tcPr>
                <w:p w14:paraId="6A2AF873">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3.0</w:t>
                  </w:r>
                </w:p>
              </w:tc>
              <w:tc>
                <w:tcPr>
                  <w:tcW w:w="238" w:type="pct"/>
                  <w:tcBorders>
                    <w:top w:val="single" w:color="000000" w:sz="4" w:space="0"/>
                    <w:left w:val="single" w:color="000000" w:sz="4" w:space="0"/>
                    <w:bottom w:val="single" w:color="000000" w:sz="4" w:space="0"/>
                    <w:right w:val="single" w:color="000000" w:sz="4" w:space="0"/>
                  </w:tcBorders>
                  <w:vAlign w:val="center"/>
                </w:tcPr>
                <w:p w14:paraId="7006962B">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36AADE3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0.7</w:t>
                  </w:r>
                </w:p>
              </w:tc>
              <w:tc>
                <w:tcPr>
                  <w:tcW w:w="314" w:type="pct"/>
                  <w:tcBorders>
                    <w:top w:val="single" w:color="000000" w:sz="4" w:space="0"/>
                    <w:left w:val="single" w:color="000000" w:sz="4" w:space="0"/>
                    <w:bottom w:val="single" w:color="000000" w:sz="4" w:space="0"/>
                    <w:right w:val="single" w:color="000000" w:sz="4" w:space="0"/>
                  </w:tcBorders>
                  <w:vAlign w:val="center"/>
                </w:tcPr>
                <w:p w14:paraId="43F414B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0.8</w:t>
                  </w:r>
                </w:p>
              </w:tc>
              <w:tc>
                <w:tcPr>
                  <w:tcW w:w="334" w:type="pct"/>
                  <w:tcBorders>
                    <w:top w:val="single" w:color="000000" w:sz="4" w:space="0"/>
                    <w:left w:val="single" w:color="000000" w:sz="4" w:space="0"/>
                    <w:bottom w:val="single" w:color="000000" w:sz="4" w:space="0"/>
                    <w:right w:val="single" w:color="000000" w:sz="4" w:space="0"/>
                  </w:tcBorders>
                  <w:vAlign w:val="center"/>
                </w:tcPr>
                <w:p w14:paraId="4E2C20F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0.8</w:t>
                  </w:r>
                </w:p>
              </w:tc>
              <w:tc>
                <w:tcPr>
                  <w:tcW w:w="348" w:type="pct"/>
                  <w:tcBorders>
                    <w:top w:val="single" w:color="000000" w:sz="4" w:space="0"/>
                    <w:left w:val="single" w:color="000000" w:sz="4" w:space="0"/>
                    <w:bottom w:val="single" w:color="000000" w:sz="4" w:space="0"/>
                    <w:right w:val="single" w:color="000000" w:sz="4" w:space="0"/>
                  </w:tcBorders>
                  <w:vAlign w:val="center"/>
                </w:tcPr>
                <w:p w14:paraId="6266A69B">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3.0</w:t>
                  </w:r>
                </w:p>
              </w:tc>
              <w:tc>
                <w:tcPr>
                  <w:tcW w:w="226" w:type="pct"/>
                  <w:tcBorders>
                    <w:top w:val="single" w:color="000000" w:sz="4" w:space="0"/>
                    <w:left w:val="single" w:color="000000" w:sz="4" w:space="0"/>
                    <w:bottom w:val="single" w:color="000000" w:sz="4" w:space="0"/>
                    <w:right w:val="single" w:color="000000" w:sz="4" w:space="0"/>
                  </w:tcBorders>
                  <w:vAlign w:val="center"/>
                </w:tcPr>
                <w:p w14:paraId="6613C9F1">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5CCD087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0.8</w:t>
                  </w:r>
                </w:p>
              </w:tc>
              <w:tc>
                <w:tcPr>
                  <w:tcW w:w="314" w:type="pct"/>
                  <w:tcBorders>
                    <w:top w:val="single" w:color="000000" w:sz="4" w:space="0"/>
                    <w:left w:val="single" w:color="000000" w:sz="4" w:space="0"/>
                    <w:bottom w:val="single" w:color="000000" w:sz="4" w:space="0"/>
                    <w:right w:val="single" w:color="000000" w:sz="4" w:space="0"/>
                  </w:tcBorders>
                  <w:vAlign w:val="center"/>
                </w:tcPr>
                <w:p w14:paraId="507AB05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0.8</w:t>
                  </w:r>
                </w:p>
              </w:tc>
              <w:tc>
                <w:tcPr>
                  <w:tcW w:w="304" w:type="pct"/>
                  <w:tcBorders>
                    <w:top w:val="single" w:color="000000" w:sz="4" w:space="0"/>
                    <w:left w:val="single" w:color="000000" w:sz="4" w:space="0"/>
                    <w:bottom w:val="single" w:color="000000" w:sz="4" w:space="0"/>
                    <w:right w:val="single" w:color="000000" w:sz="4" w:space="0"/>
                  </w:tcBorders>
                  <w:vAlign w:val="center"/>
                </w:tcPr>
                <w:p w14:paraId="426A6CD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0.7</w:t>
                  </w:r>
                </w:p>
              </w:tc>
              <w:tc>
                <w:tcPr>
                  <w:tcW w:w="301" w:type="pct"/>
                  <w:tcBorders>
                    <w:top w:val="single" w:color="000000" w:sz="4" w:space="0"/>
                    <w:left w:val="single" w:color="000000" w:sz="4" w:space="0"/>
                    <w:bottom w:val="single" w:color="000000" w:sz="4" w:space="0"/>
                    <w:right w:val="single" w:color="000000" w:sz="4" w:space="0"/>
                  </w:tcBorders>
                  <w:vAlign w:val="center"/>
                </w:tcPr>
                <w:p w14:paraId="68008B79">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3.0</w:t>
                  </w:r>
                </w:p>
              </w:tc>
              <w:tc>
                <w:tcPr>
                  <w:tcW w:w="236" w:type="pct"/>
                  <w:tcBorders>
                    <w:top w:val="single" w:color="000000" w:sz="4" w:space="0"/>
                    <w:left w:val="single" w:color="000000" w:sz="4" w:space="0"/>
                    <w:bottom w:val="single" w:color="000000" w:sz="4" w:space="0"/>
                    <w:right w:val="single" w:color="000000" w:sz="4" w:space="0"/>
                  </w:tcBorders>
                  <w:vAlign w:val="center"/>
                </w:tcPr>
                <w:p w14:paraId="3C95E9B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32B1E43">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26F6AF5E">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挥发酚</w:t>
                  </w:r>
                </w:p>
              </w:tc>
              <w:tc>
                <w:tcPr>
                  <w:tcW w:w="335" w:type="pct"/>
                  <w:tcBorders>
                    <w:top w:val="single" w:color="000000" w:sz="4" w:space="0"/>
                    <w:left w:val="single" w:color="000000" w:sz="4" w:space="0"/>
                    <w:bottom w:val="single" w:color="000000" w:sz="4" w:space="0"/>
                    <w:right w:val="single" w:color="000000" w:sz="4" w:space="0"/>
                  </w:tcBorders>
                  <w:vAlign w:val="center"/>
                </w:tcPr>
                <w:p w14:paraId="4B89C72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41" w:type="pct"/>
                  <w:tcBorders>
                    <w:top w:val="single" w:color="000000" w:sz="4" w:space="0"/>
                    <w:left w:val="single" w:color="000000" w:sz="4" w:space="0"/>
                    <w:bottom w:val="single" w:color="000000" w:sz="4" w:space="0"/>
                    <w:right w:val="single" w:color="000000" w:sz="4" w:space="0"/>
                  </w:tcBorders>
                  <w:vAlign w:val="center"/>
                </w:tcPr>
                <w:p w14:paraId="21D331E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34" w:type="pct"/>
                  <w:tcBorders>
                    <w:top w:val="single" w:color="000000" w:sz="4" w:space="0"/>
                    <w:left w:val="single" w:color="000000" w:sz="4" w:space="0"/>
                    <w:bottom w:val="single" w:color="000000" w:sz="4" w:space="0"/>
                    <w:right w:val="single" w:color="000000" w:sz="4" w:space="0"/>
                  </w:tcBorders>
                  <w:vAlign w:val="center"/>
                </w:tcPr>
                <w:p w14:paraId="4350D00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21" w:type="pct"/>
                  <w:tcBorders>
                    <w:top w:val="single" w:color="000000" w:sz="4" w:space="0"/>
                    <w:left w:val="single" w:color="000000" w:sz="4" w:space="0"/>
                    <w:bottom w:val="single" w:color="000000" w:sz="4" w:space="0"/>
                    <w:right w:val="single" w:color="000000" w:sz="4" w:space="0"/>
                  </w:tcBorders>
                  <w:vAlign w:val="center"/>
                </w:tcPr>
                <w:p w14:paraId="6ECFB2E2">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eastAsia="zh-CN"/>
                    </w:rPr>
                    <w:t>0</w:t>
                  </w:r>
                  <w:r>
                    <w:rPr>
                      <w:rFonts w:hint="default" w:ascii="Times New Roman" w:hAnsi="Times New Roman" w:cs="Times New Roman"/>
                      <w:color w:val="auto"/>
                      <w:sz w:val="21"/>
                      <w:szCs w:val="21"/>
                      <w:highlight w:val="none"/>
                    </w:rPr>
                    <w:t>02</w:t>
                  </w:r>
                </w:p>
              </w:tc>
              <w:tc>
                <w:tcPr>
                  <w:tcW w:w="238" w:type="pct"/>
                  <w:tcBorders>
                    <w:top w:val="single" w:color="000000" w:sz="4" w:space="0"/>
                    <w:left w:val="single" w:color="000000" w:sz="4" w:space="0"/>
                    <w:bottom w:val="single" w:color="000000" w:sz="4" w:space="0"/>
                    <w:right w:val="single" w:color="000000" w:sz="4" w:space="0"/>
                  </w:tcBorders>
                  <w:vAlign w:val="center"/>
                </w:tcPr>
                <w:p w14:paraId="7D00A766">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0F2CA8C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14" w:type="pct"/>
                  <w:tcBorders>
                    <w:top w:val="single" w:color="000000" w:sz="4" w:space="0"/>
                    <w:left w:val="single" w:color="000000" w:sz="4" w:space="0"/>
                    <w:bottom w:val="single" w:color="000000" w:sz="4" w:space="0"/>
                    <w:right w:val="single" w:color="000000" w:sz="4" w:space="0"/>
                  </w:tcBorders>
                  <w:vAlign w:val="center"/>
                </w:tcPr>
                <w:p w14:paraId="4E74B38F">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34" w:type="pct"/>
                  <w:tcBorders>
                    <w:top w:val="single" w:color="000000" w:sz="4" w:space="0"/>
                    <w:left w:val="single" w:color="000000" w:sz="4" w:space="0"/>
                    <w:bottom w:val="single" w:color="000000" w:sz="4" w:space="0"/>
                    <w:right w:val="single" w:color="000000" w:sz="4" w:space="0"/>
                  </w:tcBorders>
                  <w:vAlign w:val="center"/>
                </w:tcPr>
                <w:p w14:paraId="0BB8AF1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48" w:type="pct"/>
                  <w:tcBorders>
                    <w:top w:val="single" w:color="000000" w:sz="4" w:space="0"/>
                    <w:left w:val="single" w:color="000000" w:sz="4" w:space="0"/>
                    <w:bottom w:val="single" w:color="000000" w:sz="4" w:space="0"/>
                    <w:right w:val="single" w:color="000000" w:sz="4" w:space="0"/>
                  </w:tcBorders>
                  <w:vAlign w:val="center"/>
                </w:tcPr>
                <w:p w14:paraId="08ADEF29">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eastAsia="zh-CN"/>
                    </w:rPr>
                    <w:t>0</w:t>
                  </w:r>
                  <w:r>
                    <w:rPr>
                      <w:rFonts w:hint="default" w:ascii="Times New Roman" w:hAnsi="Times New Roman" w:cs="Times New Roman"/>
                      <w:color w:val="auto"/>
                      <w:sz w:val="21"/>
                      <w:szCs w:val="21"/>
                      <w:highlight w:val="none"/>
                    </w:rPr>
                    <w:t>02</w:t>
                  </w:r>
                </w:p>
              </w:tc>
              <w:tc>
                <w:tcPr>
                  <w:tcW w:w="226" w:type="pct"/>
                  <w:tcBorders>
                    <w:top w:val="single" w:color="000000" w:sz="4" w:space="0"/>
                    <w:left w:val="single" w:color="000000" w:sz="4" w:space="0"/>
                    <w:bottom w:val="single" w:color="000000" w:sz="4" w:space="0"/>
                    <w:right w:val="single" w:color="000000" w:sz="4" w:space="0"/>
                  </w:tcBorders>
                  <w:vAlign w:val="center"/>
                </w:tcPr>
                <w:p w14:paraId="67BEB408">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4163FFB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14" w:type="pct"/>
                  <w:tcBorders>
                    <w:top w:val="single" w:color="000000" w:sz="4" w:space="0"/>
                    <w:left w:val="single" w:color="000000" w:sz="4" w:space="0"/>
                    <w:bottom w:val="single" w:color="000000" w:sz="4" w:space="0"/>
                    <w:right w:val="single" w:color="000000" w:sz="4" w:space="0"/>
                  </w:tcBorders>
                  <w:vAlign w:val="center"/>
                </w:tcPr>
                <w:p w14:paraId="61E03A3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04" w:type="pct"/>
                  <w:tcBorders>
                    <w:top w:val="single" w:color="000000" w:sz="4" w:space="0"/>
                    <w:left w:val="single" w:color="000000" w:sz="4" w:space="0"/>
                    <w:bottom w:val="single" w:color="000000" w:sz="4" w:space="0"/>
                    <w:right w:val="single" w:color="000000" w:sz="4" w:space="0"/>
                  </w:tcBorders>
                  <w:vAlign w:val="center"/>
                </w:tcPr>
                <w:p w14:paraId="395F63B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01" w:type="pct"/>
                  <w:tcBorders>
                    <w:top w:val="single" w:color="000000" w:sz="4" w:space="0"/>
                    <w:left w:val="single" w:color="000000" w:sz="4" w:space="0"/>
                    <w:bottom w:val="single" w:color="000000" w:sz="4" w:space="0"/>
                    <w:right w:val="single" w:color="000000" w:sz="4" w:space="0"/>
                  </w:tcBorders>
                  <w:vAlign w:val="center"/>
                </w:tcPr>
                <w:p w14:paraId="4FD179DB">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eastAsia="zh-CN"/>
                    </w:rPr>
                    <w:t>0</w:t>
                  </w:r>
                  <w:r>
                    <w:rPr>
                      <w:rFonts w:hint="default" w:ascii="Times New Roman" w:hAnsi="Times New Roman" w:cs="Times New Roman"/>
                      <w:color w:val="auto"/>
                      <w:sz w:val="21"/>
                      <w:szCs w:val="21"/>
                      <w:highlight w:val="none"/>
                    </w:rPr>
                    <w:t>02</w:t>
                  </w:r>
                </w:p>
              </w:tc>
              <w:tc>
                <w:tcPr>
                  <w:tcW w:w="236" w:type="pct"/>
                  <w:tcBorders>
                    <w:top w:val="single" w:color="000000" w:sz="4" w:space="0"/>
                    <w:left w:val="single" w:color="000000" w:sz="4" w:space="0"/>
                    <w:bottom w:val="single" w:color="000000" w:sz="4" w:space="0"/>
                    <w:right w:val="single" w:color="000000" w:sz="4" w:space="0"/>
                  </w:tcBorders>
                  <w:vAlign w:val="center"/>
                </w:tcPr>
                <w:p w14:paraId="3295767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5E35B32">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474ED5F3">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氰化物</w:t>
                  </w:r>
                </w:p>
              </w:tc>
              <w:tc>
                <w:tcPr>
                  <w:tcW w:w="335" w:type="pct"/>
                  <w:tcBorders>
                    <w:top w:val="single" w:color="000000" w:sz="4" w:space="0"/>
                    <w:left w:val="single" w:color="000000" w:sz="4" w:space="0"/>
                    <w:bottom w:val="single" w:color="000000" w:sz="4" w:space="0"/>
                    <w:right w:val="single" w:color="000000" w:sz="4" w:space="0"/>
                  </w:tcBorders>
                  <w:vAlign w:val="center"/>
                </w:tcPr>
                <w:p w14:paraId="5C5AF4F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41" w:type="pct"/>
                  <w:tcBorders>
                    <w:top w:val="single" w:color="000000" w:sz="4" w:space="0"/>
                    <w:left w:val="single" w:color="000000" w:sz="4" w:space="0"/>
                    <w:bottom w:val="single" w:color="000000" w:sz="4" w:space="0"/>
                    <w:right w:val="single" w:color="000000" w:sz="4" w:space="0"/>
                  </w:tcBorders>
                  <w:vAlign w:val="center"/>
                </w:tcPr>
                <w:p w14:paraId="30212FB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34" w:type="pct"/>
                  <w:tcBorders>
                    <w:top w:val="single" w:color="000000" w:sz="4" w:space="0"/>
                    <w:left w:val="single" w:color="000000" w:sz="4" w:space="0"/>
                    <w:bottom w:val="single" w:color="000000" w:sz="4" w:space="0"/>
                    <w:right w:val="single" w:color="000000" w:sz="4" w:space="0"/>
                  </w:tcBorders>
                  <w:vAlign w:val="center"/>
                </w:tcPr>
                <w:p w14:paraId="548E7CE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21" w:type="pct"/>
                  <w:tcBorders>
                    <w:top w:val="single" w:color="000000" w:sz="4" w:space="0"/>
                    <w:left w:val="single" w:color="000000" w:sz="4" w:space="0"/>
                    <w:bottom w:val="single" w:color="000000" w:sz="4" w:space="0"/>
                    <w:right w:val="single" w:color="000000" w:sz="4" w:space="0"/>
                  </w:tcBorders>
                  <w:vAlign w:val="center"/>
                </w:tcPr>
                <w:p w14:paraId="72C63F72">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38" w:type="pct"/>
                  <w:tcBorders>
                    <w:top w:val="single" w:color="000000" w:sz="4" w:space="0"/>
                    <w:left w:val="single" w:color="000000" w:sz="4" w:space="0"/>
                    <w:bottom w:val="single" w:color="000000" w:sz="4" w:space="0"/>
                    <w:right w:val="single" w:color="000000" w:sz="4" w:space="0"/>
                  </w:tcBorders>
                  <w:vAlign w:val="center"/>
                </w:tcPr>
                <w:p w14:paraId="58200CDE">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06DAD7B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14" w:type="pct"/>
                  <w:tcBorders>
                    <w:top w:val="single" w:color="000000" w:sz="4" w:space="0"/>
                    <w:left w:val="single" w:color="000000" w:sz="4" w:space="0"/>
                    <w:bottom w:val="single" w:color="000000" w:sz="4" w:space="0"/>
                    <w:right w:val="single" w:color="000000" w:sz="4" w:space="0"/>
                  </w:tcBorders>
                  <w:vAlign w:val="center"/>
                </w:tcPr>
                <w:p w14:paraId="52F853F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34" w:type="pct"/>
                  <w:tcBorders>
                    <w:top w:val="single" w:color="000000" w:sz="4" w:space="0"/>
                    <w:left w:val="single" w:color="000000" w:sz="4" w:space="0"/>
                    <w:bottom w:val="single" w:color="000000" w:sz="4" w:space="0"/>
                    <w:right w:val="single" w:color="000000" w:sz="4" w:space="0"/>
                  </w:tcBorders>
                  <w:vAlign w:val="center"/>
                </w:tcPr>
                <w:p w14:paraId="2BBFA69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48" w:type="pct"/>
                  <w:tcBorders>
                    <w:top w:val="single" w:color="000000" w:sz="4" w:space="0"/>
                    <w:left w:val="single" w:color="000000" w:sz="4" w:space="0"/>
                    <w:bottom w:val="single" w:color="000000" w:sz="4" w:space="0"/>
                    <w:right w:val="single" w:color="000000" w:sz="4" w:space="0"/>
                  </w:tcBorders>
                  <w:vAlign w:val="center"/>
                </w:tcPr>
                <w:p w14:paraId="43C38F05">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26" w:type="pct"/>
                  <w:tcBorders>
                    <w:top w:val="single" w:color="000000" w:sz="4" w:space="0"/>
                    <w:left w:val="single" w:color="000000" w:sz="4" w:space="0"/>
                    <w:bottom w:val="single" w:color="000000" w:sz="4" w:space="0"/>
                    <w:right w:val="single" w:color="000000" w:sz="4" w:space="0"/>
                  </w:tcBorders>
                  <w:vAlign w:val="center"/>
                </w:tcPr>
                <w:p w14:paraId="3ADF7075">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0DBD678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14" w:type="pct"/>
                  <w:tcBorders>
                    <w:top w:val="single" w:color="000000" w:sz="4" w:space="0"/>
                    <w:left w:val="single" w:color="000000" w:sz="4" w:space="0"/>
                    <w:bottom w:val="single" w:color="000000" w:sz="4" w:space="0"/>
                    <w:right w:val="single" w:color="000000" w:sz="4" w:space="0"/>
                  </w:tcBorders>
                  <w:vAlign w:val="center"/>
                </w:tcPr>
                <w:p w14:paraId="19E6FFFF">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04" w:type="pct"/>
                  <w:tcBorders>
                    <w:top w:val="single" w:color="000000" w:sz="4" w:space="0"/>
                    <w:left w:val="single" w:color="000000" w:sz="4" w:space="0"/>
                    <w:bottom w:val="single" w:color="000000" w:sz="4" w:space="0"/>
                    <w:right w:val="single" w:color="000000" w:sz="4" w:space="0"/>
                  </w:tcBorders>
                  <w:vAlign w:val="center"/>
                </w:tcPr>
                <w:p w14:paraId="1198595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01" w:type="pct"/>
                  <w:tcBorders>
                    <w:top w:val="single" w:color="000000" w:sz="4" w:space="0"/>
                    <w:left w:val="single" w:color="000000" w:sz="4" w:space="0"/>
                    <w:bottom w:val="single" w:color="000000" w:sz="4" w:space="0"/>
                    <w:right w:val="single" w:color="000000" w:sz="4" w:space="0"/>
                  </w:tcBorders>
                  <w:vAlign w:val="center"/>
                </w:tcPr>
                <w:p w14:paraId="605EC1F7">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36" w:type="pct"/>
                  <w:tcBorders>
                    <w:top w:val="single" w:color="000000" w:sz="4" w:space="0"/>
                    <w:left w:val="single" w:color="000000" w:sz="4" w:space="0"/>
                    <w:bottom w:val="single" w:color="000000" w:sz="4" w:space="0"/>
                    <w:right w:val="single" w:color="000000" w:sz="4" w:space="0"/>
                  </w:tcBorders>
                  <w:vAlign w:val="center"/>
                </w:tcPr>
                <w:p w14:paraId="71401C2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6AE2BB9">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72A53F38">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铅</w:t>
                  </w:r>
                </w:p>
              </w:tc>
              <w:tc>
                <w:tcPr>
                  <w:tcW w:w="335" w:type="pct"/>
                  <w:tcBorders>
                    <w:top w:val="single" w:color="000000" w:sz="4" w:space="0"/>
                    <w:left w:val="single" w:color="000000" w:sz="4" w:space="0"/>
                    <w:bottom w:val="single" w:color="000000" w:sz="4" w:space="0"/>
                    <w:right w:val="single" w:color="000000" w:sz="4" w:space="0"/>
                  </w:tcBorders>
                  <w:vAlign w:val="center"/>
                </w:tcPr>
                <w:p w14:paraId="717C7AA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41" w:type="pct"/>
                  <w:tcBorders>
                    <w:top w:val="single" w:color="000000" w:sz="4" w:space="0"/>
                    <w:left w:val="single" w:color="000000" w:sz="4" w:space="0"/>
                    <w:bottom w:val="single" w:color="000000" w:sz="4" w:space="0"/>
                    <w:right w:val="single" w:color="000000" w:sz="4" w:space="0"/>
                  </w:tcBorders>
                  <w:vAlign w:val="center"/>
                </w:tcPr>
                <w:p w14:paraId="70F47EF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34" w:type="pct"/>
                  <w:tcBorders>
                    <w:top w:val="single" w:color="000000" w:sz="4" w:space="0"/>
                    <w:left w:val="single" w:color="000000" w:sz="4" w:space="0"/>
                    <w:bottom w:val="single" w:color="000000" w:sz="4" w:space="0"/>
                    <w:right w:val="single" w:color="000000" w:sz="4" w:space="0"/>
                  </w:tcBorders>
                  <w:vAlign w:val="center"/>
                </w:tcPr>
                <w:p w14:paraId="698A66E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21" w:type="pct"/>
                  <w:tcBorders>
                    <w:top w:val="single" w:color="000000" w:sz="4" w:space="0"/>
                    <w:left w:val="single" w:color="000000" w:sz="4" w:space="0"/>
                    <w:bottom w:val="single" w:color="000000" w:sz="4" w:space="0"/>
                    <w:right w:val="single" w:color="000000" w:sz="4" w:space="0"/>
                  </w:tcBorders>
                  <w:vAlign w:val="center"/>
                </w:tcPr>
                <w:p w14:paraId="386ED93B">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0.01</w:t>
                  </w:r>
                </w:p>
              </w:tc>
              <w:tc>
                <w:tcPr>
                  <w:tcW w:w="238" w:type="pct"/>
                  <w:tcBorders>
                    <w:top w:val="single" w:color="000000" w:sz="4" w:space="0"/>
                    <w:left w:val="single" w:color="000000" w:sz="4" w:space="0"/>
                    <w:bottom w:val="single" w:color="000000" w:sz="4" w:space="0"/>
                    <w:right w:val="single" w:color="000000" w:sz="4" w:space="0"/>
                  </w:tcBorders>
                  <w:vAlign w:val="center"/>
                </w:tcPr>
                <w:p w14:paraId="7247D3CC">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49FEBC1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14" w:type="pct"/>
                  <w:tcBorders>
                    <w:top w:val="single" w:color="000000" w:sz="4" w:space="0"/>
                    <w:left w:val="single" w:color="000000" w:sz="4" w:space="0"/>
                    <w:bottom w:val="single" w:color="000000" w:sz="4" w:space="0"/>
                    <w:right w:val="single" w:color="000000" w:sz="4" w:space="0"/>
                  </w:tcBorders>
                  <w:vAlign w:val="center"/>
                </w:tcPr>
                <w:p w14:paraId="5AC73AD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34" w:type="pct"/>
                  <w:tcBorders>
                    <w:top w:val="single" w:color="000000" w:sz="4" w:space="0"/>
                    <w:left w:val="single" w:color="000000" w:sz="4" w:space="0"/>
                    <w:bottom w:val="single" w:color="000000" w:sz="4" w:space="0"/>
                    <w:right w:val="single" w:color="000000" w:sz="4" w:space="0"/>
                  </w:tcBorders>
                  <w:vAlign w:val="center"/>
                </w:tcPr>
                <w:p w14:paraId="366E657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48" w:type="pct"/>
                  <w:tcBorders>
                    <w:top w:val="single" w:color="000000" w:sz="4" w:space="0"/>
                    <w:left w:val="single" w:color="000000" w:sz="4" w:space="0"/>
                    <w:bottom w:val="single" w:color="000000" w:sz="4" w:space="0"/>
                    <w:right w:val="single" w:color="000000" w:sz="4" w:space="0"/>
                  </w:tcBorders>
                  <w:vAlign w:val="center"/>
                </w:tcPr>
                <w:p w14:paraId="63430FD7">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0.01</w:t>
                  </w:r>
                </w:p>
              </w:tc>
              <w:tc>
                <w:tcPr>
                  <w:tcW w:w="226" w:type="pct"/>
                  <w:tcBorders>
                    <w:top w:val="single" w:color="000000" w:sz="4" w:space="0"/>
                    <w:left w:val="single" w:color="000000" w:sz="4" w:space="0"/>
                    <w:bottom w:val="single" w:color="000000" w:sz="4" w:space="0"/>
                    <w:right w:val="single" w:color="000000" w:sz="4" w:space="0"/>
                  </w:tcBorders>
                  <w:vAlign w:val="center"/>
                </w:tcPr>
                <w:p w14:paraId="27DD11E0">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0D68FA9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14" w:type="pct"/>
                  <w:tcBorders>
                    <w:top w:val="single" w:color="000000" w:sz="4" w:space="0"/>
                    <w:left w:val="single" w:color="000000" w:sz="4" w:space="0"/>
                    <w:bottom w:val="single" w:color="000000" w:sz="4" w:space="0"/>
                    <w:right w:val="single" w:color="000000" w:sz="4" w:space="0"/>
                  </w:tcBorders>
                  <w:vAlign w:val="center"/>
                </w:tcPr>
                <w:p w14:paraId="3CFA0E3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04" w:type="pct"/>
                  <w:tcBorders>
                    <w:top w:val="single" w:color="000000" w:sz="4" w:space="0"/>
                    <w:left w:val="single" w:color="000000" w:sz="4" w:space="0"/>
                    <w:bottom w:val="single" w:color="000000" w:sz="4" w:space="0"/>
                    <w:right w:val="single" w:color="000000" w:sz="4" w:space="0"/>
                  </w:tcBorders>
                  <w:vAlign w:val="center"/>
                </w:tcPr>
                <w:p w14:paraId="15CA2BC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01" w:type="pct"/>
                  <w:tcBorders>
                    <w:top w:val="single" w:color="000000" w:sz="4" w:space="0"/>
                    <w:left w:val="single" w:color="000000" w:sz="4" w:space="0"/>
                    <w:bottom w:val="single" w:color="000000" w:sz="4" w:space="0"/>
                    <w:right w:val="single" w:color="000000" w:sz="4" w:space="0"/>
                  </w:tcBorders>
                  <w:vAlign w:val="center"/>
                </w:tcPr>
                <w:p w14:paraId="1F3AD18D">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0.01</w:t>
                  </w:r>
                </w:p>
              </w:tc>
              <w:tc>
                <w:tcPr>
                  <w:tcW w:w="236" w:type="pct"/>
                  <w:tcBorders>
                    <w:top w:val="single" w:color="000000" w:sz="4" w:space="0"/>
                    <w:left w:val="single" w:color="000000" w:sz="4" w:space="0"/>
                    <w:bottom w:val="single" w:color="000000" w:sz="4" w:space="0"/>
                    <w:right w:val="single" w:color="000000" w:sz="4" w:space="0"/>
                  </w:tcBorders>
                  <w:vAlign w:val="center"/>
                </w:tcPr>
                <w:p w14:paraId="415DE29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EDFE7E0">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2DDD85F2">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镉</w:t>
                  </w:r>
                </w:p>
              </w:tc>
              <w:tc>
                <w:tcPr>
                  <w:tcW w:w="335" w:type="pct"/>
                  <w:tcBorders>
                    <w:top w:val="single" w:color="000000" w:sz="4" w:space="0"/>
                    <w:left w:val="single" w:color="000000" w:sz="4" w:space="0"/>
                    <w:bottom w:val="single" w:color="000000" w:sz="4" w:space="0"/>
                    <w:right w:val="single" w:color="000000" w:sz="4" w:space="0"/>
                  </w:tcBorders>
                  <w:vAlign w:val="center"/>
                </w:tcPr>
                <w:p w14:paraId="2D51150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0.001L</w:t>
                  </w:r>
                </w:p>
              </w:tc>
              <w:tc>
                <w:tcPr>
                  <w:tcW w:w="341" w:type="pct"/>
                  <w:tcBorders>
                    <w:top w:val="single" w:color="000000" w:sz="4" w:space="0"/>
                    <w:left w:val="single" w:color="000000" w:sz="4" w:space="0"/>
                    <w:bottom w:val="single" w:color="000000" w:sz="4" w:space="0"/>
                    <w:right w:val="single" w:color="000000" w:sz="4" w:space="0"/>
                  </w:tcBorders>
                  <w:vAlign w:val="center"/>
                </w:tcPr>
                <w:p w14:paraId="2670135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0.001L</w:t>
                  </w:r>
                </w:p>
              </w:tc>
              <w:tc>
                <w:tcPr>
                  <w:tcW w:w="334" w:type="pct"/>
                  <w:tcBorders>
                    <w:top w:val="single" w:color="000000" w:sz="4" w:space="0"/>
                    <w:left w:val="single" w:color="000000" w:sz="4" w:space="0"/>
                    <w:bottom w:val="single" w:color="000000" w:sz="4" w:space="0"/>
                    <w:right w:val="single" w:color="000000" w:sz="4" w:space="0"/>
                  </w:tcBorders>
                  <w:vAlign w:val="center"/>
                </w:tcPr>
                <w:p w14:paraId="1DD316E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0.001L</w:t>
                  </w:r>
                </w:p>
              </w:tc>
              <w:tc>
                <w:tcPr>
                  <w:tcW w:w="321" w:type="pct"/>
                  <w:tcBorders>
                    <w:top w:val="single" w:color="000000" w:sz="4" w:space="0"/>
                    <w:left w:val="single" w:color="000000" w:sz="4" w:space="0"/>
                    <w:bottom w:val="single" w:color="000000" w:sz="4" w:space="0"/>
                    <w:right w:val="single" w:color="000000" w:sz="4" w:space="0"/>
                  </w:tcBorders>
                  <w:vAlign w:val="center"/>
                </w:tcPr>
                <w:p w14:paraId="2035B706">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eastAsia="zh-CN"/>
                    </w:rPr>
                    <w:t>0</w:t>
                  </w:r>
                  <w:r>
                    <w:rPr>
                      <w:rFonts w:hint="default" w:ascii="Times New Roman" w:hAnsi="Times New Roman" w:cs="Times New Roman"/>
                      <w:color w:val="auto"/>
                      <w:sz w:val="21"/>
                      <w:szCs w:val="21"/>
                      <w:highlight w:val="none"/>
                    </w:rPr>
                    <w:t>5</w:t>
                  </w:r>
                </w:p>
              </w:tc>
              <w:tc>
                <w:tcPr>
                  <w:tcW w:w="238" w:type="pct"/>
                  <w:tcBorders>
                    <w:top w:val="single" w:color="000000" w:sz="4" w:space="0"/>
                    <w:left w:val="single" w:color="000000" w:sz="4" w:space="0"/>
                    <w:bottom w:val="single" w:color="000000" w:sz="4" w:space="0"/>
                    <w:right w:val="single" w:color="000000" w:sz="4" w:space="0"/>
                  </w:tcBorders>
                  <w:vAlign w:val="center"/>
                </w:tcPr>
                <w:p w14:paraId="6594E957">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498793F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0.001L</w:t>
                  </w:r>
                </w:p>
              </w:tc>
              <w:tc>
                <w:tcPr>
                  <w:tcW w:w="314" w:type="pct"/>
                  <w:tcBorders>
                    <w:top w:val="single" w:color="000000" w:sz="4" w:space="0"/>
                    <w:left w:val="single" w:color="000000" w:sz="4" w:space="0"/>
                    <w:bottom w:val="single" w:color="000000" w:sz="4" w:space="0"/>
                    <w:right w:val="single" w:color="000000" w:sz="4" w:space="0"/>
                  </w:tcBorders>
                  <w:vAlign w:val="center"/>
                </w:tcPr>
                <w:p w14:paraId="0714342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0.001L</w:t>
                  </w:r>
                </w:p>
              </w:tc>
              <w:tc>
                <w:tcPr>
                  <w:tcW w:w="334" w:type="pct"/>
                  <w:tcBorders>
                    <w:top w:val="single" w:color="000000" w:sz="4" w:space="0"/>
                    <w:left w:val="single" w:color="000000" w:sz="4" w:space="0"/>
                    <w:bottom w:val="single" w:color="000000" w:sz="4" w:space="0"/>
                    <w:right w:val="single" w:color="000000" w:sz="4" w:space="0"/>
                  </w:tcBorders>
                  <w:vAlign w:val="center"/>
                </w:tcPr>
                <w:p w14:paraId="456988B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0.001L</w:t>
                  </w:r>
                </w:p>
              </w:tc>
              <w:tc>
                <w:tcPr>
                  <w:tcW w:w="348" w:type="pct"/>
                  <w:tcBorders>
                    <w:top w:val="single" w:color="000000" w:sz="4" w:space="0"/>
                    <w:left w:val="single" w:color="000000" w:sz="4" w:space="0"/>
                    <w:bottom w:val="single" w:color="000000" w:sz="4" w:space="0"/>
                    <w:right w:val="single" w:color="000000" w:sz="4" w:space="0"/>
                  </w:tcBorders>
                  <w:vAlign w:val="center"/>
                </w:tcPr>
                <w:p w14:paraId="2F8999C6">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eastAsia="zh-CN"/>
                    </w:rPr>
                    <w:t>0</w:t>
                  </w:r>
                  <w:r>
                    <w:rPr>
                      <w:rFonts w:hint="default" w:ascii="Times New Roman" w:hAnsi="Times New Roman" w:cs="Times New Roman"/>
                      <w:color w:val="auto"/>
                      <w:sz w:val="21"/>
                      <w:szCs w:val="21"/>
                      <w:highlight w:val="none"/>
                    </w:rPr>
                    <w:t>5</w:t>
                  </w:r>
                </w:p>
              </w:tc>
              <w:tc>
                <w:tcPr>
                  <w:tcW w:w="226" w:type="pct"/>
                  <w:tcBorders>
                    <w:top w:val="single" w:color="000000" w:sz="4" w:space="0"/>
                    <w:left w:val="single" w:color="000000" w:sz="4" w:space="0"/>
                    <w:bottom w:val="single" w:color="000000" w:sz="4" w:space="0"/>
                    <w:right w:val="single" w:color="000000" w:sz="4" w:space="0"/>
                  </w:tcBorders>
                  <w:vAlign w:val="center"/>
                </w:tcPr>
                <w:p w14:paraId="50681F99">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27607F9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0.001L</w:t>
                  </w:r>
                </w:p>
              </w:tc>
              <w:tc>
                <w:tcPr>
                  <w:tcW w:w="314" w:type="pct"/>
                  <w:tcBorders>
                    <w:top w:val="single" w:color="000000" w:sz="4" w:space="0"/>
                    <w:left w:val="single" w:color="000000" w:sz="4" w:space="0"/>
                    <w:bottom w:val="single" w:color="000000" w:sz="4" w:space="0"/>
                    <w:right w:val="single" w:color="000000" w:sz="4" w:space="0"/>
                  </w:tcBorders>
                  <w:vAlign w:val="center"/>
                </w:tcPr>
                <w:p w14:paraId="5D894B4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0.001L</w:t>
                  </w:r>
                </w:p>
              </w:tc>
              <w:tc>
                <w:tcPr>
                  <w:tcW w:w="304" w:type="pct"/>
                  <w:tcBorders>
                    <w:top w:val="single" w:color="000000" w:sz="4" w:space="0"/>
                    <w:left w:val="single" w:color="000000" w:sz="4" w:space="0"/>
                    <w:bottom w:val="single" w:color="000000" w:sz="4" w:space="0"/>
                    <w:right w:val="single" w:color="000000" w:sz="4" w:space="0"/>
                  </w:tcBorders>
                  <w:vAlign w:val="center"/>
                </w:tcPr>
                <w:p w14:paraId="5337E43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0.001L</w:t>
                  </w:r>
                </w:p>
              </w:tc>
              <w:tc>
                <w:tcPr>
                  <w:tcW w:w="301" w:type="pct"/>
                  <w:tcBorders>
                    <w:top w:val="single" w:color="000000" w:sz="4" w:space="0"/>
                    <w:left w:val="single" w:color="000000" w:sz="4" w:space="0"/>
                    <w:bottom w:val="single" w:color="000000" w:sz="4" w:space="0"/>
                    <w:right w:val="single" w:color="000000" w:sz="4" w:space="0"/>
                  </w:tcBorders>
                  <w:vAlign w:val="center"/>
                </w:tcPr>
                <w:p w14:paraId="01A142AD">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eastAsia="zh-CN"/>
                    </w:rPr>
                    <w:t>0</w:t>
                  </w:r>
                  <w:r>
                    <w:rPr>
                      <w:rFonts w:hint="default" w:ascii="Times New Roman" w:hAnsi="Times New Roman" w:cs="Times New Roman"/>
                      <w:color w:val="auto"/>
                      <w:sz w:val="21"/>
                      <w:szCs w:val="21"/>
                      <w:highlight w:val="none"/>
                    </w:rPr>
                    <w:t>5</w:t>
                  </w:r>
                </w:p>
              </w:tc>
              <w:tc>
                <w:tcPr>
                  <w:tcW w:w="236" w:type="pct"/>
                  <w:tcBorders>
                    <w:top w:val="single" w:color="000000" w:sz="4" w:space="0"/>
                    <w:left w:val="single" w:color="000000" w:sz="4" w:space="0"/>
                    <w:bottom w:val="single" w:color="000000" w:sz="4" w:space="0"/>
                    <w:right w:val="single" w:color="000000" w:sz="4" w:space="0"/>
                  </w:tcBorders>
                  <w:vAlign w:val="center"/>
                </w:tcPr>
                <w:p w14:paraId="429AB11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64F9FB5">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4DA11168">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铁</w:t>
                  </w:r>
                </w:p>
              </w:tc>
              <w:tc>
                <w:tcPr>
                  <w:tcW w:w="335" w:type="pct"/>
                  <w:tcBorders>
                    <w:top w:val="single" w:color="000000" w:sz="4" w:space="0"/>
                    <w:left w:val="single" w:color="000000" w:sz="4" w:space="0"/>
                    <w:bottom w:val="single" w:color="000000" w:sz="4" w:space="0"/>
                    <w:right w:val="single" w:color="000000" w:sz="4" w:space="0"/>
                  </w:tcBorders>
                  <w:vAlign w:val="center"/>
                </w:tcPr>
                <w:p w14:paraId="4D23902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0.03L</w:t>
                  </w:r>
                </w:p>
              </w:tc>
              <w:tc>
                <w:tcPr>
                  <w:tcW w:w="341" w:type="pct"/>
                  <w:tcBorders>
                    <w:top w:val="single" w:color="000000" w:sz="4" w:space="0"/>
                    <w:left w:val="single" w:color="000000" w:sz="4" w:space="0"/>
                    <w:bottom w:val="single" w:color="000000" w:sz="4" w:space="0"/>
                    <w:right w:val="single" w:color="000000" w:sz="4" w:space="0"/>
                  </w:tcBorders>
                  <w:vAlign w:val="center"/>
                </w:tcPr>
                <w:p w14:paraId="11D66CB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0.03L</w:t>
                  </w:r>
                </w:p>
              </w:tc>
              <w:tc>
                <w:tcPr>
                  <w:tcW w:w="334" w:type="pct"/>
                  <w:tcBorders>
                    <w:top w:val="single" w:color="000000" w:sz="4" w:space="0"/>
                    <w:left w:val="single" w:color="000000" w:sz="4" w:space="0"/>
                    <w:bottom w:val="single" w:color="000000" w:sz="4" w:space="0"/>
                    <w:right w:val="single" w:color="000000" w:sz="4" w:space="0"/>
                  </w:tcBorders>
                  <w:vAlign w:val="center"/>
                </w:tcPr>
                <w:p w14:paraId="5D0D115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0.03L</w:t>
                  </w:r>
                </w:p>
              </w:tc>
              <w:tc>
                <w:tcPr>
                  <w:tcW w:w="321" w:type="pct"/>
                  <w:tcBorders>
                    <w:top w:val="single" w:color="000000" w:sz="4" w:space="0"/>
                    <w:left w:val="single" w:color="000000" w:sz="4" w:space="0"/>
                    <w:bottom w:val="single" w:color="000000" w:sz="4" w:space="0"/>
                    <w:right w:val="single" w:color="000000" w:sz="4" w:space="0"/>
                  </w:tcBorders>
                  <w:vAlign w:val="center"/>
                </w:tcPr>
                <w:p w14:paraId="1C277BDF">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38" w:type="pct"/>
                  <w:tcBorders>
                    <w:top w:val="single" w:color="000000" w:sz="4" w:space="0"/>
                    <w:left w:val="single" w:color="000000" w:sz="4" w:space="0"/>
                    <w:bottom w:val="single" w:color="000000" w:sz="4" w:space="0"/>
                    <w:right w:val="single" w:color="000000" w:sz="4" w:space="0"/>
                  </w:tcBorders>
                  <w:vAlign w:val="center"/>
                </w:tcPr>
                <w:p w14:paraId="03FEC41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7CB15D1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0.03L</w:t>
                  </w:r>
                </w:p>
              </w:tc>
              <w:tc>
                <w:tcPr>
                  <w:tcW w:w="314" w:type="pct"/>
                  <w:tcBorders>
                    <w:top w:val="single" w:color="000000" w:sz="4" w:space="0"/>
                    <w:left w:val="single" w:color="000000" w:sz="4" w:space="0"/>
                    <w:bottom w:val="single" w:color="000000" w:sz="4" w:space="0"/>
                    <w:right w:val="single" w:color="000000" w:sz="4" w:space="0"/>
                  </w:tcBorders>
                  <w:vAlign w:val="center"/>
                </w:tcPr>
                <w:p w14:paraId="7C4CA81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0.03L</w:t>
                  </w:r>
                </w:p>
              </w:tc>
              <w:tc>
                <w:tcPr>
                  <w:tcW w:w="334" w:type="pct"/>
                  <w:tcBorders>
                    <w:top w:val="single" w:color="000000" w:sz="4" w:space="0"/>
                    <w:left w:val="single" w:color="000000" w:sz="4" w:space="0"/>
                    <w:bottom w:val="single" w:color="000000" w:sz="4" w:space="0"/>
                    <w:right w:val="single" w:color="000000" w:sz="4" w:space="0"/>
                  </w:tcBorders>
                  <w:vAlign w:val="center"/>
                </w:tcPr>
                <w:p w14:paraId="63DCC29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0.03L</w:t>
                  </w:r>
                </w:p>
              </w:tc>
              <w:tc>
                <w:tcPr>
                  <w:tcW w:w="348" w:type="pct"/>
                  <w:tcBorders>
                    <w:top w:val="single" w:color="000000" w:sz="4" w:space="0"/>
                    <w:left w:val="single" w:color="000000" w:sz="4" w:space="0"/>
                    <w:bottom w:val="single" w:color="000000" w:sz="4" w:space="0"/>
                    <w:right w:val="single" w:color="000000" w:sz="4" w:space="0"/>
                  </w:tcBorders>
                  <w:vAlign w:val="center"/>
                </w:tcPr>
                <w:p w14:paraId="7FF8F76B">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26" w:type="pct"/>
                  <w:tcBorders>
                    <w:top w:val="single" w:color="000000" w:sz="4" w:space="0"/>
                    <w:left w:val="single" w:color="000000" w:sz="4" w:space="0"/>
                    <w:bottom w:val="single" w:color="000000" w:sz="4" w:space="0"/>
                    <w:right w:val="single" w:color="000000" w:sz="4" w:space="0"/>
                  </w:tcBorders>
                  <w:vAlign w:val="center"/>
                </w:tcPr>
                <w:p w14:paraId="446A20BD">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2339561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0.03L</w:t>
                  </w:r>
                </w:p>
              </w:tc>
              <w:tc>
                <w:tcPr>
                  <w:tcW w:w="314" w:type="pct"/>
                  <w:tcBorders>
                    <w:top w:val="single" w:color="000000" w:sz="4" w:space="0"/>
                    <w:left w:val="single" w:color="000000" w:sz="4" w:space="0"/>
                    <w:bottom w:val="single" w:color="000000" w:sz="4" w:space="0"/>
                    <w:right w:val="single" w:color="000000" w:sz="4" w:space="0"/>
                  </w:tcBorders>
                  <w:vAlign w:val="center"/>
                </w:tcPr>
                <w:p w14:paraId="259415D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0.03L</w:t>
                  </w:r>
                </w:p>
              </w:tc>
              <w:tc>
                <w:tcPr>
                  <w:tcW w:w="304" w:type="pct"/>
                  <w:tcBorders>
                    <w:top w:val="single" w:color="000000" w:sz="4" w:space="0"/>
                    <w:left w:val="single" w:color="000000" w:sz="4" w:space="0"/>
                    <w:bottom w:val="single" w:color="000000" w:sz="4" w:space="0"/>
                    <w:right w:val="single" w:color="000000" w:sz="4" w:space="0"/>
                  </w:tcBorders>
                  <w:vAlign w:val="center"/>
                </w:tcPr>
                <w:p w14:paraId="6F0C007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0.03L</w:t>
                  </w:r>
                </w:p>
              </w:tc>
              <w:tc>
                <w:tcPr>
                  <w:tcW w:w="301" w:type="pct"/>
                  <w:tcBorders>
                    <w:top w:val="single" w:color="000000" w:sz="4" w:space="0"/>
                    <w:left w:val="single" w:color="000000" w:sz="4" w:space="0"/>
                    <w:bottom w:val="single" w:color="000000" w:sz="4" w:space="0"/>
                    <w:right w:val="single" w:color="000000" w:sz="4" w:space="0"/>
                  </w:tcBorders>
                  <w:vAlign w:val="center"/>
                </w:tcPr>
                <w:p w14:paraId="6BE30DD3">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36" w:type="pct"/>
                  <w:tcBorders>
                    <w:top w:val="single" w:color="000000" w:sz="4" w:space="0"/>
                    <w:left w:val="single" w:color="000000" w:sz="4" w:space="0"/>
                    <w:bottom w:val="single" w:color="000000" w:sz="4" w:space="0"/>
                    <w:right w:val="single" w:color="000000" w:sz="4" w:space="0"/>
                  </w:tcBorders>
                  <w:vAlign w:val="center"/>
                </w:tcPr>
                <w:p w14:paraId="370E535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50BC22E">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1069B143">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锰</w:t>
                  </w:r>
                </w:p>
              </w:tc>
              <w:tc>
                <w:tcPr>
                  <w:tcW w:w="335" w:type="pct"/>
                  <w:tcBorders>
                    <w:top w:val="single" w:color="000000" w:sz="4" w:space="0"/>
                    <w:left w:val="single" w:color="000000" w:sz="4" w:space="0"/>
                    <w:bottom w:val="single" w:color="000000" w:sz="4" w:space="0"/>
                    <w:right w:val="single" w:color="000000" w:sz="4" w:space="0"/>
                  </w:tcBorders>
                  <w:vAlign w:val="center"/>
                </w:tcPr>
                <w:p w14:paraId="690AD56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41" w:type="pct"/>
                  <w:tcBorders>
                    <w:top w:val="single" w:color="000000" w:sz="4" w:space="0"/>
                    <w:left w:val="single" w:color="000000" w:sz="4" w:space="0"/>
                    <w:bottom w:val="single" w:color="000000" w:sz="4" w:space="0"/>
                    <w:right w:val="single" w:color="000000" w:sz="4" w:space="0"/>
                  </w:tcBorders>
                  <w:vAlign w:val="center"/>
                </w:tcPr>
                <w:p w14:paraId="6BBDDA5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34" w:type="pct"/>
                  <w:tcBorders>
                    <w:top w:val="single" w:color="000000" w:sz="4" w:space="0"/>
                    <w:left w:val="single" w:color="000000" w:sz="4" w:space="0"/>
                    <w:bottom w:val="single" w:color="000000" w:sz="4" w:space="0"/>
                    <w:right w:val="single" w:color="000000" w:sz="4" w:space="0"/>
                  </w:tcBorders>
                  <w:vAlign w:val="center"/>
                </w:tcPr>
                <w:p w14:paraId="7B56D2E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21" w:type="pct"/>
                  <w:tcBorders>
                    <w:top w:val="single" w:color="000000" w:sz="4" w:space="0"/>
                    <w:left w:val="single" w:color="000000" w:sz="4" w:space="0"/>
                    <w:bottom w:val="single" w:color="000000" w:sz="4" w:space="0"/>
                    <w:right w:val="single" w:color="000000" w:sz="4" w:space="0"/>
                  </w:tcBorders>
                  <w:vAlign w:val="center"/>
                </w:tcPr>
                <w:p w14:paraId="414363E4">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0.1</w:t>
                  </w:r>
                </w:p>
              </w:tc>
              <w:tc>
                <w:tcPr>
                  <w:tcW w:w="238" w:type="pct"/>
                  <w:tcBorders>
                    <w:top w:val="single" w:color="000000" w:sz="4" w:space="0"/>
                    <w:left w:val="single" w:color="000000" w:sz="4" w:space="0"/>
                    <w:bottom w:val="single" w:color="000000" w:sz="4" w:space="0"/>
                    <w:right w:val="single" w:color="000000" w:sz="4" w:space="0"/>
                  </w:tcBorders>
                  <w:vAlign w:val="center"/>
                </w:tcPr>
                <w:p w14:paraId="4402EF75">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3B4EB9E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14" w:type="pct"/>
                  <w:tcBorders>
                    <w:top w:val="single" w:color="000000" w:sz="4" w:space="0"/>
                    <w:left w:val="single" w:color="000000" w:sz="4" w:space="0"/>
                    <w:bottom w:val="single" w:color="000000" w:sz="4" w:space="0"/>
                    <w:right w:val="single" w:color="000000" w:sz="4" w:space="0"/>
                  </w:tcBorders>
                  <w:vAlign w:val="center"/>
                </w:tcPr>
                <w:p w14:paraId="101520A6">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34" w:type="pct"/>
                  <w:tcBorders>
                    <w:top w:val="single" w:color="000000" w:sz="4" w:space="0"/>
                    <w:left w:val="single" w:color="000000" w:sz="4" w:space="0"/>
                    <w:bottom w:val="single" w:color="000000" w:sz="4" w:space="0"/>
                    <w:right w:val="single" w:color="000000" w:sz="4" w:space="0"/>
                  </w:tcBorders>
                  <w:vAlign w:val="center"/>
                </w:tcPr>
                <w:p w14:paraId="25ADC5C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48" w:type="pct"/>
                  <w:tcBorders>
                    <w:top w:val="single" w:color="000000" w:sz="4" w:space="0"/>
                    <w:left w:val="single" w:color="000000" w:sz="4" w:space="0"/>
                    <w:bottom w:val="single" w:color="000000" w:sz="4" w:space="0"/>
                    <w:right w:val="single" w:color="000000" w:sz="4" w:space="0"/>
                  </w:tcBorders>
                  <w:vAlign w:val="center"/>
                </w:tcPr>
                <w:p w14:paraId="4FFB80ED">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0.1</w:t>
                  </w:r>
                </w:p>
              </w:tc>
              <w:tc>
                <w:tcPr>
                  <w:tcW w:w="226" w:type="pct"/>
                  <w:tcBorders>
                    <w:top w:val="single" w:color="000000" w:sz="4" w:space="0"/>
                    <w:left w:val="single" w:color="000000" w:sz="4" w:space="0"/>
                    <w:bottom w:val="single" w:color="000000" w:sz="4" w:space="0"/>
                    <w:right w:val="single" w:color="000000" w:sz="4" w:space="0"/>
                  </w:tcBorders>
                  <w:vAlign w:val="center"/>
                </w:tcPr>
                <w:p w14:paraId="3010AA10">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6A4B4F8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14" w:type="pct"/>
                  <w:tcBorders>
                    <w:top w:val="single" w:color="000000" w:sz="4" w:space="0"/>
                    <w:left w:val="single" w:color="000000" w:sz="4" w:space="0"/>
                    <w:bottom w:val="single" w:color="000000" w:sz="4" w:space="0"/>
                    <w:right w:val="single" w:color="000000" w:sz="4" w:space="0"/>
                  </w:tcBorders>
                  <w:vAlign w:val="center"/>
                </w:tcPr>
                <w:p w14:paraId="1D9501F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04" w:type="pct"/>
                  <w:tcBorders>
                    <w:top w:val="single" w:color="000000" w:sz="4" w:space="0"/>
                    <w:left w:val="single" w:color="000000" w:sz="4" w:space="0"/>
                    <w:bottom w:val="single" w:color="000000" w:sz="4" w:space="0"/>
                    <w:right w:val="single" w:color="000000" w:sz="4" w:space="0"/>
                  </w:tcBorders>
                  <w:vAlign w:val="center"/>
                </w:tcPr>
                <w:p w14:paraId="1CAC0F7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01" w:type="pct"/>
                  <w:tcBorders>
                    <w:top w:val="single" w:color="000000" w:sz="4" w:space="0"/>
                    <w:left w:val="single" w:color="000000" w:sz="4" w:space="0"/>
                    <w:bottom w:val="single" w:color="000000" w:sz="4" w:space="0"/>
                    <w:right w:val="single" w:color="000000" w:sz="4" w:space="0"/>
                  </w:tcBorders>
                  <w:vAlign w:val="center"/>
                </w:tcPr>
                <w:p w14:paraId="5406EF90">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0.1</w:t>
                  </w:r>
                </w:p>
              </w:tc>
              <w:tc>
                <w:tcPr>
                  <w:tcW w:w="236" w:type="pct"/>
                  <w:tcBorders>
                    <w:top w:val="single" w:color="000000" w:sz="4" w:space="0"/>
                    <w:left w:val="single" w:color="000000" w:sz="4" w:space="0"/>
                    <w:bottom w:val="single" w:color="000000" w:sz="4" w:space="0"/>
                    <w:right w:val="single" w:color="000000" w:sz="4" w:space="0"/>
                  </w:tcBorders>
                  <w:vAlign w:val="center"/>
                </w:tcPr>
                <w:p w14:paraId="7245F1B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19233F4">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12B6D116">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六价铬</w:t>
                  </w:r>
                </w:p>
              </w:tc>
              <w:tc>
                <w:tcPr>
                  <w:tcW w:w="335" w:type="pct"/>
                  <w:tcBorders>
                    <w:top w:val="single" w:color="000000" w:sz="4" w:space="0"/>
                    <w:left w:val="single" w:color="000000" w:sz="4" w:space="0"/>
                    <w:bottom w:val="single" w:color="000000" w:sz="4" w:space="0"/>
                    <w:right w:val="single" w:color="000000" w:sz="4" w:space="0"/>
                  </w:tcBorders>
                  <w:vAlign w:val="center"/>
                </w:tcPr>
                <w:p w14:paraId="4EBC19A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41" w:type="pct"/>
                  <w:tcBorders>
                    <w:top w:val="single" w:color="000000" w:sz="4" w:space="0"/>
                    <w:left w:val="single" w:color="000000" w:sz="4" w:space="0"/>
                    <w:bottom w:val="single" w:color="000000" w:sz="4" w:space="0"/>
                    <w:right w:val="single" w:color="000000" w:sz="4" w:space="0"/>
                  </w:tcBorders>
                  <w:vAlign w:val="center"/>
                </w:tcPr>
                <w:p w14:paraId="30BF1E6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34" w:type="pct"/>
                  <w:tcBorders>
                    <w:top w:val="single" w:color="000000" w:sz="4" w:space="0"/>
                    <w:left w:val="single" w:color="000000" w:sz="4" w:space="0"/>
                    <w:bottom w:val="single" w:color="000000" w:sz="4" w:space="0"/>
                    <w:right w:val="single" w:color="000000" w:sz="4" w:space="0"/>
                  </w:tcBorders>
                  <w:vAlign w:val="center"/>
                </w:tcPr>
                <w:p w14:paraId="230A285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21" w:type="pct"/>
                  <w:tcBorders>
                    <w:top w:val="single" w:color="000000" w:sz="4" w:space="0"/>
                    <w:left w:val="single" w:color="000000" w:sz="4" w:space="0"/>
                    <w:bottom w:val="single" w:color="000000" w:sz="4" w:space="0"/>
                    <w:right w:val="single" w:color="000000" w:sz="4" w:space="0"/>
                  </w:tcBorders>
                  <w:vAlign w:val="center"/>
                </w:tcPr>
                <w:p w14:paraId="7681BFFF">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0.05</w:t>
                  </w:r>
                </w:p>
              </w:tc>
              <w:tc>
                <w:tcPr>
                  <w:tcW w:w="238" w:type="pct"/>
                  <w:tcBorders>
                    <w:top w:val="single" w:color="000000" w:sz="4" w:space="0"/>
                    <w:left w:val="single" w:color="000000" w:sz="4" w:space="0"/>
                    <w:bottom w:val="single" w:color="000000" w:sz="4" w:space="0"/>
                    <w:right w:val="single" w:color="000000" w:sz="4" w:space="0"/>
                  </w:tcBorders>
                  <w:vAlign w:val="center"/>
                </w:tcPr>
                <w:p w14:paraId="06E994F3">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3BA5003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14" w:type="pct"/>
                  <w:tcBorders>
                    <w:top w:val="single" w:color="000000" w:sz="4" w:space="0"/>
                    <w:left w:val="single" w:color="000000" w:sz="4" w:space="0"/>
                    <w:bottom w:val="single" w:color="000000" w:sz="4" w:space="0"/>
                    <w:right w:val="single" w:color="000000" w:sz="4" w:space="0"/>
                  </w:tcBorders>
                  <w:vAlign w:val="center"/>
                </w:tcPr>
                <w:p w14:paraId="04353C8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34" w:type="pct"/>
                  <w:tcBorders>
                    <w:top w:val="single" w:color="000000" w:sz="4" w:space="0"/>
                    <w:left w:val="single" w:color="000000" w:sz="4" w:space="0"/>
                    <w:bottom w:val="single" w:color="000000" w:sz="4" w:space="0"/>
                    <w:right w:val="single" w:color="000000" w:sz="4" w:space="0"/>
                  </w:tcBorders>
                  <w:vAlign w:val="center"/>
                </w:tcPr>
                <w:p w14:paraId="2F66B31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48" w:type="pct"/>
                  <w:tcBorders>
                    <w:top w:val="single" w:color="000000" w:sz="4" w:space="0"/>
                    <w:left w:val="single" w:color="000000" w:sz="4" w:space="0"/>
                    <w:bottom w:val="single" w:color="000000" w:sz="4" w:space="0"/>
                    <w:right w:val="single" w:color="000000" w:sz="4" w:space="0"/>
                  </w:tcBorders>
                  <w:vAlign w:val="center"/>
                </w:tcPr>
                <w:p w14:paraId="0D778C33">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0.05</w:t>
                  </w:r>
                </w:p>
              </w:tc>
              <w:tc>
                <w:tcPr>
                  <w:tcW w:w="226" w:type="pct"/>
                  <w:tcBorders>
                    <w:top w:val="single" w:color="000000" w:sz="4" w:space="0"/>
                    <w:left w:val="single" w:color="000000" w:sz="4" w:space="0"/>
                    <w:bottom w:val="single" w:color="000000" w:sz="4" w:space="0"/>
                    <w:right w:val="single" w:color="000000" w:sz="4" w:space="0"/>
                  </w:tcBorders>
                  <w:vAlign w:val="center"/>
                </w:tcPr>
                <w:p w14:paraId="066CC485">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0BE0A4B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14" w:type="pct"/>
                  <w:tcBorders>
                    <w:top w:val="single" w:color="000000" w:sz="4" w:space="0"/>
                    <w:left w:val="single" w:color="000000" w:sz="4" w:space="0"/>
                    <w:bottom w:val="single" w:color="000000" w:sz="4" w:space="0"/>
                    <w:right w:val="single" w:color="000000" w:sz="4" w:space="0"/>
                  </w:tcBorders>
                  <w:vAlign w:val="center"/>
                </w:tcPr>
                <w:p w14:paraId="1E3E8D9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04" w:type="pct"/>
                  <w:tcBorders>
                    <w:top w:val="single" w:color="000000" w:sz="4" w:space="0"/>
                    <w:left w:val="single" w:color="000000" w:sz="4" w:space="0"/>
                    <w:bottom w:val="single" w:color="000000" w:sz="4" w:space="0"/>
                    <w:right w:val="single" w:color="000000" w:sz="4" w:space="0"/>
                  </w:tcBorders>
                  <w:vAlign w:val="center"/>
                </w:tcPr>
                <w:p w14:paraId="05373E6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0.004L</w:t>
                  </w:r>
                </w:p>
              </w:tc>
              <w:tc>
                <w:tcPr>
                  <w:tcW w:w="301" w:type="pct"/>
                  <w:tcBorders>
                    <w:top w:val="single" w:color="000000" w:sz="4" w:space="0"/>
                    <w:left w:val="single" w:color="000000" w:sz="4" w:space="0"/>
                    <w:bottom w:val="single" w:color="000000" w:sz="4" w:space="0"/>
                    <w:right w:val="single" w:color="000000" w:sz="4" w:space="0"/>
                  </w:tcBorders>
                  <w:vAlign w:val="center"/>
                </w:tcPr>
                <w:p w14:paraId="596D169B">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0.05</w:t>
                  </w:r>
                </w:p>
              </w:tc>
              <w:tc>
                <w:tcPr>
                  <w:tcW w:w="236" w:type="pct"/>
                  <w:tcBorders>
                    <w:top w:val="single" w:color="000000" w:sz="4" w:space="0"/>
                    <w:left w:val="single" w:color="000000" w:sz="4" w:space="0"/>
                    <w:bottom w:val="single" w:color="000000" w:sz="4" w:space="0"/>
                    <w:right w:val="single" w:color="000000" w:sz="4" w:space="0"/>
                  </w:tcBorders>
                  <w:vAlign w:val="center"/>
                </w:tcPr>
                <w:p w14:paraId="1AE8B0C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E5FD53A">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5F3249DB">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砷</w:t>
                  </w:r>
                </w:p>
              </w:tc>
              <w:tc>
                <w:tcPr>
                  <w:tcW w:w="335" w:type="pct"/>
                  <w:tcBorders>
                    <w:top w:val="single" w:color="000000" w:sz="4" w:space="0"/>
                    <w:left w:val="single" w:color="000000" w:sz="4" w:space="0"/>
                    <w:bottom w:val="single" w:color="000000" w:sz="4" w:space="0"/>
                    <w:right w:val="single" w:color="000000" w:sz="4" w:space="0"/>
                  </w:tcBorders>
                  <w:vAlign w:val="center"/>
                </w:tcPr>
                <w:p w14:paraId="5EEE5D9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41" w:type="pct"/>
                  <w:tcBorders>
                    <w:top w:val="single" w:color="000000" w:sz="4" w:space="0"/>
                    <w:left w:val="single" w:color="000000" w:sz="4" w:space="0"/>
                    <w:bottom w:val="single" w:color="000000" w:sz="4" w:space="0"/>
                    <w:right w:val="single" w:color="000000" w:sz="4" w:space="0"/>
                  </w:tcBorders>
                  <w:vAlign w:val="center"/>
                </w:tcPr>
                <w:p w14:paraId="39CA2F5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34" w:type="pct"/>
                  <w:tcBorders>
                    <w:top w:val="single" w:color="000000" w:sz="4" w:space="0"/>
                    <w:left w:val="single" w:color="000000" w:sz="4" w:space="0"/>
                    <w:bottom w:val="single" w:color="000000" w:sz="4" w:space="0"/>
                    <w:right w:val="single" w:color="000000" w:sz="4" w:space="0"/>
                  </w:tcBorders>
                  <w:vAlign w:val="center"/>
                </w:tcPr>
                <w:p w14:paraId="1E267866">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21" w:type="pct"/>
                  <w:tcBorders>
                    <w:top w:val="single" w:color="000000" w:sz="4" w:space="0"/>
                    <w:left w:val="single" w:color="000000" w:sz="4" w:space="0"/>
                    <w:bottom w:val="single" w:color="000000" w:sz="4" w:space="0"/>
                    <w:right w:val="single" w:color="000000" w:sz="4" w:space="0"/>
                  </w:tcBorders>
                  <w:vAlign w:val="center"/>
                </w:tcPr>
                <w:p w14:paraId="01C1B838">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c>
                <w:tcPr>
                  <w:tcW w:w="238" w:type="pct"/>
                  <w:tcBorders>
                    <w:top w:val="single" w:color="000000" w:sz="4" w:space="0"/>
                    <w:left w:val="single" w:color="000000" w:sz="4" w:space="0"/>
                    <w:bottom w:val="single" w:color="000000" w:sz="4" w:space="0"/>
                    <w:right w:val="single" w:color="000000" w:sz="4" w:space="0"/>
                  </w:tcBorders>
                  <w:vAlign w:val="center"/>
                </w:tcPr>
                <w:p w14:paraId="49BA02CB">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7F401D3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14" w:type="pct"/>
                  <w:tcBorders>
                    <w:top w:val="single" w:color="000000" w:sz="4" w:space="0"/>
                    <w:left w:val="single" w:color="000000" w:sz="4" w:space="0"/>
                    <w:bottom w:val="single" w:color="000000" w:sz="4" w:space="0"/>
                    <w:right w:val="single" w:color="000000" w:sz="4" w:space="0"/>
                  </w:tcBorders>
                  <w:vAlign w:val="center"/>
                </w:tcPr>
                <w:p w14:paraId="115239A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34" w:type="pct"/>
                  <w:tcBorders>
                    <w:top w:val="single" w:color="000000" w:sz="4" w:space="0"/>
                    <w:left w:val="single" w:color="000000" w:sz="4" w:space="0"/>
                    <w:bottom w:val="single" w:color="000000" w:sz="4" w:space="0"/>
                    <w:right w:val="single" w:color="000000" w:sz="4" w:space="0"/>
                  </w:tcBorders>
                  <w:vAlign w:val="center"/>
                </w:tcPr>
                <w:p w14:paraId="7AF6B58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48" w:type="pct"/>
                  <w:tcBorders>
                    <w:top w:val="single" w:color="000000" w:sz="4" w:space="0"/>
                    <w:left w:val="single" w:color="000000" w:sz="4" w:space="0"/>
                    <w:bottom w:val="single" w:color="000000" w:sz="4" w:space="0"/>
                    <w:right w:val="single" w:color="000000" w:sz="4" w:space="0"/>
                  </w:tcBorders>
                  <w:vAlign w:val="center"/>
                </w:tcPr>
                <w:p w14:paraId="36E17A1A">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c>
                <w:tcPr>
                  <w:tcW w:w="226" w:type="pct"/>
                  <w:tcBorders>
                    <w:top w:val="single" w:color="000000" w:sz="4" w:space="0"/>
                    <w:left w:val="single" w:color="000000" w:sz="4" w:space="0"/>
                    <w:bottom w:val="single" w:color="000000" w:sz="4" w:space="0"/>
                    <w:right w:val="single" w:color="000000" w:sz="4" w:space="0"/>
                  </w:tcBorders>
                  <w:vAlign w:val="center"/>
                </w:tcPr>
                <w:p w14:paraId="4215AA52">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3ADD5EBC">
                  <w:pPr>
                    <w:widowControl/>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0.00</w:t>
                  </w:r>
                  <w:r>
                    <w:rPr>
                      <w:rFonts w:hint="eastAsia" w:cs="Times New Roman"/>
                      <w:color w:val="auto"/>
                      <w:szCs w:val="21"/>
                      <w:highlight w:val="none"/>
                      <w:lang w:val="en-US" w:eastAsia="zh-CN"/>
                    </w:rPr>
                    <w:t>1</w:t>
                  </w:r>
                </w:p>
              </w:tc>
              <w:tc>
                <w:tcPr>
                  <w:tcW w:w="314" w:type="pct"/>
                  <w:tcBorders>
                    <w:top w:val="single" w:color="000000" w:sz="4" w:space="0"/>
                    <w:left w:val="single" w:color="000000" w:sz="4" w:space="0"/>
                    <w:bottom w:val="single" w:color="000000" w:sz="4" w:space="0"/>
                    <w:right w:val="single" w:color="000000" w:sz="4" w:space="0"/>
                  </w:tcBorders>
                  <w:vAlign w:val="center"/>
                </w:tcPr>
                <w:p w14:paraId="2D6CD19B">
                  <w:pPr>
                    <w:widowControl/>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0.00</w:t>
                  </w:r>
                  <w:r>
                    <w:rPr>
                      <w:rFonts w:hint="eastAsia" w:cs="Times New Roman"/>
                      <w:color w:val="auto"/>
                      <w:szCs w:val="21"/>
                      <w:highlight w:val="none"/>
                      <w:lang w:val="en-US" w:eastAsia="zh-CN"/>
                    </w:rPr>
                    <w:t>1</w:t>
                  </w:r>
                </w:p>
              </w:tc>
              <w:tc>
                <w:tcPr>
                  <w:tcW w:w="304" w:type="pct"/>
                  <w:tcBorders>
                    <w:top w:val="single" w:color="000000" w:sz="4" w:space="0"/>
                    <w:left w:val="single" w:color="000000" w:sz="4" w:space="0"/>
                    <w:bottom w:val="single" w:color="000000" w:sz="4" w:space="0"/>
                    <w:right w:val="single" w:color="000000" w:sz="4" w:space="0"/>
                  </w:tcBorders>
                  <w:vAlign w:val="center"/>
                </w:tcPr>
                <w:p w14:paraId="47A4821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0.0003L</w:t>
                  </w:r>
                </w:p>
              </w:tc>
              <w:tc>
                <w:tcPr>
                  <w:tcW w:w="301" w:type="pct"/>
                  <w:tcBorders>
                    <w:top w:val="single" w:color="000000" w:sz="4" w:space="0"/>
                    <w:left w:val="single" w:color="000000" w:sz="4" w:space="0"/>
                    <w:bottom w:val="single" w:color="000000" w:sz="4" w:space="0"/>
                    <w:right w:val="single" w:color="000000" w:sz="4" w:space="0"/>
                  </w:tcBorders>
                  <w:vAlign w:val="center"/>
                </w:tcPr>
                <w:p w14:paraId="575FB31E">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c>
                <w:tcPr>
                  <w:tcW w:w="236" w:type="pct"/>
                  <w:tcBorders>
                    <w:top w:val="single" w:color="000000" w:sz="4" w:space="0"/>
                    <w:left w:val="single" w:color="000000" w:sz="4" w:space="0"/>
                    <w:bottom w:val="single" w:color="000000" w:sz="4" w:space="0"/>
                    <w:right w:val="single" w:color="000000" w:sz="4" w:space="0"/>
                  </w:tcBorders>
                  <w:vAlign w:val="center"/>
                </w:tcPr>
                <w:p w14:paraId="22E3D1E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545A8B4">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15760F4A">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汞</w:t>
                  </w:r>
                </w:p>
              </w:tc>
              <w:tc>
                <w:tcPr>
                  <w:tcW w:w="335" w:type="pct"/>
                  <w:tcBorders>
                    <w:top w:val="single" w:color="000000" w:sz="4" w:space="0"/>
                    <w:left w:val="single" w:color="000000" w:sz="4" w:space="0"/>
                    <w:bottom w:val="single" w:color="000000" w:sz="4" w:space="0"/>
                    <w:right w:val="single" w:color="000000" w:sz="4" w:space="0"/>
                  </w:tcBorders>
                  <w:vAlign w:val="center"/>
                </w:tcPr>
                <w:p w14:paraId="2EC238A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0.00004L</w:t>
                  </w:r>
                </w:p>
              </w:tc>
              <w:tc>
                <w:tcPr>
                  <w:tcW w:w="341" w:type="pct"/>
                  <w:tcBorders>
                    <w:top w:val="single" w:color="000000" w:sz="4" w:space="0"/>
                    <w:left w:val="single" w:color="000000" w:sz="4" w:space="0"/>
                    <w:bottom w:val="single" w:color="000000" w:sz="4" w:space="0"/>
                    <w:right w:val="single" w:color="000000" w:sz="4" w:space="0"/>
                  </w:tcBorders>
                  <w:vAlign w:val="center"/>
                </w:tcPr>
                <w:p w14:paraId="66A890B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0.00004L</w:t>
                  </w:r>
                </w:p>
              </w:tc>
              <w:tc>
                <w:tcPr>
                  <w:tcW w:w="334" w:type="pct"/>
                  <w:tcBorders>
                    <w:top w:val="single" w:color="000000" w:sz="4" w:space="0"/>
                    <w:left w:val="single" w:color="000000" w:sz="4" w:space="0"/>
                    <w:bottom w:val="single" w:color="000000" w:sz="4" w:space="0"/>
                    <w:right w:val="single" w:color="000000" w:sz="4" w:space="0"/>
                  </w:tcBorders>
                  <w:vAlign w:val="center"/>
                </w:tcPr>
                <w:p w14:paraId="430C37D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0.00004L</w:t>
                  </w:r>
                </w:p>
              </w:tc>
              <w:tc>
                <w:tcPr>
                  <w:tcW w:w="321" w:type="pct"/>
                  <w:tcBorders>
                    <w:top w:val="single" w:color="000000" w:sz="4" w:space="0"/>
                    <w:left w:val="single" w:color="000000" w:sz="4" w:space="0"/>
                    <w:bottom w:val="single" w:color="000000" w:sz="4" w:space="0"/>
                    <w:right w:val="single" w:color="000000" w:sz="4" w:space="0"/>
                  </w:tcBorders>
                  <w:vAlign w:val="center"/>
                </w:tcPr>
                <w:p w14:paraId="7DB0DDE4">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eastAsia="zh-CN"/>
                    </w:rPr>
                    <w:t>0</w:t>
                  </w:r>
                  <w:r>
                    <w:rPr>
                      <w:rFonts w:hint="default" w:ascii="Times New Roman" w:hAnsi="Times New Roman" w:cs="Times New Roman"/>
                      <w:color w:val="auto"/>
                      <w:sz w:val="21"/>
                      <w:szCs w:val="21"/>
                      <w:highlight w:val="none"/>
                    </w:rPr>
                    <w:t>1</w:t>
                  </w:r>
                </w:p>
              </w:tc>
              <w:tc>
                <w:tcPr>
                  <w:tcW w:w="238" w:type="pct"/>
                  <w:tcBorders>
                    <w:top w:val="single" w:color="000000" w:sz="4" w:space="0"/>
                    <w:left w:val="single" w:color="000000" w:sz="4" w:space="0"/>
                    <w:bottom w:val="single" w:color="000000" w:sz="4" w:space="0"/>
                    <w:right w:val="single" w:color="000000" w:sz="4" w:space="0"/>
                  </w:tcBorders>
                  <w:vAlign w:val="center"/>
                </w:tcPr>
                <w:p w14:paraId="1CDFAF70">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2B1ACBB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0.00004L</w:t>
                  </w:r>
                </w:p>
              </w:tc>
              <w:tc>
                <w:tcPr>
                  <w:tcW w:w="314" w:type="pct"/>
                  <w:tcBorders>
                    <w:top w:val="single" w:color="000000" w:sz="4" w:space="0"/>
                    <w:left w:val="single" w:color="000000" w:sz="4" w:space="0"/>
                    <w:bottom w:val="single" w:color="000000" w:sz="4" w:space="0"/>
                    <w:right w:val="single" w:color="000000" w:sz="4" w:space="0"/>
                  </w:tcBorders>
                  <w:vAlign w:val="center"/>
                </w:tcPr>
                <w:p w14:paraId="1C0B57C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0.00004L</w:t>
                  </w:r>
                </w:p>
              </w:tc>
              <w:tc>
                <w:tcPr>
                  <w:tcW w:w="334" w:type="pct"/>
                  <w:tcBorders>
                    <w:top w:val="single" w:color="000000" w:sz="4" w:space="0"/>
                    <w:left w:val="single" w:color="000000" w:sz="4" w:space="0"/>
                    <w:bottom w:val="single" w:color="000000" w:sz="4" w:space="0"/>
                    <w:right w:val="single" w:color="000000" w:sz="4" w:space="0"/>
                  </w:tcBorders>
                  <w:vAlign w:val="center"/>
                </w:tcPr>
                <w:p w14:paraId="471DDBB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0.00004L</w:t>
                  </w:r>
                </w:p>
              </w:tc>
              <w:tc>
                <w:tcPr>
                  <w:tcW w:w="348" w:type="pct"/>
                  <w:tcBorders>
                    <w:top w:val="single" w:color="000000" w:sz="4" w:space="0"/>
                    <w:left w:val="single" w:color="000000" w:sz="4" w:space="0"/>
                    <w:bottom w:val="single" w:color="000000" w:sz="4" w:space="0"/>
                    <w:right w:val="single" w:color="000000" w:sz="4" w:space="0"/>
                  </w:tcBorders>
                  <w:vAlign w:val="center"/>
                </w:tcPr>
                <w:p w14:paraId="2F14D3FE">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eastAsia="zh-CN"/>
                    </w:rPr>
                    <w:t>0</w:t>
                  </w:r>
                  <w:r>
                    <w:rPr>
                      <w:rFonts w:hint="default" w:ascii="Times New Roman" w:hAnsi="Times New Roman" w:cs="Times New Roman"/>
                      <w:color w:val="auto"/>
                      <w:sz w:val="21"/>
                      <w:szCs w:val="21"/>
                      <w:highlight w:val="none"/>
                    </w:rPr>
                    <w:t>1</w:t>
                  </w:r>
                </w:p>
              </w:tc>
              <w:tc>
                <w:tcPr>
                  <w:tcW w:w="226" w:type="pct"/>
                  <w:tcBorders>
                    <w:top w:val="single" w:color="000000" w:sz="4" w:space="0"/>
                    <w:left w:val="single" w:color="000000" w:sz="4" w:space="0"/>
                    <w:bottom w:val="single" w:color="000000" w:sz="4" w:space="0"/>
                    <w:right w:val="single" w:color="000000" w:sz="4" w:space="0"/>
                  </w:tcBorders>
                  <w:vAlign w:val="center"/>
                </w:tcPr>
                <w:p w14:paraId="621DCF4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12D5B16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0.00004L</w:t>
                  </w:r>
                </w:p>
              </w:tc>
              <w:tc>
                <w:tcPr>
                  <w:tcW w:w="314" w:type="pct"/>
                  <w:tcBorders>
                    <w:top w:val="single" w:color="000000" w:sz="4" w:space="0"/>
                    <w:left w:val="single" w:color="000000" w:sz="4" w:space="0"/>
                    <w:bottom w:val="single" w:color="000000" w:sz="4" w:space="0"/>
                    <w:right w:val="single" w:color="000000" w:sz="4" w:space="0"/>
                  </w:tcBorders>
                  <w:vAlign w:val="center"/>
                </w:tcPr>
                <w:p w14:paraId="5EC80F2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0.00004L</w:t>
                  </w:r>
                </w:p>
              </w:tc>
              <w:tc>
                <w:tcPr>
                  <w:tcW w:w="304" w:type="pct"/>
                  <w:tcBorders>
                    <w:top w:val="single" w:color="000000" w:sz="4" w:space="0"/>
                    <w:left w:val="single" w:color="000000" w:sz="4" w:space="0"/>
                    <w:bottom w:val="single" w:color="000000" w:sz="4" w:space="0"/>
                    <w:right w:val="single" w:color="000000" w:sz="4" w:space="0"/>
                  </w:tcBorders>
                  <w:vAlign w:val="center"/>
                </w:tcPr>
                <w:p w14:paraId="21CA243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0.00004L</w:t>
                  </w:r>
                </w:p>
              </w:tc>
              <w:tc>
                <w:tcPr>
                  <w:tcW w:w="301" w:type="pct"/>
                  <w:tcBorders>
                    <w:top w:val="single" w:color="000000" w:sz="4" w:space="0"/>
                    <w:left w:val="single" w:color="000000" w:sz="4" w:space="0"/>
                    <w:bottom w:val="single" w:color="000000" w:sz="4" w:space="0"/>
                    <w:right w:val="single" w:color="000000" w:sz="4" w:space="0"/>
                  </w:tcBorders>
                  <w:vAlign w:val="center"/>
                </w:tcPr>
                <w:p w14:paraId="7D9A426C">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eastAsia="zh-CN"/>
                    </w:rPr>
                    <w:t>0</w:t>
                  </w:r>
                  <w:r>
                    <w:rPr>
                      <w:rFonts w:hint="default" w:ascii="Times New Roman" w:hAnsi="Times New Roman" w:cs="Times New Roman"/>
                      <w:color w:val="auto"/>
                      <w:sz w:val="21"/>
                      <w:szCs w:val="21"/>
                      <w:highlight w:val="none"/>
                    </w:rPr>
                    <w:t>1</w:t>
                  </w:r>
                </w:p>
              </w:tc>
              <w:tc>
                <w:tcPr>
                  <w:tcW w:w="236" w:type="pct"/>
                  <w:tcBorders>
                    <w:top w:val="single" w:color="000000" w:sz="4" w:space="0"/>
                    <w:left w:val="single" w:color="000000" w:sz="4" w:space="0"/>
                    <w:bottom w:val="single" w:color="000000" w:sz="4" w:space="0"/>
                    <w:right w:val="single" w:color="000000" w:sz="4" w:space="0"/>
                  </w:tcBorders>
                  <w:vAlign w:val="center"/>
                </w:tcPr>
                <w:p w14:paraId="4DA33A3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87BA7C3">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1B1A18AE">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氟化物</w:t>
                  </w:r>
                </w:p>
              </w:tc>
              <w:tc>
                <w:tcPr>
                  <w:tcW w:w="335" w:type="pct"/>
                  <w:tcBorders>
                    <w:top w:val="single" w:color="000000" w:sz="4" w:space="0"/>
                    <w:left w:val="single" w:color="000000" w:sz="4" w:space="0"/>
                    <w:bottom w:val="single" w:color="000000" w:sz="4" w:space="0"/>
                    <w:right w:val="single" w:color="000000" w:sz="4" w:space="0"/>
                  </w:tcBorders>
                  <w:vAlign w:val="center"/>
                </w:tcPr>
                <w:p w14:paraId="25CD202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0.16</w:t>
                  </w:r>
                </w:p>
              </w:tc>
              <w:tc>
                <w:tcPr>
                  <w:tcW w:w="341" w:type="pct"/>
                  <w:tcBorders>
                    <w:top w:val="single" w:color="000000" w:sz="4" w:space="0"/>
                    <w:left w:val="single" w:color="000000" w:sz="4" w:space="0"/>
                    <w:bottom w:val="single" w:color="000000" w:sz="4" w:space="0"/>
                    <w:right w:val="single" w:color="000000" w:sz="4" w:space="0"/>
                  </w:tcBorders>
                  <w:vAlign w:val="center"/>
                </w:tcPr>
                <w:p w14:paraId="172941A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0.18</w:t>
                  </w:r>
                </w:p>
              </w:tc>
              <w:tc>
                <w:tcPr>
                  <w:tcW w:w="334" w:type="pct"/>
                  <w:tcBorders>
                    <w:top w:val="single" w:color="000000" w:sz="4" w:space="0"/>
                    <w:left w:val="single" w:color="000000" w:sz="4" w:space="0"/>
                    <w:bottom w:val="single" w:color="000000" w:sz="4" w:space="0"/>
                    <w:right w:val="single" w:color="000000" w:sz="4" w:space="0"/>
                  </w:tcBorders>
                  <w:vAlign w:val="center"/>
                </w:tcPr>
                <w:p w14:paraId="5C5CC2B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0.17</w:t>
                  </w:r>
                </w:p>
              </w:tc>
              <w:tc>
                <w:tcPr>
                  <w:tcW w:w="321" w:type="pct"/>
                  <w:tcBorders>
                    <w:top w:val="single" w:color="000000" w:sz="4" w:space="0"/>
                    <w:left w:val="single" w:color="000000" w:sz="4" w:space="0"/>
                    <w:bottom w:val="single" w:color="000000" w:sz="4" w:space="0"/>
                    <w:right w:val="single" w:color="000000" w:sz="4" w:space="0"/>
                  </w:tcBorders>
                  <w:vAlign w:val="center"/>
                </w:tcPr>
                <w:p w14:paraId="5C07BBAF">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38" w:type="pct"/>
                  <w:tcBorders>
                    <w:top w:val="single" w:color="000000" w:sz="4" w:space="0"/>
                    <w:left w:val="single" w:color="000000" w:sz="4" w:space="0"/>
                    <w:bottom w:val="single" w:color="000000" w:sz="4" w:space="0"/>
                    <w:right w:val="single" w:color="000000" w:sz="4" w:space="0"/>
                  </w:tcBorders>
                  <w:vAlign w:val="center"/>
                </w:tcPr>
                <w:p w14:paraId="0834DC9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3AC44B4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0.17</w:t>
                  </w:r>
                </w:p>
              </w:tc>
              <w:tc>
                <w:tcPr>
                  <w:tcW w:w="314" w:type="pct"/>
                  <w:tcBorders>
                    <w:top w:val="single" w:color="000000" w:sz="4" w:space="0"/>
                    <w:left w:val="single" w:color="000000" w:sz="4" w:space="0"/>
                    <w:bottom w:val="single" w:color="000000" w:sz="4" w:space="0"/>
                    <w:right w:val="single" w:color="000000" w:sz="4" w:space="0"/>
                  </w:tcBorders>
                  <w:vAlign w:val="center"/>
                </w:tcPr>
                <w:p w14:paraId="15198CA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0.16</w:t>
                  </w:r>
                </w:p>
              </w:tc>
              <w:tc>
                <w:tcPr>
                  <w:tcW w:w="334" w:type="pct"/>
                  <w:tcBorders>
                    <w:top w:val="single" w:color="000000" w:sz="4" w:space="0"/>
                    <w:left w:val="single" w:color="000000" w:sz="4" w:space="0"/>
                    <w:bottom w:val="single" w:color="000000" w:sz="4" w:space="0"/>
                    <w:right w:val="single" w:color="000000" w:sz="4" w:space="0"/>
                  </w:tcBorders>
                  <w:vAlign w:val="center"/>
                </w:tcPr>
                <w:p w14:paraId="2B9C83D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0.16</w:t>
                  </w:r>
                </w:p>
              </w:tc>
              <w:tc>
                <w:tcPr>
                  <w:tcW w:w="348" w:type="pct"/>
                  <w:tcBorders>
                    <w:top w:val="single" w:color="000000" w:sz="4" w:space="0"/>
                    <w:left w:val="single" w:color="000000" w:sz="4" w:space="0"/>
                    <w:bottom w:val="single" w:color="000000" w:sz="4" w:space="0"/>
                    <w:right w:val="single" w:color="000000" w:sz="4" w:space="0"/>
                  </w:tcBorders>
                  <w:vAlign w:val="center"/>
                </w:tcPr>
                <w:p w14:paraId="1B85C06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26" w:type="pct"/>
                  <w:tcBorders>
                    <w:top w:val="single" w:color="000000" w:sz="4" w:space="0"/>
                    <w:left w:val="single" w:color="000000" w:sz="4" w:space="0"/>
                    <w:bottom w:val="single" w:color="000000" w:sz="4" w:space="0"/>
                    <w:right w:val="single" w:color="000000" w:sz="4" w:space="0"/>
                  </w:tcBorders>
                  <w:vAlign w:val="center"/>
                </w:tcPr>
                <w:p w14:paraId="24694AEB">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3E4DAFE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0.17</w:t>
                  </w:r>
                </w:p>
              </w:tc>
              <w:tc>
                <w:tcPr>
                  <w:tcW w:w="314" w:type="pct"/>
                  <w:tcBorders>
                    <w:top w:val="single" w:color="000000" w:sz="4" w:space="0"/>
                    <w:left w:val="single" w:color="000000" w:sz="4" w:space="0"/>
                    <w:bottom w:val="single" w:color="000000" w:sz="4" w:space="0"/>
                    <w:right w:val="single" w:color="000000" w:sz="4" w:space="0"/>
                  </w:tcBorders>
                  <w:vAlign w:val="center"/>
                </w:tcPr>
                <w:p w14:paraId="71FFAD1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0.14</w:t>
                  </w:r>
                </w:p>
              </w:tc>
              <w:tc>
                <w:tcPr>
                  <w:tcW w:w="304" w:type="pct"/>
                  <w:tcBorders>
                    <w:top w:val="single" w:color="000000" w:sz="4" w:space="0"/>
                    <w:left w:val="single" w:color="000000" w:sz="4" w:space="0"/>
                    <w:bottom w:val="single" w:color="000000" w:sz="4" w:space="0"/>
                    <w:right w:val="single" w:color="000000" w:sz="4" w:space="0"/>
                  </w:tcBorders>
                  <w:vAlign w:val="center"/>
                </w:tcPr>
                <w:p w14:paraId="09D20A1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0.16</w:t>
                  </w:r>
                </w:p>
              </w:tc>
              <w:tc>
                <w:tcPr>
                  <w:tcW w:w="301" w:type="pct"/>
                  <w:tcBorders>
                    <w:top w:val="single" w:color="000000" w:sz="4" w:space="0"/>
                    <w:left w:val="single" w:color="000000" w:sz="4" w:space="0"/>
                    <w:bottom w:val="single" w:color="000000" w:sz="4" w:space="0"/>
                    <w:right w:val="single" w:color="000000" w:sz="4" w:space="0"/>
                  </w:tcBorders>
                  <w:vAlign w:val="center"/>
                </w:tcPr>
                <w:p w14:paraId="293B6C8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w:t>
                  </w:r>
                </w:p>
              </w:tc>
              <w:tc>
                <w:tcPr>
                  <w:tcW w:w="236" w:type="pct"/>
                  <w:tcBorders>
                    <w:top w:val="single" w:color="000000" w:sz="4" w:space="0"/>
                    <w:left w:val="single" w:color="000000" w:sz="4" w:space="0"/>
                    <w:bottom w:val="single" w:color="000000" w:sz="4" w:space="0"/>
                    <w:right w:val="single" w:color="000000" w:sz="4" w:space="0"/>
                  </w:tcBorders>
                  <w:vAlign w:val="center"/>
                </w:tcPr>
                <w:p w14:paraId="3C76F36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9046683">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18D81DF9">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石油类</w:t>
                  </w:r>
                </w:p>
              </w:tc>
              <w:tc>
                <w:tcPr>
                  <w:tcW w:w="335" w:type="pct"/>
                  <w:tcBorders>
                    <w:top w:val="single" w:color="000000" w:sz="4" w:space="0"/>
                    <w:left w:val="single" w:color="000000" w:sz="4" w:space="0"/>
                    <w:bottom w:val="single" w:color="000000" w:sz="4" w:space="0"/>
                    <w:right w:val="single" w:color="000000" w:sz="4" w:space="0"/>
                  </w:tcBorders>
                  <w:vAlign w:val="center"/>
                </w:tcPr>
                <w:p w14:paraId="7A492C1F">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41" w:type="pct"/>
                  <w:tcBorders>
                    <w:top w:val="single" w:color="000000" w:sz="4" w:space="0"/>
                    <w:left w:val="single" w:color="000000" w:sz="4" w:space="0"/>
                    <w:bottom w:val="single" w:color="000000" w:sz="4" w:space="0"/>
                    <w:right w:val="single" w:color="auto" w:sz="4" w:space="0"/>
                  </w:tcBorders>
                  <w:vAlign w:val="center"/>
                </w:tcPr>
                <w:p w14:paraId="0B2F273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34" w:type="pct"/>
                  <w:tcBorders>
                    <w:top w:val="single" w:color="000000" w:sz="4" w:space="0"/>
                    <w:left w:val="single" w:color="auto" w:sz="4" w:space="0"/>
                    <w:bottom w:val="single" w:color="000000" w:sz="4" w:space="0"/>
                    <w:right w:val="single" w:color="000000" w:sz="4" w:space="0"/>
                  </w:tcBorders>
                  <w:vAlign w:val="center"/>
                </w:tcPr>
                <w:p w14:paraId="6D042EC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21" w:type="pct"/>
                  <w:tcBorders>
                    <w:top w:val="single" w:color="000000" w:sz="4" w:space="0"/>
                    <w:left w:val="single" w:color="auto" w:sz="4" w:space="0"/>
                    <w:bottom w:val="single" w:color="000000" w:sz="4" w:space="0"/>
                    <w:right w:val="single" w:color="000000" w:sz="4" w:space="0"/>
                  </w:tcBorders>
                  <w:vAlign w:val="center"/>
                </w:tcPr>
                <w:p w14:paraId="7E827C36">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0.05</w:t>
                  </w:r>
                </w:p>
              </w:tc>
              <w:tc>
                <w:tcPr>
                  <w:tcW w:w="238" w:type="pct"/>
                  <w:tcBorders>
                    <w:top w:val="single" w:color="000000" w:sz="4" w:space="0"/>
                    <w:left w:val="single" w:color="000000" w:sz="4" w:space="0"/>
                    <w:bottom w:val="single" w:color="000000" w:sz="4" w:space="0"/>
                    <w:right w:val="single" w:color="000000" w:sz="4" w:space="0"/>
                  </w:tcBorders>
                  <w:vAlign w:val="center"/>
                </w:tcPr>
                <w:p w14:paraId="1014F846">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299F5BB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14" w:type="pct"/>
                  <w:tcBorders>
                    <w:top w:val="single" w:color="000000" w:sz="4" w:space="0"/>
                    <w:left w:val="single" w:color="000000" w:sz="4" w:space="0"/>
                    <w:bottom w:val="single" w:color="000000" w:sz="4" w:space="0"/>
                    <w:right w:val="single" w:color="auto" w:sz="4" w:space="0"/>
                  </w:tcBorders>
                  <w:vAlign w:val="center"/>
                </w:tcPr>
                <w:p w14:paraId="46433E3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34" w:type="pct"/>
                  <w:tcBorders>
                    <w:top w:val="single" w:color="000000" w:sz="4" w:space="0"/>
                    <w:left w:val="single" w:color="auto" w:sz="4" w:space="0"/>
                    <w:bottom w:val="single" w:color="000000" w:sz="4" w:space="0"/>
                    <w:right w:val="single" w:color="000000" w:sz="4" w:space="0"/>
                  </w:tcBorders>
                  <w:vAlign w:val="center"/>
                </w:tcPr>
                <w:p w14:paraId="09389DC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48" w:type="pct"/>
                  <w:tcBorders>
                    <w:top w:val="single" w:color="000000" w:sz="4" w:space="0"/>
                    <w:left w:val="single" w:color="auto" w:sz="4" w:space="0"/>
                    <w:bottom w:val="single" w:color="000000" w:sz="4" w:space="0"/>
                    <w:right w:val="single" w:color="000000" w:sz="4" w:space="0"/>
                  </w:tcBorders>
                  <w:vAlign w:val="center"/>
                </w:tcPr>
                <w:p w14:paraId="079C876B">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0.05</w:t>
                  </w:r>
                </w:p>
              </w:tc>
              <w:tc>
                <w:tcPr>
                  <w:tcW w:w="226" w:type="pct"/>
                  <w:tcBorders>
                    <w:top w:val="single" w:color="000000" w:sz="4" w:space="0"/>
                    <w:left w:val="single" w:color="000000" w:sz="4" w:space="0"/>
                    <w:bottom w:val="single" w:color="000000" w:sz="4" w:space="0"/>
                    <w:right w:val="single" w:color="000000" w:sz="4" w:space="0"/>
                  </w:tcBorders>
                  <w:vAlign w:val="center"/>
                </w:tcPr>
                <w:p w14:paraId="249CCC54">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2DB4724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14" w:type="pct"/>
                  <w:tcBorders>
                    <w:top w:val="single" w:color="000000" w:sz="4" w:space="0"/>
                    <w:left w:val="single" w:color="000000" w:sz="4" w:space="0"/>
                    <w:bottom w:val="single" w:color="000000" w:sz="4" w:space="0"/>
                    <w:right w:val="single" w:color="000000" w:sz="4" w:space="0"/>
                  </w:tcBorders>
                  <w:vAlign w:val="center"/>
                </w:tcPr>
                <w:p w14:paraId="648F30E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04" w:type="pct"/>
                  <w:tcBorders>
                    <w:top w:val="single" w:color="000000" w:sz="4" w:space="0"/>
                    <w:left w:val="single" w:color="000000" w:sz="4" w:space="0"/>
                    <w:bottom w:val="single" w:color="000000" w:sz="4" w:space="0"/>
                    <w:right w:val="single" w:color="000000" w:sz="4" w:space="0"/>
                  </w:tcBorders>
                  <w:vAlign w:val="center"/>
                </w:tcPr>
                <w:p w14:paraId="013319B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01" w:type="pct"/>
                  <w:tcBorders>
                    <w:top w:val="single" w:color="000000" w:sz="4" w:space="0"/>
                    <w:left w:val="single" w:color="000000" w:sz="4" w:space="0"/>
                    <w:bottom w:val="single" w:color="000000" w:sz="4" w:space="0"/>
                    <w:right w:val="single" w:color="000000" w:sz="4" w:space="0"/>
                  </w:tcBorders>
                  <w:vAlign w:val="center"/>
                </w:tcPr>
                <w:p w14:paraId="23CA2EBF">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0.05</w:t>
                  </w:r>
                </w:p>
              </w:tc>
              <w:tc>
                <w:tcPr>
                  <w:tcW w:w="236" w:type="pct"/>
                  <w:tcBorders>
                    <w:top w:val="single" w:color="000000" w:sz="4" w:space="0"/>
                    <w:left w:val="single" w:color="000000" w:sz="4" w:space="0"/>
                    <w:bottom w:val="single" w:color="000000" w:sz="4" w:space="0"/>
                    <w:right w:val="single" w:color="000000" w:sz="4" w:space="0"/>
                  </w:tcBorders>
                  <w:vAlign w:val="center"/>
                </w:tcPr>
                <w:p w14:paraId="04F3DDE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258E37A">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1B06B3FE">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总大肠菌群数（CFU/100mL）</w:t>
                  </w:r>
                </w:p>
              </w:tc>
              <w:tc>
                <w:tcPr>
                  <w:tcW w:w="335" w:type="pct"/>
                  <w:tcBorders>
                    <w:top w:val="single" w:color="000000" w:sz="4" w:space="0"/>
                    <w:left w:val="single" w:color="000000" w:sz="4" w:space="0"/>
                    <w:bottom w:val="single" w:color="000000" w:sz="4" w:space="0"/>
                    <w:right w:val="single" w:color="000000" w:sz="4" w:space="0"/>
                  </w:tcBorders>
                  <w:vAlign w:val="center"/>
                </w:tcPr>
                <w:p w14:paraId="7C11BC0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341" w:type="pct"/>
                  <w:tcBorders>
                    <w:top w:val="single" w:color="000000" w:sz="4" w:space="0"/>
                    <w:left w:val="single" w:color="000000" w:sz="4" w:space="0"/>
                    <w:bottom w:val="single" w:color="000000" w:sz="4" w:space="0"/>
                    <w:right w:val="single" w:color="auto" w:sz="4" w:space="0"/>
                  </w:tcBorders>
                  <w:vAlign w:val="center"/>
                </w:tcPr>
                <w:p w14:paraId="7039A6D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334" w:type="pct"/>
                  <w:tcBorders>
                    <w:top w:val="single" w:color="000000" w:sz="4" w:space="0"/>
                    <w:left w:val="single" w:color="auto" w:sz="4" w:space="0"/>
                    <w:bottom w:val="single" w:color="000000" w:sz="4" w:space="0"/>
                    <w:right w:val="single" w:color="000000" w:sz="4" w:space="0"/>
                  </w:tcBorders>
                  <w:vAlign w:val="center"/>
                </w:tcPr>
                <w:p w14:paraId="3C997B0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321" w:type="pct"/>
                  <w:tcBorders>
                    <w:top w:val="single" w:color="000000" w:sz="4" w:space="0"/>
                    <w:left w:val="single" w:color="auto" w:sz="4" w:space="0"/>
                    <w:bottom w:val="single" w:color="000000" w:sz="4" w:space="0"/>
                    <w:right w:val="single" w:color="000000" w:sz="4" w:space="0"/>
                  </w:tcBorders>
                  <w:vAlign w:val="center"/>
                </w:tcPr>
                <w:p w14:paraId="3DAE2283">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238" w:type="pct"/>
                  <w:tcBorders>
                    <w:top w:val="single" w:color="000000" w:sz="4" w:space="0"/>
                    <w:left w:val="single" w:color="000000" w:sz="4" w:space="0"/>
                    <w:bottom w:val="single" w:color="000000" w:sz="4" w:space="0"/>
                    <w:right w:val="single" w:color="000000" w:sz="4" w:space="0"/>
                  </w:tcBorders>
                  <w:vAlign w:val="center"/>
                </w:tcPr>
                <w:p w14:paraId="35C2E8C8">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01BA3E0B">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314" w:type="pct"/>
                  <w:tcBorders>
                    <w:top w:val="single" w:color="000000" w:sz="4" w:space="0"/>
                    <w:left w:val="single" w:color="000000" w:sz="4" w:space="0"/>
                    <w:bottom w:val="single" w:color="000000" w:sz="4" w:space="0"/>
                    <w:right w:val="single" w:color="auto" w:sz="4" w:space="0"/>
                  </w:tcBorders>
                  <w:vAlign w:val="center"/>
                </w:tcPr>
                <w:p w14:paraId="1E06964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334" w:type="pct"/>
                  <w:tcBorders>
                    <w:top w:val="single" w:color="000000" w:sz="4" w:space="0"/>
                    <w:left w:val="single" w:color="auto" w:sz="4" w:space="0"/>
                    <w:bottom w:val="single" w:color="000000" w:sz="4" w:space="0"/>
                    <w:right w:val="single" w:color="000000" w:sz="4" w:space="0"/>
                  </w:tcBorders>
                  <w:vAlign w:val="center"/>
                </w:tcPr>
                <w:p w14:paraId="7B717B7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348" w:type="pct"/>
                  <w:tcBorders>
                    <w:top w:val="single" w:color="000000" w:sz="4" w:space="0"/>
                    <w:left w:val="single" w:color="auto" w:sz="4" w:space="0"/>
                    <w:bottom w:val="single" w:color="000000" w:sz="4" w:space="0"/>
                    <w:right w:val="single" w:color="000000" w:sz="4" w:space="0"/>
                  </w:tcBorders>
                  <w:vAlign w:val="center"/>
                </w:tcPr>
                <w:p w14:paraId="2F3C3EBA">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226" w:type="pct"/>
                  <w:tcBorders>
                    <w:top w:val="single" w:color="000000" w:sz="4" w:space="0"/>
                    <w:left w:val="single" w:color="000000" w:sz="4" w:space="0"/>
                    <w:bottom w:val="single" w:color="000000" w:sz="4" w:space="0"/>
                    <w:right w:val="single" w:color="000000" w:sz="4" w:space="0"/>
                  </w:tcBorders>
                  <w:vAlign w:val="center"/>
                </w:tcPr>
                <w:p w14:paraId="26CAD2BE">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340D73D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314" w:type="pct"/>
                  <w:tcBorders>
                    <w:top w:val="single" w:color="000000" w:sz="4" w:space="0"/>
                    <w:left w:val="single" w:color="000000" w:sz="4" w:space="0"/>
                    <w:bottom w:val="single" w:color="000000" w:sz="4" w:space="0"/>
                    <w:right w:val="single" w:color="000000" w:sz="4" w:space="0"/>
                  </w:tcBorders>
                  <w:vAlign w:val="center"/>
                </w:tcPr>
                <w:p w14:paraId="4AE196A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304" w:type="pct"/>
                  <w:tcBorders>
                    <w:top w:val="single" w:color="000000" w:sz="4" w:space="0"/>
                    <w:left w:val="single" w:color="000000" w:sz="4" w:space="0"/>
                    <w:bottom w:val="single" w:color="000000" w:sz="4" w:space="0"/>
                    <w:right w:val="single" w:color="000000" w:sz="4" w:space="0"/>
                  </w:tcBorders>
                  <w:vAlign w:val="center"/>
                </w:tcPr>
                <w:p w14:paraId="64E3CA1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301" w:type="pct"/>
                  <w:tcBorders>
                    <w:top w:val="single" w:color="000000" w:sz="4" w:space="0"/>
                    <w:left w:val="single" w:color="000000" w:sz="4" w:space="0"/>
                    <w:bottom w:val="single" w:color="000000" w:sz="4" w:space="0"/>
                    <w:right w:val="single" w:color="000000" w:sz="4" w:space="0"/>
                  </w:tcBorders>
                  <w:vAlign w:val="center"/>
                </w:tcPr>
                <w:p w14:paraId="384BB09E">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236" w:type="pct"/>
                  <w:tcBorders>
                    <w:top w:val="single" w:color="000000" w:sz="4" w:space="0"/>
                    <w:left w:val="single" w:color="000000" w:sz="4" w:space="0"/>
                    <w:bottom w:val="single" w:color="000000" w:sz="4" w:space="0"/>
                    <w:right w:val="single" w:color="000000" w:sz="4" w:space="0"/>
                  </w:tcBorders>
                  <w:vAlign w:val="center"/>
                </w:tcPr>
                <w:p w14:paraId="590003A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A5FA727">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4" w:space="0"/>
                    <w:right w:val="single" w:color="000000" w:sz="4" w:space="0"/>
                  </w:tcBorders>
                  <w:vAlign w:val="center"/>
                </w:tcPr>
                <w:p w14:paraId="4E8D7EA5">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细菌总数(CFU/mL)</w:t>
                  </w:r>
                </w:p>
              </w:tc>
              <w:tc>
                <w:tcPr>
                  <w:tcW w:w="335" w:type="pct"/>
                  <w:tcBorders>
                    <w:top w:val="single" w:color="000000" w:sz="4" w:space="0"/>
                    <w:left w:val="single" w:color="000000" w:sz="4" w:space="0"/>
                    <w:bottom w:val="single" w:color="000000" w:sz="4" w:space="0"/>
                    <w:right w:val="single" w:color="000000" w:sz="4" w:space="0"/>
                  </w:tcBorders>
                  <w:vAlign w:val="center"/>
                </w:tcPr>
                <w:p w14:paraId="18197E6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341" w:type="pct"/>
                  <w:tcBorders>
                    <w:top w:val="single" w:color="000000" w:sz="4" w:space="0"/>
                    <w:left w:val="single" w:color="000000" w:sz="4" w:space="0"/>
                    <w:bottom w:val="single" w:color="000000" w:sz="4" w:space="0"/>
                    <w:right w:val="single" w:color="auto" w:sz="4" w:space="0"/>
                  </w:tcBorders>
                  <w:vAlign w:val="center"/>
                </w:tcPr>
                <w:p w14:paraId="29BACB5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334" w:type="pct"/>
                  <w:tcBorders>
                    <w:top w:val="single" w:color="000000" w:sz="4" w:space="0"/>
                    <w:left w:val="single" w:color="auto" w:sz="4" w:space="0"/>
                    <w:bottom w:val="single" w:color="000000" w:sz="4" w:space="0"/>
                    <w:right w:val="single" w:color="000000" w:sz="4" w:space="0"/>
                  </w:tcBorders>
                  <w:vAlign w:val="center"/>
                </w:tcPr>
                <w:p w14:paraId="48542B82">
                  <w:pPr>
                    <w:widowControl/>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321" w:type="pct"/>
                  <w:tcBorders>
                    <w:top w:val="single" w:color="000000" w:sz="4" w:space="0"/>
                    <w:left w:val="single" w:color="auto" w:sz="4" w:space="0"/>
                    <w:bottom w:val="single" w:color="000000" w:sz="4" w:space="0"/>
                    <w:right w:val="single" w:color="000000" w:sz="4" w:space="0"/>
                  </w:tcBorders>
                  <w:vAlign w:val="center"/>
                </w:tcPr>
                <w:p w14:paraId="5A07838B">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100</w:t>
                  </w:r>
                </w:p>
              </w:tc>
              <w:tc>
                <w:tcPr>
                  <w:tcW w:w="238" w:type="pct"/>
                  <w:tcBorders>
                    <w:top w:val="single" w:color="000000" w:sz="4" w:space="0"/>
                    <w:left w:val="single" w:color="000000" w:sz="4" w:space="0"/>
                    <w:bottom w:val="single" w:color="000000" w:sz="4" w:space="0"/>
                    <w:right w:val="single" w:color="000000" w:sz="4" w:space="0"/>
                  </w:tcBorders>
                  <w:vAlign w:val="center"/>
                </w:tcPr>
                <w:p w14:paraId="5E262DBB">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7ADEA4D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314" w:type="pct"/>
                  <w:tcBorders>
                    <w:top w:val="single" w:color="000000" w:sz="4" w:space="0"/>
                    <w:left w:val="single" w:color="000000" w:sz="4" w:space="0"/>
                    <w:bottom w:val="single" w:color="000000" w:sz="4" w:space="0"/>
                    <w:right w:val="single" w:color="auto" w:sz="4" w:space="0"/>
                  </w:tcBorders>
                  <w:vAlign w:val="center"/>
                </w:tcPr>
                <w:p w14:paraId="07AE6F38">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w:t>
                  </w:r>
                </w:p>
              </w:tc>
              <w:tc>
                <w:tcPr>
                  <w:tcW w:w="334" w:type="pct"/>
                  <w:tcBorders>
                    <w:top w:val="single" w:color="000000" w:sz="4" w:space="0"/>
                    <w:left w:val="single" w:color="auto" w:sz="4" w:space="0"/>
                    <w:bottom w:val="single" w:color="000000" w:sz="4" w:space="0"/>
                    <w:right w:val="single" w:color="000000" w:sz="4" w:space="0"/>
                  </w:tcBorders>
                  <w:vAlign w:val="center"/>
                </w:tcPr>
                <w:p w14:paraId="10248B45">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w:t>
                  </w:r>
                </w:p>
              </w:tc>
              <w:tc>
                <w:tcPr>
                  <w:tcW w:w="348" w:type="pct"/>
                  <w:tcBorders>
                    <w:top w:val="single" w:color="000000" w:sz="4" w:space="0"/>
                    <w:left w:val="single" w:color="auto" w:sz="4" w:space="0"/>
                    <w:bottom w:val="single" w:color="000000" w:sz="4" w:space="0"/>
                    <w:right w:val="single" w:color="000000" w:sz="4" w:space="0"/>
                  </w:tcBorders>
                  <w:vAlign w:val="center"/>
                </w:tcPr>
                <w:p w14:paraId="25091D6C">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100</w:t>
                  </w:r>
                </w:p>
              </w:tc>
              <w:tc>
                <w:tcPr>
                  <w:tcW w:w="226" w:type="pct"/>
                  <w:tcBorders>
                    <w:top w:val="single" w:color="000000" w:sz="4" w:space="0"/>
                    <w:left w:val="single" w:color="000000" w:sz="4" w:space="0"/>
                    <w:bottom w:val="single" w:color="000000" w:sz="4" w:space="0"/>
                    <w:right w:val="single" w:color="000000" w:sz="4" w:space="0"/>
                  </w:tcBorders>
                  <w:vAlign w:val="center"/>
                </w:tcPr>
                <w:p w14:paraId="12381A65">
                  <w:pPr>
                    <w:pStyle w:val="69"/>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7C45BBB4">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314" w:type="pct"/>
                  <w:tcBorders>
                    <w:top w:val="single" w:color="000000" w:sz="4" w:space="0"/>
                    <w:left w:val="single" w:color="000000" w:sz="4" w:space="0"/>
                    <w:bottom w:val="single" w:color="000000" w:sz="4" w:space="0"/>
                    <w:right w:val="single" w:color="000000" w:sz="4" w:space="0"/>
                  </w:tcBorders>
                  <w:vAlign w:val="center"/>
                </w:tcPr>
                <w:p w14:paraId="34EA2D9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p>
              </w:tc>
              <w:tc>
                <w:tcPr>
                  <w:tcW w:w="304" w:type="pct"/>
                  <w:tcBorders>
                    <w:top w:val="single" w:color="000000" w:sz="4" w:space="0"/>
                    <w:left w:val="single" w:color="000000" w:sz="4" w:space="0"/>
                    <w:bottom w:val="single" w:color="000000" w:sz="4" w:space="0"/>
                    <w:right w:val="single" w:color="000000" w:sz="4" w:space="0"/>
                  </w:tcBorders>
                  <w:vAlign w:val="center"/>
                </w:tcPr>
                <w:p w14:paraId="34EA4CD5">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301" w:type="pct"/>
                  <w:tcBorders>
                    <w:top w:val="single" w:color="000000" w:sz="4" w:space="0"/>
                    <w:left w:val="single" w:color="000000" w:sz="4" w:space="0"/>
                    <w:bottom w:val="single" w:color="000000" w:sz="4" w:space="0"/>
                    <w:right w:val="single" w:color="000000" w:sz="4" w:space="0"/>
                  </w:tcBorders>
                  <w:vAlign w:val="center"/>
                </w:tcPr>
                <w:p w14:paraId="4FC1E471">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100</w:t>
                  </w:r>
                </w:p>
              </w:tc>
              <w:tc>
                <w:tcPr>
                  <w:tcW w:w="236" w:type="pct"/>
                  <w:tcBorders>
                    <w:top w:val="single" w:color="000000" w:sz="4" w:space="0"/>
                    <w:left w:val="single" w:color="000000" w:sz="4" w:space="0"/>
                    <w:bottom w:val="single" w:color="000000" w:sz="4" w:space="0"/>
                    <w:right w:val="single" w:color="000000" w:sz="4" w:space="0"/>
                  </w:tcBorders>
                  <w:vAlign w:val="center"/>
                </w:tcPr>
                <w:p w14:paraId="4D6D4579">
                  <w:pPr>
                    <w:pStyle w:val="69"/>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达标</w:t>
                  </w:r>
                </w:p>
              </w:tc>
            </w:tr>
            <w:tr w14:paraId="75087D7E">
              <w:trPr>
                <w:jc w:val="center"/>
              </w:trPr>
              <w:tc>
                <w:tcPr>
                  <w:tcW w:w="175" w:type="pct"/>
                  <w:vMerge w:val="restart"/>
                  <w:tcBorders>
                    <w:top w:val="single" w:color="000000" w:sz="4" w:space="0"/>
                    <w:left w:val="single" w:color="000000" w:sz="4" w:space="0"/>
                    <w:right w:val="single" w:color="000000" w:sz="4" w:space="0"/>
                  </w:tcBorders>
                  <w:vAlign w:val="center"/>
                </w:tcPr>
                <w:p w14:paraId="79C7F8B7">
                  <w:pPr>
                    <w:widowControl/>
                    <w:spacing w:line="240" w:lineRule="exact"/>
                    <w:jc w:val="center"/>
                    <w:rPr>
                      <w:rFonts w:hint="default"/>
                      <w:color w:val="auto"/>
                      <w:sz w:val="21"/>
                      <w:szCs w:val="21"/>
                      <w:highlight w:val="none"/>
                    </w:rPr>
                  </w:pPr>
                </w:p>
                <w:p w14:paraId="7E4819A0">
                  <w:pPr>
                    <w:pStyle w:val="24"/>
                    <w:ind w:left="0" w:leftChars="0" w:firstLine="0" w:firstLineChars="0"/>
                    <w:jc w:val="center"/>
                    <w:rPr>
                      <w:rFonts w:hint="eastAsia" w:eastAsia="宋体"/>
                      <w:color w:val="auto"/>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二甲苯</w:t>
                  </w:r>
                </w:p>
              </w:tc>
              <w:tc>
                <w:tcPr>
                  <w:tcW w:w="243" w:type="pct"/>
                  <w:tcBorders>
                    <w:top w:val="single" w:color="000000" w:sz="4" w:space="0"/>
                    <w:left w:val="single" w:color="000000" w:sz="4" w:space="0"/>
                    <w:bottom w:val="single" w:color="000000" w:sz="4" w:space="0"/>
                    <w:right w:val="single" w:color="000000" w:sz="4" w:space="0"/>
                  </w:tcBorders>
                  <w:vAlign w:val="center"/>
                </w:tcPr>
                <w:p w14:paraId="01D674C9">
                  <w:pPr>
                    <w:spacing w:line="240" w:lineRule="exact"/>
                    <w:jc w:val="center"/>
                    <w:rPr>
                      <w:rFonts w:hint="default"/>
                      <w:color w:val="auto"/>
                      <w:sz w:val="21"/>
                      <w:szCs w:val="21"/>
                      <w:highlight w:val="none"/>
                    </w:rPr>
                  </w:pPr>
                  <w:r>
                    <w:rPr>
                      <w:rFonts w:hint="default" w:ascii="Times New Roman" w:hAnsi="Times New Roman" w:cs="Times New Roman"/>
                      <w:color w:val="auto"/>
                      <w:sz w:val="21"/>
                      <w:szCs w:val="21"/>
                      <w:highlight w:val="none"/>
                    </w:rPr>
                    <w:t>对二甲苯</w:t>
                  </w:r>
                </w:p>
              </w:tc>
              <w:tc>
                <w:tcPr>
                  <w:tcW w:w="335" w:type="pct"/>
                  <w:tcBorders>
                    <w:top w:val="single" w:color="000000" w:sz="4" w:space="0"/>
                    <w:left w:val="single" w:color="000000" w:sz="4" w:space="0"/>
                    <w:bottom w:val="single" w:color="000000" w:sz="4" w:space="0"/>
                    <w:right w:val="single" w:color="000000" w:sz="4" w:space="0"/>
                  </w:tcBorders>
                  <w:vAlign w:val="center"/>
                </w:tcPr>
                <w:p w14:paraId="6A75BE1B">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0.05L</w:t>
                  </w:r>
                </w:p>
              </w:tc>
              <w:tc>
                <w:tcPr>
                  <w:tcW w:w="341" w:type="pct"/>
                  <w:tcBorders>
                    <w:top w:val="single" w:color="000000" w:sz="4" w:space="0"/>
                    <w:left w:val="single" w:color="000000" w:sz="4" w:space="0"/>
                    <w:bottom w:val="single" w:color="000000" w:sz="4" w:space="0"/>
                    <w:right w:val="single" w:color="auto" w:sz="4" w:space="0"/>
                  </w:tcBorders>
                  <w:vAlign w:val="center"/>
                </w:tcPr>
                <w:p w14:paraId="45867929">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0.05L</w:t>
                  </w:r>
                </w:p>
              </w:tc>
              <w:tc>
                <w:tcPr>
                  <w:tcW w:w="334" w:type="pct"/>
                  <w:tcBorders>
                    <w:top w:val="single" w:color="000000" w:sz="4" w:space="0"/>
                    <w:left w:val="single" w:color="auto" w:sz="4" w:space="0"/>
                    <w:bottom w:val="single" w:color="000000" w:sz="4" w:space="0"/>
                    <w:right w:val="single" w:color="000000" w:sz="4" w:space="0"/>
                  </w:tcBorders>
                  <w:vAlign w:val="center"/>
                </w:tcPr>
                <w:p w14:paraId="5625C940">
                  <w:pPr>
                    <w:spacing w:line="240" w:lineRule="exact"/>
                    <w:jc w:val="center"/>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0.05L</w:t>
                  </w:r>
                </w:p>
              </w:tc>
              <w:tc>
                <w:tcPr>
                  <w:tcW w:w="321" w:type="pct"/>
                  <w:vMerge w:val="restart"/>
                  <w:tcBorders>
                    <w:top w:val="single" w:color="000000" w:sz="4" w:space="0"/>
                    <w:left w:val="single" w:color="auto" w:sz="4" w:space="0"/>
                    <w:right w:val="single" w:color="000000" w:sz="4" w:space="0"/>
                  </w:tcBorders>
                  <w:vAlign w:val="center"/>
                </w:tcPr>
                <w:p w14:paraId="3614FAC3">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≤500</w:t>
                  </w:r>
                </w:p>
              </w:tc>
              <w:tc>
                <w:tcPr>
                  <w:tcW w:w="238" w:type="pct"/>
                  <w:tcBorders>
                    <w:top w:val="single" w:color="000000" w:sz="4" w:space="0"/>
                    <w:left w:val="single" w:color="000000" w:sz="4" w:space="0"/>
                    <w:bottom w:val="single" w:color="000000" w:sz="4" w:space="0"/>
                    <w:right w:val="single" w:color="000000" w:sz="4" w:space="0"/>
                  </w:tcBorders>
                  <w:vAlign w:val="center"/>
                </w:tcPr>
                <w:p w14:paraId="357B68CC">
                  <w:pPr>
                    <w:pStyle w:val="69"/>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549A3EB2">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14" w:type="pct"/>
                  <w:tcBorders>
                    <w:top w:val="single" w:color="000000" w:sz="4" w:space="0"/>
                    <w:left w:val="single" w:color="000000" w:sz="4" w:space="0"/>
                    <w:bottom w:val="single" w:color="000000" w:sz="4" w:space="0"/>
                    <w:right w:val="single" w:color="auto" w:sz="4" w:space="0"/>
                  </w:tcBorders>
                  <w:vAlign w:val="center"/>
                </w:tcPr>
                <w:p w14:paraId="38601B32">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34" w:type="pct"/>
                  <w:tcBorders>
                    <w:top w:val="single" w:color="000000" w:sz="4" w:space="0"/>
                    <w:left w:val="single" w:color="auto" w:sz="4" w:space="0"/>
                    <w:bottom w:val="single" w:color="000000" w:sz="4" w:space="0"/>
                    <w:right w:val="single" w:color="000000" w:sz="4" w:space="0"/>
                  </w:tcBorders>
                  <w:vAlign w:val="center"/>
                </w:tcPr>
                <w:p w14:paraId="6D185141">
                  <w:pPr>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48" w:type="pct"/>
                  <w:vMerge w:val="restart"/>
                  <w:tcBorders>
                    <w:top w:val="single" w:color="000000" w:sz="4" w:space="0"/>
                    <w:left w:val="single" w:color="auto" w:sz="4" w:space="0"/>
                    <w:right w:val="single" w:color="000000" w:sz="4" w:space="0"/>
                  </w:tcBorders>
                  <w:vAlign w:val="center"/>
                </w:tcPr>
                <w:p w14:paraId="10E23284">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≤500</w:t>
                  </w:r>
                </w:p>
              </w:tc>
              <w:tc>
                <w:tcPr>
                  <w:tcW w:w="226" w:type="pct"/>
                  <w:tcBorders>
                    <w:top w:val="single" w:color="000000" w:sz="4" w:space="0"/>
                    <w:left w:val="single" w:color="000000" w:sz="4" w:space="0"/>
                    <w:bottom w:val="single" w:color="000000" w:sz="4" w:space="0"/>
                    <w:right w:val="single" w:color="000000" w:sz="4" w:space="0"/>
                  </w:tcBorders>
                  <w:vAlign w:val="center"/>
                </w:tcPr>
                <w:p w14:paraId="3CD24C77">
                  <w:pPr>
                    <w:pStyle w:val="69"/>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43464127">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14" w:type="pct"/>
                  <w:tcBorders>
                    <w:top w:val="single" w:color="000000" w:sz="4" w:space="0"/>
                    <w:left w:val="single" w:color="000000" w:sz="4" w:space="0"/>
                    <w:bottom w:val="single" w:color="000000" w:sz="4" w:space="0"/>
                    <w:right w:val="single" w:color="000000" w:sz="4" w:space="0"/>
                  </w:tcBorders>
                  <w:vAlign w:val="center"/>
                </w:tcPr>
                <w:p w14:paraId="7E026688">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04" w:type="pct"/>
                  <w:tcBorders>
                    <w:top w:val="single" w:color="000000" w:sz="4" w:space="0"/>
                    <w:left w:val="single" w:color="000000" w:sz="4" w:space="0"/>
                    <w:bottom w:val="single" w:color="000000" w:sz="4" w:space="0"/>
                    <w:right w:val="single" w:color="000000" w:sz="4" w:space="0"/>
                  </w:tcBorders>
                  <w:vAlign w:val="center"/>
                </w:tcPr>
                <w:p w14:paraId="2097FDF8">
                  <w:pPr>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01" w:type="pct"/>
                  <w:vMerge w:val="restart"/>
                  <w:tcBorders>
                    <w:top w:val="single" w:color="000000" w:sz="4" w:space="0"/>
                    <w:left w:val="single" w:color="000000" w:sz="4" w:space="0"/>
                    <w:right w:val="single" w:color="000000" w:sz="4" w:space="0"/>
                  </w:tcBorders>
                  <w:vAlign w:val="center"/>
                </w:tcPr>
                <w:p w14:paraId="736ED574">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≤500</w:t>
                  </w:r>
                </w:p>
              </w:tc>
              <w:tc>
                <w:tcPr>
                  <w:tcW w:w="236" w:type="pct"/>
                  <w:tcBorders>
                    <w:top w:val="single" w:color="000000" w:sz="4" w:space="0"/>
                    <w:left w:val="single" w:color="000000" w:sz="4" w:space="0"/>
                    <w:bottom w:val="single" w:color="000000" w:sz="4" w:space="0"/>
                    <w:right w:val="single" w:color="000000" w:sz="4" w:space="0"/>
                  </w:tcBorders>
                  <w:vAlign w:val="center"/>
                </w:tcPr>
                <w:p w14:paraId="1BB97ED4">
                  <w:pPr>
                    <w:pStyle w:val="69"/>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达标</w:t>
                  </w:r>
                </w:p>
              </w:tc>
            </w:tr>
            <w:tr w14:paraId="0C7B9B9A">
              <w:tblPrEx>
                <w:tblCellMar>
                  <w:top w:w="0" w:type="dxa"/>
                  <w:left w:w="0" w:type="dxa"/>
                  <w:bottom w:w="0" w:type="dxa"/>
                  <w:right w:w="0" w:type="dxa"/>
                </w:tblCellMar>
              </w:tblPrEx>
              <w:trPr>
                <w:jc w:val="center"/>
              </w:trPr>
              <w:tc>
                <w:tcPr>
                  <w:tcW w:w="175" w:type="pct"/>
                  <w:vMerge w:val="continue"/>
                  <w:tcBorders>
                    <w:left w:val="single" w:color="000000" w:sz="4" w:space="0"/>
                    <w:right w:val="single" w:color="000000" w:sz="4" w:space="0"/>
                  </w:tcBorders>
                  <w:vAlign w:val="center"/>
                </w:tcPr>
                <w:p w14:paraId="07615F0B">
                  <w:pPr>
                    <w:pStyle w:val="24"/>
                    <w:jc w:val="center"/>
                    <w:rPr>
                      <w:rFonts w:hint="default"/>
                      <w:color w:val="auto"/>
                      <w:sz w:val="21"/>
                      <w:szCs w:val="21"/>
                      <w:highlight w:val="none"/>
                    </w:rPr>
                  </w:pPr>
                </w:p>
              </w:tc>
              <w:tc>
                <w:tcPr>
                  <w:tcW w:w="243" w:type="pct"/>
                  <w:tcBorders>
                    <w:top w:val="single" w:color="000000" w:sz="4" w:space="0"/>
                    <w:left w:val="single" w:color="000000" w:sz="4" w:space="0"/>
                    <w:bottom w:val="single" w:color="000000" w:sz="4" w:space="0"/>
                    <w:right w:val="single" w:color="000000" w:sz="4" w:space="0"/>
                  </w:tcBorders>
                  <w:vAlign w:val="center"/>
                </w:tcPr>
                <w:p w14:paraId="1BB8F53F">
                  <w:pPr>
                    <w:spacing w:line="240" w:lineRule="exact"/>
                    <w:jc w:val="center"/>
                    <w:rPr>
                      <w:rFonts w:hint="default"/>
                      <w:color w:val="auto"/>
                      <w:sz w:val="21"/>
                      <w:szCs w:val="21"/>
                      <w:highlight w:val="none"/>
                    </w:rPr>
                  </w:pPr>
                  <w:r>
                    <w:rPr>
                      <w:rFonts w:hint="default" w:ascii="Times New Roman" w:hAnsi="Times New Roman" w:cs="Times New Roman"/>
                      <w:color w:val="auto"/>
                      <w:sz w:val="21"/>
                      <w:szCs w:val="21"/>
                      <w:highlight w:val="none"/>
                    </w:rPr>
                    <w:t>间二甲苯</w:t>
                  </w:r>
                </w:p>
              </w:tc>
              <w:tc>
                <w:tcPr>
                  <w:tcW w:w="335" w:type="pct"/>
                  <w:tcBorders>
                    <w:top w:val="single" w:color="000000" w:sz="4" w:space="0"/>
                    <w:left w:val="single" w:color="000000" w:sz="4" w:space="0"/>
                    <w:bottom w:val="single" w:color="000000" w:sz="4" w:space="0"/>
                    <w:right w:val="single" w:color="000000" w:sz="4" w:space="0"/>
                  </w:tcBorders>
                  <w:vAlign w:val="center"/>
                </w:tcPr>
                <w:p w14:paraId="4F9E08A6">
                  <w:pPr>
                    <w:spacing w:line="240" w:lineRule="exact"/>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rPr>
                    <w:t>0.05L</w:t>
                  </w:r>
                </w:p>
              </w:tc>
              <w:tc>
                <w:tcPr>
                  <w:tcW w:w="341" w:type="pct"/>
                  <w:tcBorders>
                    <w:top w:val="single" w:color="000000" w:sz="4" w:space="0"/>
                    <w:left w:val="single" w:color="000000" w:sz="4" w:space="0"/>
                    <w:bottom w:val="single" w:color="000000" w:sz="4" w:space="0"/>
                    <w:right w:val="single" w:color="auto" w:sz="4" w:space="0"/>
                  </w:tcBorders>
                  <w:vAlign w:val="center"/>
                </w:tcPr>
                <w:p w14:paraId="2C89E1F6">
                  <w:pPr>
                    <w:spacing w:line="240" w:lineRule="exact"/>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rPr>
                    <w:t>0.05L</w:t>
                  </w:r>
                </w:p>
              </w:tc>
              <w:tc>
                <w:tcPr>
                  <w:tcW w:w="334" w:type="pct"/>
                  <w:tcBorders>
                    <w:top w:val="single" w:color="000000" w:sz="4" w:space="0"/>
                    <w:left w:val="single" w:color="auto" w:sz="4" w:space="0"/>
                    <w:bottom w:val="single" w:color="000000" w:sz="4" w:space="0"/>
                    <w:right w:val="single" w:color="000000" w:sz="4" w:space="0"/>
                  </w:tcBorders>
                  <w:vAlign w:val="center"/>
                </w:tcPr>
                <w:p w14:paraId="4F66661F">
                  <w:pPr>
                    <w:spacing w:line="240" w:lineRule="exact"/>
                    <w:jc w:val="center"/>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0.05L</w:t>
                  </w:r>
                </w:p>
              </w:tc>
              <w:tc>
                <w:tcPr>
                  <w:tcW w:w="321" w:type="pct"/>
                  <w:vMerge w:val="continue"/>
                  <w:tcBorders>
                    <w:left w:val="single" w:color="auto" w:sz="4" w:space="0"/>
                    <w:right w:val="single" w:color="000000" w:sz="4" w:space="0"/>
                  </w:tcBorders>
                  <w:vAlign w:val="center"/>
                </w:tcPr>
                <w:p w14:paraId="44DD1349">
                  <w:pPr>
                    <w:pStyle w:val="69"/>
                    <w:jc w:val="center"/>
                    <w:rPr>
                      <w:rFonts w:hint="default" w:ascii="Times New Roman" w:hAnsi="Times New Roman" w:cs="Times New Roman"/>
                      <w:color w:val="auto"/>
                      <w:sz w:val="21"/>
                      <w:szCs w:val="21"/>
                      <w:highlight w:val="none"/>
                    </w:rPr>
                  </w:pPr>
                </w:p>
              </w:tc>
              <w:tc>
                <w:tcPr>
                  <w:tcW w:w="238" w:type="pct"/>
                  <w:tcBorders>
                    <w:top w:val="single" w:color="000000" w:sz="4" w:space="0"/>
                    <w:left w:val="single" w:color="000000" w:sz="4" w:space="0"/>
                    <w:bottom w:val="single" w:color="000000" w:sz="4" w:space="0"/>
                    <w:right w:val="single" w:color="000000" w:sz="4" w:space="0"/>
                  </w:tcBorders>
                  <w:vAlign w:val="center"/>
                </w:tcPr>
                <w:p w14:paraId="144698CE">
                  <w:pPr>
                    <w:pStyle w:val="69"/>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73D4CC92">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0.05L</w:t>
                  </w:r>
                </w:p>
              </w:tc>
              <w:tc>
                <w:tcPr>
                  <w:tcW w:w="314" w:type="pct"/>
                  <w:tcBorders>
                    <w:top w:val="single" w:color="000000" w:sz="4" w:space="0"/>
                    <w:left w:val="single" w:color="000000" w:sz="4" w:space="0"/>
                    <w:bottom w:val="single" w:color="000000" w:sz="4" w:space="0"/>
                    <w:right w:val="single" w:color="auto" w:sz="4" w:space="0"/>
                  </w:tcBorders>
                  <w:vAlign w:val="center"/>
                </w:tcPr>
                <w:p w14:paraId="652A0A5F">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0.05L</w:t>
                  </w:r>
                </w:p>
              </w:tc>
              <w:tc>
                <w:tcPr>
                  <w:tcW w:w="334" w:type="pct"/>
                  <w:tcBorders>
                    <w:top w:val="single" w:color="000000" w:sz="4" w:space="0"/>
                    <w:left w:val="single" w:color="auto" w:sz="4" w:space="0"/>
                    <w:bottom w:val="single" w:color="000000" w:sz="4" w:space="0"/>
                    <w:right w:val="single" w:color="000000" w:sz="4" w:space="0"/>
                  </w:tcBorders>
                  <w:vAlign w:val="center"/>
                </w:tcPr>
                <w:p w14:paraId="15F6C155">
                  <w:pPr>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48" w:type="pct"/>
                  <w:vMerge w:val="continue"/>
                  <w:tcBorders>
                    <w:left w:val="single" w:color="auto" w:sz="4" w:space="0"/>
                    <w:right w:val="single" w:color="000000" w:sz="4" w:space="0"/>
                  </w:tcBorders>
                  <w:vAlign w:val="center"/>
                </w:tcPr>
                <w:p w14:paraId="1067A4C8">
                  <w:pPr>
                    <w:pStyle w:val="69"/>
                    <w:jc w:val="center"/>
                    <w:rPr>
                      <w:rFonts w:hint="default" w:ascii="Times New Roman" w:hAnsi="Times New Roman" w:cs="Times New Roman"/>
                      <w:color w:val="auto"/>
                      <w:sz w:val="21"/>
                      <w:szCs w:val="21"/>
                      <w:highlight w:val="none"/>
                    </w:rPr>
                  </w:pPr>
                </w:p>
              </w:tc>
              <w:tc>
                <w:tcPr>
                  <w:tcW w:w="226" w:type="pct"/>
                  <w:tcBorders>
                    <w:top w:val="single" w:color="000000" w:sz="4" w:space="0"/>
                    <w:left w:val="single" w:color="000000" w:sz="4" w:space="0"/>
                    <w:bottom w:val="single" w:color="000000" w:sz="4" w:space="0"/>
                    <w:right w:val="single" w:color="000000" w:sz="4" w:space="0"/>
                  </w:tcBorders>
                  <w:vAlign w:val="center"/>
                </w:tcPr>
                <w:p w14:paraId="6044A17C">
                  <w:pPr>
                    <w:pStyle w:val="69"/>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56A384FE">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0.05L</w:t>
                  </w:r>
                </w:p>
              </w:tc>
              <w:tc>
                <w:tcPr>
                  <w:tcW w:w="314" w:type="pct"/>
                  <w:tcBorders>
                    <w:top w:val="single" w:color="000000" w:sz="4" w:space="0"/>
                    <w:left w:val="single" w:color="000000" w:sz="4" w:space="0"/>
                    <w:bottom w:val="single" w:color="000000" w:sz="4" w:space="0"/>
                    <w:right w:val="single" w:color="000000" w:sz="4" w:space="0"/>
                  </w:tcBorders>
                  <w:vAlign w:val="center"/>
                </w:tcPr>
                <w:p w14:paraId="3A83C5FB">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0.05L</w:t>
                  </w:r>
                </w:p>
              </w:tc>
              <w:tc>
                <w:tcPr>
                  <w:tcW w:w="304" w:type="pct"/>
                  <w:tcBorders>
                    <w:top w:val="single" w:color="000000" w:sz="4" w:space="0"/>
                    <w:left w:val="single" w:color="000000" w:sz="4" w:space="0"/>
                    <w:bottom w:val="single" w:color="000000" w:sz="4" w:space="0"/>
                    <w:right w:val="single" w:color="000000" w:sz="4" w:space="0"/>
                  </w:tcBorders>
                  <w:vAlign w:val="center"/>
                </w:tcPr>
                <w:p w14:paraId="521A3B08">
                  <w:pPr>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01" w:type="pct"/>
                  <w:vMerge w:val="continue"/>
                  <w:tcBorders>
                    <w:left w:val="single" w:color="000000" w:sz="4" w:space="0"/>
                    <w:right w:val="single" w:color="000000" w:sz="4" w:space="0"/>
                  </w:tcBorders>
                  <w:vAlign w:val="center"/>
                </w:tcPr>
                <w:p w14:paraId="4DE8477E">
                  <w:pPr>
                    <w:pStyle w:val="69"/>
                    <w:jc w:val="center"/>
                    <w:rPr>
                      <w:rFonts w:hint="default" w:ascii="Times New Roman" w:hAnsi="Times New Roman" w:cs="Times New Roman"/>
                      <w:color w:val="auto"/>
                      <w:sz w:val="21"/>
                      <w:szCs w:val="21"/>
                      <w:highlight w:val="none"/>
                    </w:rPr>
                  </w:pPr>
                </w:p>
              </w:tc>
              <w:tc>
                <w:tcPr>
                  <w:tcW w:w="236" w:type="pct"/>
                  <w:tcBorders>
                    <w:top w:val="single" w:color="000000" w:sz="4" w:space="0"/>
                    <w:left w:val="single" w:color="000000" w:sz="4" w:space="0"/>
                    <w:bottom w:val="single" w:color="000000" w:sz="4" w:space="0"/>
                    <w:right w:val="single" w:color="000000" w:sz="4" w:space="0"/>
                  </w:tcBorders>
                  <w:vAlign w:val="center"/>
                </w:tcPr>
                <w:p w14:paraId="07EE002F">
                  <w:pPr>
                    <w:pStyle w:val="69"/>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r>
            <w:tr w14:paraId="1B4AE1FF">
              <w:tblPrEx>
                <w:tblCellMar>
                  <w:top w:w="0" w:type="dxa"/>
                  <w:left w:w="0" w:type="dxa"/>
                  <w:bottom w:w="0" w:type="dxa"/>
                  <w:right w:w="0" w:type="dxa"/>
                </w:tblCellMar>
              </w:tblPrEx>
              <w:trPr>
                <w:jc w:val="center"/>
              </w:trPr>
              <w:tc>
                <w:tcPr>
                  <w:tcW w:w="175" w:type="pct"/>
                  <w:vMerge w:val="continue"/>
                  <w:tcBorders>
                    <w:left w:val="single" w:color="000000" w:sz="4" w:space="0"/>
                    <w:bottom w:val="single" w:color="000000" w:sz="4" w:space="0"/>
                    <w:right w:val="single" w:color="000000" w:sz="4" w:space="0"/>
                  </w:tcBorders>
                  <w:vAlign w:val="center"/>
                </w:tcPr>
                <w:p w14:paraId="71E5EECB">
                  <w:pPr>
                    <w:pStyle w:val="24"/>
                    <w:jc w:val="center"/>
                    <w:rPr>
                      <w:rFonts w:hint="default"/>
                      <w:color w:val="auto"/>
                      <w:sz w:val="21"/>
                      <w:szCs w:val="21"/>
                      <w:highlight w:val="none"/>
                    </w:rPr>
                  </w:pPr>
                </w:p>
              </w:tc>
              <w:tc>
                <w:tcPr>
                  <w:tcW w:w="243" w:type="pct"/>
                  <w:tcBorders>
                    <w:top w:val="single" w:color="000000" w:sz="4" w:space="0"/>
                    <w:left w:val="single" w:color="000000" w:sz="4" w:space="0"/>
                    <w:bottom w:val="single" w:color="000000" w:sz="4" w:space="0"/>
                    <w:right w:val="single" w:color="000000" w:sz="4" w:space="0"/>
                  </w:tcBorders>
                  <w:vAlign w:val="center"/>
                </w:tcPr>
                <w:p w14:paraId="4DAE0EFC">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邻二甲苯</w:t>
                  </w:r>
                </w:p>
              </w:tc>
              <w:tc>
                <w:tcPr>
                  <w:tcW w:w="335" w:type="pct"/>
                  <w:tcBorders>
                    <w:top w:val="single" w:color="000000" w:sz="4" w:space="0"/>
                    <w:left w:val="single" w:color="000000" w:sz="4" w:space="0"/>
                    <w:bottom w:val="single" w:color="000000" w:sz="4" w:space="0"/>
                    <w:right w:val="single" w:color="000000" w:sz="4" w:space="0"/>
                  </w:tcBorders>
                  <w:vAlign w:val="center"/>
                </w:tcPr>
                <w:p w14:paraId="3E8397A9">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41" w:type="pct"/>
                  <w:tcBorders>
                    <w:top w:val="single" w:color="000000" w:sz="4" w:space="0"/>
                    <w:left w:val="single" w:color="000000" w:sz="4" w:space="0"/>
                    <w:bottom w:val="single" w:color="000000" w:sz="4" w:space="0"/>
                    <w:right w:val="single" w:color="auto" w:sz="4" w:space="0"/>
                  </w:tcBorders>
                  <w:vAlign w:val="center"/>
                </w:tcPr>
                <w:p w14:paraId="4D7F3D0E">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34" w:type="pct"/>
                  <w:tcBorders>
                    <w:top w:val="single" w:color="000000" w:sz="4" w:space="0"/>
                    <w:left w:val="single" w:color="auto" w:sz="4" w:space="0"/>
                    <w:bottom w:val="single" w:color="000000" w:sz="4" w:space="0"/>
                    <w:right w:val="single" w:color="000000" w:sz="4" w:space="0"/>
                  </w:tcBorders>
                  <w:vAlign w:val="center"/>
                </w:tcPr>
                <w:p w14:paraId="54EE08DA">
                  <w:pPr>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21" w:type="pct"/>
                  <w:vMerge w:val="continue"/>
                  <w:tcBorders>
                    <w:left w:val="single" w:color="auto" w:sz="4" w:space="0"/>
                    <w:bottom w:val="single" w:color="000000" w:sz="4" w:space="0"/>
                    <w:right w:val="single" w:color="000000" w:sz="4" w:space="0"/>
                  </w:tcBorders>
                  <w:vAlign w:val="center"/>
                </w:tcPr>
                <w:p w14:paraId="615E2BF1">
                  <w:pPr>
                    <w:pStyle w:val="69"/>
                    <w:jc w:val="center"/>
                    <w:rPr>
                      <w:rFonts w:hint="default" w:ascii="Times New Roman" w:hAnsi="Times New Roman" w:cs="Times New Roman"/>
                      <w:color w:val="auto"/>
                      <w:sz w:val="21"/>
                      <w:szCs w:val="21"/>
                      <w:highlight w:val="none"/>
                    </w:rPr>
                  </w:pPr>
                </w:p>
              </w:tc>
              <w:tc>
                <w:tcPr>
                  <w:tcW w:w="238" w:type="pct"/>
                  <w:tcBorders>
                    <w:top w:val="single" w:color="000000" w:sz="4" w:space="0"/>
                    <w:left w:val="single" w:color="000000" w:sz="4" w:space="0"/>
                    <w:bottom w:val="single" w:color="000000" w:sz="4" w:space="0"/>
                    <w:right w:val="single" w:color="000000" w:sz="4" w:space="0"/>
                  </w:tcBorders>
                  <w:vAlign w:val="center"/>
                </w:tcPr>
                <w:p w14:paraId="5D735B83">
                  <w:pPr>
                    <w:pStyle w:val="69"/>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59E5B8AD">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14" w:type="pct"/>
                  <w:tcBorders>
                    <w:top w:val="single" w:color="000000" w:sz="4" w:space="0"/>
                    <w:left w:val="single" w:color="000000" w:sz="4" w:space="0"/>
                    <w:bottom w:val="single" w:color="000000" w:sz="4" w:space="0"/>
                    <w:right w:val="single" w:color="auto" w:sz="4" w:space="0"/>
                  </w:tcBorders>
                  <w:vAlign w:val="center"/>
                </w:tcPr>
                <w:p w14:paraId="6F8743C7">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34" w:type="pct"/>
                  <w:tcBorders>
                    <w:top w:val="single" w:color="000000" w:sz="4" w:space="0"/>
                    <w:left w:val="single" w:color="auto" w:sz="4" w:space="0"/>
                    <w:bottom w:val="single" w:color="000000" w:sz="4" w:space="0"/>
                    <w:right w:val="single" w:color="000000" w:sz="4" w:space="0"/>
                  </w:tcBorders>
                  <w:vAlign w:val="center"/>
                </w:tcPr>
                <w:p w14:paraId="1F4238B6">
                  <w:pPr>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48" w:type="pct"/>
                  <w:vMerge w:val="continue"/>
                  <w:tcBorders>
                    <w:left w:val="single" w:color="auto" w:sz="4" w:space="0"/>
                    <w:bottom w:val="single" w:color="000000" w:sz="4" w:space="0"/>
                    <w:right w:val="single" w:color="000000" w:sz="4" w:space="0"/>
                  </w:tcBorders>
                  <w:vAlign w:val="center"/>
                </w:tcPr>
                <w:p w14:paraId="5711F7FA">
                  <w:pPr>
                    <w:pStyle w:val="69"/>
                    <w:jc w:val="center"/>
                    <w:rPr>
                      <w:rFonts w:hint="default" w:ascii="Times New Roman" w:hAnsi="Times New Roman" w:cs="Times New Roman"/>
                      <w:color w:val="auto"/>
                      <w:sz w:val="21"/>
                      <w:szCs w:val="21"/>
                      <w:highlight w:val="none"/>
                    </w:rPr>
                  </w:pPr>
                </w:p>
              </w:tc>
              <w:tc>
                <w:tcPr>
                  <w:tcW w:w="226" w:type="pct"/>
                  <w:tcBorders>
                    <w:top w:val="single" w:color="000000" w:sz="4" w:space="0"/>
                    <w:left w:val="single" w:color="000000" w:sz="4" w:space="0"/>
                    <w:bottom w:val="single" w:color="000000" w:sz="4" w:space="0"/>
                    <w:right w:val="single" w:color="000000" w:sz="4" w:space="0"/>
                  </w:tcBorders>
                  <w:vAlign w:val="center"/>
                </w:tcPr>
                <w:p w14:paraId="4B408876">
                  <w:pPr>
                    <w:pStyle w:val="69"/>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达标</w:t>
                  </w:r>
                </w:p>
              </w:tc>
              <w:tc>
                <w:tcPr>
                  <w:tcW w:w="314" w:type="pct"/>
                  <w:tcBorders>
                    <w:top w:val="single" w:color="000000" w:sz="4" w:space="0"/>
                    <w:left w:val="single" w:color="000000" w:sz="4" w:space="0"/>
                    <w:bottom w:val="single" w:color="000000" w:sz="4" w:space="0"/>
                    <w:right w:val="single" w:color="000000" w:sz="4" w:space="0"/>
                  </w:tcBorders>
                  <w:vAlign w:val="center"/>
                </w:tcPr>
                <w:p w14:paraId="3DFC9A9D">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14" w:type="pct"/>
                  <w:tcBorders>
                    <w:top w:val="single" w:color="000000" w:sz="4" w:space="0"/>
                    <w:left w:val="single" w:color="000000" w:sz="4" w:space="0"/>
                    <w:bottom w:val="single" w:color="000000" w:sz="4" w:space="0"/>
                    <w:right w:val="single" w:color="000000" w:sz="4" w:space="0"/>
                  </w:tcBorders>
                  <w:vAlign w:val="center"/>
                </w:tcPr>
                <w:p w14:paraId="4E20C7EA">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04" w:type="pct"/>
                  <w:tcBorders>
                    <w:top w:val="single" w:color="000000" w:sz="4" w:space="0"/>
                    <w:left w:val="single" w:color="000000" w:sz="4" w:space="0"/>
                    <w:bottom w:val="single" w:color="000000" w:sz="4" w:space="0"/>
                    <w:right w:val="single" w:color="000000" w:sz="4" w:space="0"/>
                  </w:tcBorders>
                  <w:vAlign w:val="center"/>
                </w:tcPr>
                <w:p w14:paraId="25F04E3A">
                  <w:pPr>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0.05L</w:t>
                  </w:r>
                </w:p>
              </w:tc>
              <w:tc>
                <w:tcPr>
                  <w:tcW w:w="301" w:type="pct"/>
                  <w:vMerge w:val="continue"/>
                  <w:tcBorders>
                    <w:left w:val="single" w:color="000000" w:sz="4" w:space="0"/>
                    <w:bottom w:val="single" w:color="000000" w:sz="4" w:space="0"/>
                    <w:right w:val="single" w:color="000000" w:sz="4" w:space="0"/>
                  </w:tcBorders>
                  <w:vAlign w:val="center"/>
                </w:tcPr>
                <w:p w14:paraId="2681C44A">
                  <w:pPr>
                    <w:pStyle w:val="69"/>
                    <w:jc w:val="center"/>
                    <w:rPr>
                      <w:rFonts w:hint="default" w:ascii="Times New Roman" w:hAnsi="Times New Roman" w:cs="Times New Roman"/>
                      <w:color w:val="auto"/>
                      <w:sz w:val="21"/>
                      <w:szCs w:val="21"/>
                      <w:highlight w:val="none"/>
                    </w:rPr>
                  </w:pPr>
                </w:p>
              </w:tc>
              <w:tc>
                <w:tcPr>
                  <w:tcW w:w="236" w:type="pct"/>
                  <w:tcBorders>
                    <w:top w:val="single" w:color="000000" w:sz="4" w:space="0"/>
                    <w:left w:val="single" w:color="000000" w:sz="4" w:space="0"/>
                    <w:bottom w:val="single" w:color="000000" w:sz="4" w:space="0"/>
                    <w:right w:val="single" w:color="000000" w:sz="4" w:space="0"/>
                  </w:tcBorders>
                  <w:vAlign w:val="center"/>
                </w:tcPr>
                <w:p w14:paraId="1A5A9CAC">
                  <w:pPr>
                    <w:pStyle w:val="69"/>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达标</w:t>
                  </w:r>
                </w:p>
              </w:tc>
            </w:tr>
            <w:tr w14:paraId="7ACE2F22">
              <w:tblPrEx>
                <w:tblCellMar>
                  <w:top w:w="0" w:type="dxa"/>
                  <w:left w:w="0" w:type="dxa"/>
                  <w:bottom w:w="0" w:type="dxa"/>
                  <w:right w:w="0" w:type="dxa"/>
                </w:tblCellMar>
              </w:tblPrEx>
              <w:trPr>
                <w:jc w:val="center"/>
              </w:trPr>
              <w:tc>
                <w:tcPr>
                  <w:tcW w:w="418" w:type="pct"/>
                  <w:gridSpan w:val="2"/>
                  <w:tcBorders>
                    <w:top w:val="single" w:color="000000" w:sz="4" w:space="0"/>
                    <w:left w:val="single" w:color="000000" w:sz="4" w:space="0"/>
                    <w:bottom w:val="single" w:color="000000" w:sz="8" w:space="0"/>
                    <w:right w:val="single" w:color="000000" w:sz="4" w:space="0"/>
                  </w:tcBorders>
                  <w:vAlign w:val="center"/>
                </w:tcPr>
                <w:p w14:paraId="291E20C0">
                  <w:pPr>
                    <w:pStyle w:val="6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c>
                <w:tcPr>
                  <w:tcW w:w="4581" w:type="pct"/>
                  <w:gridSpan w:val="15"/>
                  <w:tcBorders>
                    <w:top w:val="single" w:color="000000" w:sz="4" w:space="0"/>
                    <w:left w:val="single" w:color="000000" w:sz="4" w:space="0"/>
                    <w:bottom w:val="single" w:color="000000" w:sz="8" w:space="0"/>
                    <w:right w:val="single" w:color="000000" w:sz="4" w:space="0"/>
                  </w:tcBorders>
                  <w:vAlign w:val="center"/>
                </w:tcPr>
                <w:p w14:paraId="26F0548A">
                  <w:pPr>
                    <w:pStyle w:val="69"/>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1、“数据+L”表示该项目检测结果低于标准检出限；</w:t>
                  </w:r>
                </w:p>
                <w:p w14:paraId="116233E8">
                  <w:pPr>
                    <w:pStyle w:val="69"/>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2、执行标准为《地下水质量标准》（GB/T14848-2017）III类标准。</w:t>
                  </w:r>
                </w:p>
                <w:p w14:paraId="3032DD4F">
                  <w:pPr>
                    <w:pStyle w:val="69"/>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3、石油类参照《地表水环境质量标准》（GB3838-2002）III类标准</w:t>
                  </w:r>
                </w:p>
              </w:tc>
            </w:tr>
          </w:tbl>
          <w:p w14:paraId="67468D62">
            <w:pPr>
              <w:pStyle w:val="9"/>
              <w:spacing w:after="0" w:line="332" w:lineRule="auto"/>
              <w:ind w:firstLine="0" w:firstLineChars="0"/>
              <w:jc w:val="left"/>
              <w:rPr>
                <w:rFonts w:hint="default" w:ascii="Times New Roman" w:hAnsi="Times New Roman" w:eastAsia="宋体" w:cs="Times New Roman"/>
                <w:color w:val="auto"/>
                <w:spacing w:val="4"/>
                <w:sz w:val="24"/>
                <w:highlight w:val="none"/>
              </w:rPr>
            </w:pPr>
          </w:p>
          <w:p w14:paraId="5FEF0FA3">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 xml:space="preserve">表 </w:t>
            </w:r>
            <w:r>
              <w:rPr>
                <w:rFonts w:hint="eastAsia" w:cs="Times New Roman"/>
                <w:b/>
                <w:bCs/>
                <w:color w:val="auto"/>
                <w:szCs w:val="21"/>
                <w:highlight w:val="none"/>
                <w:lang w:val="en-US" w:eastAsia="zh-CN"/>
              </w:rPr>
              <w:t>3-4</w:t>
            </w:r>
            <w:r>
              <w:rPr>
                <w:rFonts w:hint="default" w:ascii="Times New Roman" w:hAnsi="Times New Roman" w:cs="Times New Roman"/>
                <w:b/>
                <w:bCs/>
                <w:color w:val="auto"/>
                <w:szCs w:val="21"/>
                <w:highlight w:val="none"/>
              </w:rPr>
              <w:t xml:space="preserve">   “八大离子”监测结果统计表</w:t>
            </w:r>
            <w:r>
              <w:rPr>
                <w:rFonts w:hint="eastAsia" w:cs="Times New Roman"/>
                <w:b/>
                <w:bCs/>
                <w:color w:val="auto"/>
                <w:szCs w:val="21"/>
                <w:highlight w:val="none"/>
                <w:lang w:val="en-US" w:eastAsia="zh-CN"/>
              </w:rPr>
              <w:t xml:space="preserve">   </w:t>
            </w:r>
            <w:r>
              <w:rPr>
                <w:rFonts w:hint="default" w:ascii="Times New Roman" w:hAnsi="Times New Roman" w:cs="Times New Roman"/>
                <w:b/>
                <w:bCs/>
                <w:color w:val="auto"/>
                <w:szCs w:val="21"/>
                <w:highlight w:val="none"/>
              </w:rPr>
              <w:t>单位：mg/L</w:t>
            </w:r>
          </w:p>
          <w:tbl>
            <w:tblPr>
              <w:tblStyle w:val="25"/>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7"/>
              <w:gridCol w:w="710"/>
              <w:gridCol w:w="853"/>
              <w:gridCol w:w="993"/>
              <w:gridCol w:w="710"/>
              <w:gridCol w:w="852"/>
              <w:gridCol w:w="995"/>
              <w:gridCol w:w="710"/>
              <w:gridCol w:w="853"/>
              <w:gridCol w:w="1001"/>
            </w:tblGrid>
            <w:tr w14:paraId="5B060A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atLeast"/>
                <w:jc w:val="center"/>
              </w:trPr>
              <w:tc>
                <w:tcPr>
                  <w:tcW w:w="438" w:type="pct"/>
                  <w:vMerge w:val="restart"/>
                  <w:tcBorders>
                    <w:tl2br w:val="nil"/>
                    <w:tr2bl w:val="nil"/>
                  </w:tcBorders>
                  <w:noWrap/>
                </w:tcPr>
                <w:p w14:paraId="2474FEDE">
                  <w:pPr>
                    <w:ind w:firstLine="360" w:firstLineChars="20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点位/时间/编号</w:t>
                  </w:r>
                </w:p>
                <w:p w14:paraId="36A0960B">
                  <w:pPr>
                    <w:rPr>
                      <w:rFonts w:hint="default" w:ascii="Times New Roman" w:hAnsi="Times New Roman" w:cs="Times New Roman"/>
                      <w:color w:val="auto"/>
                      <w:szCs w:val="21"/>
                      <w:highlight w:val="none"/>
                    </w:rPr>
                  </w:pPr>
                  <w:r>
                    <w:rPr>
                      <w:rFonts w:hint="default" w:ascii="Times New Roman" w:hAnsi="Times New Roman" w:cs="Times New Roman"/>
                      <w:color w:val="auto"/>
                      <w:sz w:val="18"/>
                      <w:szCs w:val="18"/>
                      <w:highlight w:val="none"/>
                    </w:rPr>
                    <w:t>检测指标</w:t>
                  </w:r>
                </w:p>
              </w:tc>
              <w:tc>
                <w:tcPr>
                  <w:tcW w:w="1519" w:type="pct"/>
                  <w:gridSpan w:val="3"/>
                  <w:tcBorders>
                    <w:tl2br w:val="nil"/>
                    <w:tr2bl w:val="nil"/>
                  </w:tcBorders>
                  <w:noWrap/>
                  <w:vAlign w:val="center"/>
                </w:tcPr>
                <w:p w14:paraId="787C8A2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HS1深沟村</w:t>
                  </w:r>
                </w:p>
              </w:tc>
              <w:tc>
                <w:tcPr>
                  <w:tcW w:w="1519" w:type="pct"/>
                  <w:gridSpan w:val="3"/>
                  <w:tcBorders>
                    <w:tl2br w:val="nil"/>
                    <w:tr2bl w:val="nil"/>
                  </w:tcBorders>
                  <w:noWrap/>
                  <w:vAlign w:val="center"/>
                </w:tcPr>
                <w:p w14:paraId="3F974A0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HS2清水村</w:t>
                  </w:r>
                </w:p>
              </w:tc>
              <w:tc>
                <w:tcPr>
                  <w:tcW w:w="1522" w:type="pct"/>
                  <w:gridSpan w:val="3"/>
                  <w:tcBorders>
                    <w:tl2br w:val="nil"/>
                    <w:tr2bl w:val="nil"/>
                  </w:tcBorders>
                  <w:noWrap/>
                  <w:vAlign w:val="center"/>
                </w:tcPr>
                <w:p w14:paraId="0D77206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HS3新街村</w:t>
                  </w:r>
                </w:p>
              </w:tc>
            </w:tr>
            <w:tr w14:paraId="5C9517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atLeast"/>
                <w:jc w:val="center"/>
              </w:trPr>
              <w:tc>
                <w:tcPr>
                  <w:tcW w:w="438" w:type="pct"/>
                  <w:vMerge w:val="continue"/>
                  <w:tcBorders>
                    <w:tl2br w:val="nil"/>
                    <w:tr2bl w:val="nil"/>
                  </w:tcBorders>
                  <w:noWrap/>
                </w:tcPr>
                <w:p w14:paraId="5FDDD6FA">
                  <w:pPr>
                    <w:jc w:val="center"/>
                    <w:rPr>
                      <w:rFonts w:hint="default" w:ascii="Times New Roman" w:hAnsi="Times New Roman" w:cs="Times New Roman"/>
                      <w:color w:val="auto"/>
                      <w:highlight w:val="none"/>
                    </w:rPr>
                  </w:pPr>
                </w:p>
              </w:tc>
              <w:tc>
                <w:tcPr>
                  <w:tcW w:w="422" w:type="pct"/>
                  <w:tcBorders>
                    <w:tl2br w:val="nil"/>
                    <w:tr2bl w:val="nil"/>
                  </w:tcBorders>
                  <w:noWrap/>
                  <w:vAlign w:val="center"/>
                </w:tcPr>
                <w:p w14:paraId="6FC853A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2021-08-17</w:t>
                  </w:r>
                </w:p>
              </w:tc>
              <w:tc>
                <w:tcPr>
                  <w:tcW w:w="507" w:type="pct"/>
                  <w:tcBorders>
                    <w:tl2br w:val="nil"/>
                    <w:tr2bl w:val="nil"/>
                  </w:tcBorders>
                  <w:noWrap/>
                  <w:vAlign w:val="center"/>
                </w:tcPr>
                <w:p w14:paraId="7609BE5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2021-08-18</w:t>
                  </w:r>
                </w:p>
              </w:tc>
              <w:tc>
                <w:tcPr>
                  <w:tcW w:w="590" w:type="pct"/>
                  <w:tcBorders>
                    <w:tl2br w:val="nil"/>
                    <w:tr2bl w:val="nil"/>
                  </w:tcBorders>
                  <w:noWrap/>
                  <w:vAlign w:val="center"/>
                </w:tcPr>
                <w:p w14:paraId="719C813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2021-08-19</w:t>
                  </w:r>
                </w:p>
              </w:tc>
              <w:tc>
                <w:tcPr>
                  <w:tcW w:w="422" w:type="pct"/>
                  <w:tcBorders>
                    <w:tl2br w:val="nil"/>
                    <w:tr2bl w:val="nil"/>
                  </w:tcBorders>
                  <w:noWrap/>
                  <w:vAlign w:val="center"/>
                </w:tcPr>
                <w:p w14:paraId="48D57A7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2021-08-17</w:t>
                  </w:r>
                </w:p>
              </w:tc>
              <w:tc>
                <w:tcPr>
                  <w:tcW w:w="506" w:type="pct"/>
                  <w:tcBorders>
                    <w:tl2br w:val="nil"/>
                    <w:tr2bl w:val="nil"/>
                  </w:tcBorders>
                  <w:noWrap/>
                  <w:vAlign w:val="center"/>
                </w:tcPr>
                <w:p w14:paraId="1C573AF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2021-08-18</w:t>
                  </w:r>
                </w:p>
              </w:tc>
              <w:tc>
                <w:tcPr>
                  <w:tcW w:w="591" w:type="pct"/>
                  <w:tcBorders>
                    <w:tl2br w:val="nil"/>
                    <w:tr2bl w:val="nil"/>
                  </w:tcBorders>
                  <w:noWrap/>
                  <w:vAlign w:val="center"/>
                </w:tcPr>
                <w:p w14:paraId="77E390F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2021-08-19</w:t>
                  </w:r>
                </w:p>
              </w:tc>
              <w:tc>
                <w:tcPr>
                  <w:tcW w:w="422" w:type="pct"/>
                  <w:tcBorders>
                    <w:tl2br w:val="nil"/>
                    <w:tr2bl w:val="nil"/>
                  </w:tcBorders>
                  <w:noWrap/>
                  <w:vAlign w:val="center"/>
                </w:tcPr>
                <w:p w14:paraId="69EAE5C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2021-08-17</w:t>
                  </w:r>
                </w:p>
              </w:tc>
              <w:tc>
                <w:tcPr>
                  <w:tcW w:w="506" w:type="pct"/>
                  <w:tcBorders>
                    <w:tl2br w:val="nil"/>
                    <w:tr2bl w:val="nil"/>
                  </w:tcBorders>
                  <w:noWrap/>
                  <w:vAlign w:val="center"/>
                </w:tcPr>
                <w:p w14:paraId="3A524B5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2021-08-18</w:t>
                  </w:r>
                </w:p>
              </w:tc>
              <w:tc>
                <w:tcPr>
                  <w:tcW w:w="593" w:type="pct"/>
                  <w:tcBorders>
                    <w:tl2br w:val="nil"/>
                    <w:tr2bl w:val="nil"/>
                  </w:tcBorders>
                  <w:noWrap/>
                  <w:vAlign w:val="center"/>
                </w:tcPr>
                <w:p w14:paraId="2977F44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2021-08-19</w:t>
                  </w:r>
                </w:p>
              </w:tc>
            </w:tr>
            <w:tr w14:paraId="27152A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atLeast"/>
                <w:jc w:val="center"/>
              </w:trPr>
              <w:tc>
                <w:tcPr>
                  <w:tcW w:w="438" w:type="pct"/>
                  <w:vMerge w:val="continue"/>
                  <w:tcBorders>
                    <w:tl2br w:val="nil"/>
                    <w:tr2bl w:val="nil"/>
                  </w:tcBorders>
                  <w:noWrap/>
                </w:tcPr>
                <w:p w14:paraId="20018E01">
                  <w:pPr>
                    <w:jc w:val="center"/>
                    <w:rPr>
                      <w:rFonts w:hint="default" w:ascii="Times New Roman" w:hAnsi="Times New Roman" w:cs="Times New Roman"/>
                      <w:color w:val="auto"/>
                      <w:szCs w:val="21"/>
                      <w:highlight w:val="none"/>
                    </w:rPr>
                  </w:pPr>
                </w:p>
              </w:tc>
              <w:tc>
                <w:tcPr>
                  <w:tcW w:w="422" w:type="pct"/>
                  <w:tcBorders>
                    <w:tl2br w:val="nil"/>
                    <w:tr2bl w:val="nil"/>
                  </w:tcBorders>
                  <w:noWrap/>
                  <w:vAlign w:val="center"/>
                </w:tcPr>
                <w:p w14:paraId="035968D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HS1-1-1</w:t>
                  </w:r>
                </w:p>
              </w:tc>
              <w:tc>
                <w:tcPr>
                  <w:tcW w:w="507" w:type="pct"/>
                  <w:tcBorders>
                    <w:tl2br w:val="nil"/>
                    <w:tr2bl w:val="nil"/>
                  </w:tcBorders>
                  <w:noWrap/>
                  <w:vAlign w:val="center"/>
                </w:tcPr>
                <w:p w14:paraId="74A0A7E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HS1-2-1</w:t>
                  </w:r>
                </w:p>
              </w:tc>
              <w:tc>
                <w:tcPr>
                  <w:tcW w:w="590" w:type="pct"/>
                  <w:tcBorders>
                    <w:tl2br w:val="nil"/>
                    <w:tr2bl w:val="nil"/>
                  </w:tcBorders>
                  <w:noWrap/>
                  <w:vAlign w:val="center"/>
                </w:tcPr>
                <w:p w14:paraId="667719D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HS1-3-1</w:t>
                  </w:r>
                </w:p>
              </w:tc>
              <w:tc>
                <w:tcPr>
                  <w:tcW w:w="422" w:type="pct"/>
                  <w:tcBorders>
                    <w:tl2br w:val="nil"/>
                    <w:tr2bl w:val="nil"/>
                  </w:tcBorders>
                  <w:noWrap/>
                  <w:vAlign w:val="center"/>
                </w:tcPr>
                <w:p w14:paraId="454A7AE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HS2-1-1</w:t>
                  </w:r>
                </w:p>
              </w:tc>
              <w:tc>
                <w:tcPr>
                  <w:tcW w:w="506" w:type="pct"/>
                  <w:tcBorders>
                    <w:tl2br w:val="nil"/>
                    <w:tr2bl w:val="nil"/>
                  </w:tcBorders>
                  <w:noWrap/>
                  <w:vAlign w:val="center"/>
                </w:tcPr>
                <w:p w14:paraId="3730A40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HS2-2-1</w:t>
                  </w:r>
                </w:p>
              </w:tc>
              <w:tc>
                <w:tcPr>
                  <w:tcW w:w="591" w:type="pct"/>
                  <w:tcBorders>
                    <w:tl2br w:val="nil"/>
                    <w:tr2bl w:val="nil"/>
                  </w:tcBorders>
                  <w:noWrap/>
                  <w:vAlign w:val="center"/>
                </w:tcPr>
                <w:p w14:paraId="77BE1BB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HS2-3-1</w:t>
                  </w:r>
                </w:p>
              </w:tc>
              <w:tc>
                <w:tcPr>
                  <w:tcW w:w="422" w:type="pct"/>
                  <w:tcBorders>
                    <w:tl2br w:val="nil"/>
                    <w:tr2bl w:val="nil"/>
                  </w:tcBorders>
                  <w:noWrap/>
                  <w:vAlign w:val="center"/>
                </w:tcPr>
                <w:p w14:paraId="7FCD6A8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HS3-1-1</w:t>
                  </w:r>
                </w:p>
              </w:tc>
              <w:tc>
                <w:tcPr>
                  <w:tcW w:w="506" w:type="pct"/>
                  <w:tcBorders>
                    <w:tl2br w:val="nil"/>
                    <w:tr2bl w:val="nil"/>
                  </w:tcBorders>
                  <w:noWrap/>
                  <w:vAlign w:val="center"/>
                </w:tcPr>
                <w:p w14:paraId="36FCADB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HS3-2-1</w:t>
                  </w:r>
                </w:p>
              </w:tc>
              <w:tc>
                <w:tcPr>
                  <w:tcW w:w="593" w:type="pct"/>
                  <w:tcBorders>
                    <w:tl2br w:val="nil"/>
                    <w:tr2bl w:val="nil"/>
                  </w:tcBorders>
                  <w:noWrap/>
                  <w:vAlign w:val="center"/>
                </w:tcPr>
                <w:p w14:paraId="485E1A1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HS3-3-1</w:t>
                  </w:r>
                </w:p>
              </w:tc>
            </w:tr>
            <w:tr w14:paraId="13CE00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38" w:type="pct"/>
                  <w:tcBorders>
                    <w:tl2br w:val="nil"/>
                    <w:tr2bl w:val="nil"/>
                  </w:tcBorders>
                  <w:noWrap/>
                  <w:vAlign w:val="center"/>
                </w:tcPr>
                <w:p w14:paraId="3A4FAC3C">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rPr>
                    <w:t>K</w:t>
                  </w:r>
                  <w:r>
                    <w:rPr>
                      <w:rFonts w:hint="default" w:ascii="Times New Roman" w:hAnsi="Times New Roman" w:cs="Times New Roman"/>
                      <w:color w:val="auto"/>
                      <w:szCs w:val="21"/>
                      <w:highlight w:val="none"/>
                      <w:vertAlign w:val="superscript"/>
                    </w:rPr>
                    <w:t>+</w:t>
                  </w:r>
                </w:p>
              </w:tc>
              <w:tc>
                <w:tcPr>
                  <w:tcW w:w="422" w:type="pct"/>
                  <w:tcBorders>
                    <w:tl2br w:val="nil"/>
                    <w:tr2bl w:val="nil"/>
                  </w:tcBorders>
                  <w:noWrap/>
                  <w:vAlign w:val="center"/>
                </w:tcPr>
                <w:p w14:paraId="77EA874A">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2.48</w:t>
                  </w:r>
                </w:p>
              </w:tc>
              <w:tc>
                <w:tcPr>
                  <w:tcW w:w="507" w:type="pct"/>
                  <w:tcBorders>
                    <w:tl2br w:val="nil"/>
                    <w:tr2bl w:val="nil"/>
                  </w:tcBorders>
                  <w:noWrap/>
                  <w:vAlign w:val="center"/>
                </w:tcPr>
                <w:p w14:paraId="3649B624">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2.48</w:t>
                  </w:r>
                </w:p>
              </w:tc>
              <w:tc>
                <w:tcPr>
                  <w:tcW w:w="590" w:type="pct"/>
                  <w:tcBorders>
                    <w:tl2br w:val="nil"/>
                    <w:tr2bl w:val="nil"/>
                  </w:tcBorders>
                  <w:noWrap/>
                  <w:vAlign w:val="center"/>
                </w:tcPr>
                <w:p w14:paraId="106562FA">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2.51</w:t>
                  </w:r>
                </w:p>
              </w:tc>
              <w:tc>
                <w:tcPr>
                  <w:tcW w:w="422" w:type="pct"/>
                  <w:tcBorders>
                    <w:tl2br w:val="nil"/>
                    <w:tr2bl w:val="nil"/>
                  </w:tcBorders>
                  <w:noWrap/>
                  <w:vAlign w:val="center"/>
                </w:tcPr>
                <w:p w14:paraId="54F870E8">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2.55</w:t>
                  </w:r>
                </w:p>
              </w:tc>
              <w:tc>
                <w:tcPr>
                  <w:tcW w:w="506" w:type="pct"/>
                  <w:tcBorders>
                    <w:tl2br w:val="nil"/>
                    <w:tr2bl w:val="nil"/>
                  </w:tcBorders>
                  <w:noWrap/>
                  <w:vAlign w:val="center"/>
                </w:tcPr>
                <w:p w14:paraId="3F68AE56">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2.55</w:t>
                  </w:r>
                </w:p>
              </w:tc>
              <w:tc>
                <w:tcPr>
                  <w:tcW w:w="591" w:type="pct"/>
                  <w:tcBorders>
                    <w:tl2br w:val="nil"/>
                    <w:tr2bl w:val="nil"/>
                  </w:tcBorders>
                  <w:noWrap/>
                  <w:vAlign w:val="center"/>
                </w:tcPr>
                <w:p w14:paraId="6EB54BFB">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2.65</w:t>
                  </w:r>
                </w:p>
              </w:tc>
              <w:tc>
                <w:tcPr>
                  <w:tcW w:w="422" w:type="pct"/>
                  <w:tcBorders>
                    <w:tl2br w:val="nil"/>
                    <w:tr2bl w:val="nil"/>
                  </w:tcBorders>
                  <w:noWrap/>
                  <w:vAlign w:val="center"/>
                </w:tcPr>
                <w:p w14:paraId="5C430A78">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2.60</w:t>
                  </w:r>
                </w:p>
              </w:tc>
              <w:tc>
                <w:tcPr>
                  <w:tcW w:w="506" w:type="pct"/>
                  <w:tcBorders>
                    <w:tl2br w:val="nil"/>
                    <w:tr2bl w:val="nil"/>
                  </w:tcBorders>
                  <w:noWrap/>
                  <w:vAlign w:val="center"/>
                </w:tcPr>
                <w:p w14:paraId="1303890D">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2.52</w:t>
                  </w:r>
                </w:p>
              </w:tc>
              <w:tc>
                <w:tcPr>
                  <w:tcW w:w="593" w:type="pct"/>
                  <w:tcBorders>
                    <w:tl2br w:val="nil"/>
                    <w:tr2bl w:val="nil"/>
                  </w:tcBorders>
                  <w:noWrap/>
                  <w:vAlign w:val="center"/>
                </w:tcPr>
                <w:p w14:paraId="725E78DA">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2.64</w:t>
                  </w:r>
                </w:p>
              </w:tc>
            </w:tr>
            <w:tr w14:paraId="7C7A23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38" w:type="pct"/>
                  <w:tcBorders>
                    <w:tl2br w:val="nil"/>
                    <w:tr2bl w:val="nil"/>
                  </w:tcBorders>
                  <w:noWrap/>
                  <w:vAlign w:val="center"/>
                </w:tcPr>
                <w:p w14:paraId="1F5B0FFB">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rPr>
                    <w:t>Na</w:t>
                  </w:r>
                  <w:r>
                    <w:rPr>
                      <w:rFonts w:hint="default" w:ascii="Times New Roman" w:hAnsi="Times New Roman" w:cs="Times New Roman"/>
                      <w:color w:val="auto"/>
                      <w:szCs w:val="21"/>
                      <w:highlight w:val="none"/>
                      <w:vertAlign w:val="superscript"/>
                    </w:rPr>
                    <w:t>+</w:t>
                  </w:r>
                </w:p>
              </w:tc>
              <w:tc>
                <w:tcPr>
                  <w:tcW w:w="422" w:type="pct"/>
                  <w:tcBorders>
                    <w:tl2br w:val="nil"/>
                    <w:tr2bl w:val="nil"/>
                  </w:tcBorders>
                  <w:noWrap/>
                  <w:vAlign w:val="center"/>
                </w:tcPr>
                <w:p w14:paraId="3F160A8C">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3.57</w:t>
                  </w:r>
                </w:p>
              </w:tc>
              <w:tc>
                <w:tcPr>
                  <w:tcW w:w="507" w:type="pct"/>
                  <w:tcBorders>
                    <w:tl2br w:val="nil"/>
                    <w:tr2bl w:val="nil"/>
                  </w:tcBorders>
                  <w:noWrap/>
                  <w:vAlign w:val="center"/>
                </w:tcPr>
                <w:p w14:paraId="75FF61B1">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3.61</w:t>
                  </w:r>
                </w:p>
              </w:tc>
              <w:tc>
                <w:tcPr>
                  <w:tcW w:w="590" w:type="pct"/>
                  <w:tcBorders>
                    <w:tl2br w:val="nil"/>
                    <w:tr2bl w:val="nil"/>
                  </w:tcBorders>
                  <w:noWrap/>
                  <w:vAlign w:val="center"/>
                </w:tcPr>
                <w:p w14:paraId="522A429B">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3.45</w:t>
                  </w:r>
                </w:p>
              </w:tc>
              <w:tc>
                <w:tcPr>
                  <w:tcW w:w="422" w:type="pct"/>
                  <w:tcBorders>
                    <w:tl2br w:val="nil"/>
                    <w:tr2bl w:val="nil"/>
                  </w:tcBorders>
                  <w:noWrap/>
                  <w:vAlign w:val="center"/>
                </w:tcPr>
                <w:p w14:paraId="39CC7691">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3.65</w:t>
                  </w:r>
                </w:p>
              </w:tc>
              <w:tc>
                <w:tcPr>
                  <w:tcW w:w="506" w:type="pct"/>
                  <w:tcBorders>
                    <w:tl2br w:val="nil"/>
                    <w:tr2bl w:val="nil"/>
                  </w:tcBorders>
                  <w:noWrap/>
                  <w:vAlign w:val="center"/>
                </w:tcPr>
                <w:p w14:paraId="67E222E1">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3.71</w:t>
                  </w:r>
                </w:p>
              </w:tc>
              <w:tc>
                <w:tcPr>
                  <w:tcW w:w="591" w:type="pct"/>
                  <w:tcBorders>
                    <w:tl2br w:val="nil"/>
                    <w:tr2bl w:val="nil"/>
                  </w:tcBorders>
                  <w:noWrap/>
                  <w:vAlign w:val="center"/>
                </w:tcPr>
                <w:p w14:paraId="528CC379">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3.50</w:t>
                  </w:r>
                </w:p>
              </w:tc>
              <w:tc>
                <w:tcPr>
                  <w:tcW w:w="422" w:type="pct"/>
                  <w:tcBorders>
                    <w:tl2br w:val="nil"/>
                    <w:tr2bl w:val="nil"/>
                  </w:tcBorders>
                  <w:noWrap/>
                  <w:vAlign w:val="center"/>
                </w:tcPr>
                <w:p w14:paraId="7AB0BD43">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3.51</w:t>
                  </w:r>
                </w:p>
              </w:tc>
              <w:tc>
                <w:tcPr>
                  <w:tcW w:w="506" w:type="pct"/>
                  <w:tcBorders>
                    <w:tl2br w:val="nil"/>
                    <w:tr2bl w:val="nil"/>
                  </w:tcBorders>
                  <w:noWrap/>
                  <w:vAlign w:val="center"/>
                </w:tcPr>
                <w:p w14:paraId="2E795C49">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3.51</w:t>
                  </w:r>
                </w:p>
              </w:tc>
              <w:tc>
                <w:tcPr>
                  <w:tcW w:w="593" w:type="pct"/>
                  <w:tcBorders>
                    <w:tl2br w:val="nil"/>
                    <w:tr2bl w:val="nil"/>
                  </w:tcBorders>
                  <w:noWrap/>
                  <w:vAlign w:val="center"/>
                </w:tcPr>
                <w:p w14:paraId="23EDC531">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3.53</w:t>
                  </w:r>
                </w:p>
              </w:tc>
            </w:tr>
            <w:tr w14:paraId="37A36D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38" w:type="pct"/>
                  <w:tcBorders>
                    <w:tl2br w:val="nil"/>
                    <w:tr2bl w:val="nil"/>
                  </w:tcBorders>
                  <w:noWrap/>
                  <w:vAlign w:val="center"/>
                </w:tcPr>
                <w:p w14:paraId="56599603">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rPr>
                    <w:t>Ca</w:t>
                  </w:r>
                  <w:r>
                    <w:rPr>
                      <w:rFonts w:hint="default" w:ascii="Times New Roman" w:hAnsi="Times New Roman" w:cs="Times New Roman"/>
                      <w:color w:val="auto"/>
                      <w:szCs w:val="21"/>
                      <w:highlight w:val="none"/>
                      <w:vertAlign w:val="superscript"/>
                    </w:rPr>
                    <w:t>2+</w:t>
                  </w:r>
                </w:p>
              </w:tc>
              <w:tc>
                <w:tcPr>
                  <w:tcW w:w="422" w:type="pct"/>
                  <w:tcBorders>
                    <w:tl2br w:val="nil"/>
                    <w:tr2bl w:val="nil"/>
                  </w:tcBorders>
                  <w:noWrap/>
                  <w:vAlign w:val="center"/>
                </w:tcPr>
                <w:p w14:paraId="19803449">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42.5</w:t>
                  </w:r>
                </w:p>
              </w:tc>
              <w:tc>
                <w:tcPr>
                  <w:tcW w:w="507" w:type="pct"/>
                  <w:tcBorders>
                    <w:tl2br w:val="nil"/>
                    <w:tr2bl w:val="nil"/>
                  </w:tcBorders>
                  <w:noWrap/>
                  <w:vAlign w:val="center"/>
                </w:tcPr>
                <w:p w14:paraId="3FB963E5">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42.6</w:t>
                  </w:r>
                </w:p>
              </w:tc>
              <w:tc>
                <w:tcPr>
                  <w:tcW w:w="590" w:type="pct"/>
                  <w:tcBorders>
                    <w:tl2br w:val="nil"/>
                    <w:tr2bl w:val="nil"/>
                  </w:tcBorders>
                  <w:noWrap/>
                  <w:vAlign w:val="center"/>
                </w:tcPr>
                <w:p w14:paraId="1AFA07E3">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42.8</w:t>
                  </w:r>
                </w:p>
              </w:tc>
              <w:tc>
                <w:tcPr>
                  <w:tcW w:w="422" w:type="pct"/>
                  <w:tcBorders>
                    <w:tl2br w:val="nil"/>
                    <w:tr2bl w:val="nil"/>
                  </w:tcBorders>
                  <w:noWrap/>
                  <w:vAlign w:val="center"/>
                </w:tcPr>
                <w:p w14:paraId="5939DD30">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43.2</w:t>
                  </w:r>
                </w:p>
              </w:tc>
              <w:tc>
                <w:tcPr>
                  <w:tcW w:w="506" w:type="pct"/>
                  <w:tcBorders>
                    <w:tl2br w:val="nil"/>
                    <w:tr2bl w:val="nil"/>
                  </w:tcBorders>
                  <w:noWrap/>
                  <w:vAlign w:val="center"/>
                </w:tcPr>
                <w:p w14:paraId="6EF6C6B2">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43.0</w:t>
                  </w:r>
                </w:p>
              </w:tc>
              <w:tc>
                <w:tcPr>
                  <w:tcW w:w="591" w:type="pct"/>
                  <w:tcBorders>
                    <w:tl2br w:val="nil"/>
                    <w:tr2bl w:val="nil"/>
                  </w:tcBorders>
                  <w:noWrap/>
                  <w:vAlign w:val="center"/>
                </w:tcPr>
                <w:p w14:paraId="33883433">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43.3</w:t>
                  </w:r>
                </w:p>
              </w:tc>
              <w:tc>
                <w:tcPr>
                  <w:tcW w:w="422" w:type="pct"/>
                  <w:tcBorders>
                    <w:tl2br w:val="nil"/>
                    <w:tr2bl w:val="nil"/>
                  </w:tcBorders>
                  <w:noWrap/>
                  <w:vAlign w:val="center"/>
                </w:tcPr>
                <w:p w14:paraId="082D3CA7">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43.3</w:t>
                  </w:r>
                </w:p>
              </w:tc>
              <w:tc>
                <w:tcPr>
                  <w:tcW w:w="506" w:type="pct"/>
                  <w:tcBorders>
                    <w:tl2br w:val="nil"/>
                    <w:tr2bl w:val="nil"/>
                  </w:tcBorders>
                  <w:noWrap/>
                  <w:vAlign w:val="center"/>
                </w:tcPr>
                <w:p w14:paraId="56DCDE61">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42.0</w:t>
                  </w:r>
                </w:p>
              </w:tc>
              <w:tc>
                <w:tcPr>
                  <w:tcW w:w="593" w:type="pct"/>
                  <w:tcBorders>
                    <w:tl2br w:val="nil"/>
                    <w:tr2bl w:val="nil"/>
                  </w:tcBorders>
                  <w:noWrap/>
                  <w:vAlign w:val="center"/>
                </w:tcPr>
                <w:p w14:paraId="26E4ECAD">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42.3</w:t>
                  </w:r>
                </w:p>
              </w:tc>
            </w:tr>
            <w:tr w14:paraId="7C7A0E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438" w:type="pct"/>
                  <w:tcBorders>
                    <w:tl2br w:val="nil"/>
                    <w:tr2bl w:val="nil"/>
                  </w:tcBorders>
                  <w:noWrap/>
                  <w:vAlign w:val="center"/>
                </w:tcPr>
                <w:p w14:paraId="792F2703">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rPr>
                    <w:t>Mg</w:t>
                  </w:r>
                  <w:r>
                    <w:rPr>
                      <w:rFonts w:hint="default" w:ascii="Times New Roman" w:hAnsi="Times New Roman" w:cs="Times New Roman"/>
                      <w:color w:val="auto"/>
                      <w:szCs w:val="21"/>
                      <w:highlight w:val="none"/>
                      <w:vertAlign w:val="superscript"/>
                    </w:rPr>
                    <w:t>2+</w:t>
                  </w:r>
                </w:p>
              </w:tc>
              <w:tc>
                <w:tcPr>
                  <w:tcW w:w="422" w:type="pct"/>
                  <w:tcBorders>
                    <w:tl2br w:val="nil"/>
                    <w:tr2bl w:val="nil"/>
                  </w:tcBorders>
                  <w:noWrap/>
                  <w:vAlign w:val="center"/>
                </w:tcPr>
                <w:p w14:paraId="5551B5F2">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9.87</w:t>
                  </w:r>
                </w:p>
              </w:tc>
              <w:tc>
                <w:tcPr>
                  <w:tcW w:w="507" w:type="pct"/>
                  <w:tcBorders>
                    <w:tl2br w:val="nil"/>
                    <w:tr2bl w:val="nil"/>
                  </w:tcBorders>
                  <w:noWrap/>
                  <w:vAlign w:val="center"/>
                </w:tcPr>
                <w:p w14:paraId="77E416C2">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10.1</w:t>
                  </w:r>
                </w:p>
              </w:tc>
              <w:tc>
                <w:tcPr>
                  <w:tcW w:w="590" w:type="pct"/>
                  <w:tcBorders>
                    <w:tl2br w:val="nil"/>
                    <w:tr2bl w:val="nil"/>
                  </w:tcBorders>
                  <w:noWrap/>
                  <w:vAlign w:val="center"/>
                </w:tcPr>
                <w:p w14:paraId="53D07946">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10.1</w:t>
                  </w:r>
                </w:p>
              </w:tc>
              <w:tc>
                <w:tcPr>
                  <w:tcW w:w="422" w:type="pct"/>
                  <w:tcBorders>
                    <w:tl2br w:val="nil"/>
                    <w:tr2bl w:val="nil"/>
                  </w:tcBorders>
                  <w:noWrap/>
                  <w:vAlign w:val="center"/>
                </w:tcPr>
                <w:p w14:paraId="5774B86E">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10.0</w:t>
                  </w:r>
                </w:p>
              </w:tc>
              <w:tc>
                <w:tcPr>
                  <w:tcW w:w="506" w:type="pct"/>
                  <w:tcBorders>
                    <w:tl2br w:val="nil"/>
                    <w:tr2bl w:val="nil"/>
                  </w:tcBorders>
                  <w:noWrap/>
                  <w:vAlign w:val="center"/>
                </w:tcPr>
                <w:p w14:paraId="6EF52DC2">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9.45</w:t>
                  </w:r>
                </w:p>
              </w:tc>
              <w:tc>
                <w:tcPr>
                  <w:tcW w:w="591" w:type="pct"/>
                  <w:tcBorders>
                    <w:tl2br w:val="nil"/>
                    <w:tr2bl w:val="nil"/>
                  </w:tcBorders>
                  <w:noWrap/>
                  <w:vAlign w:val="center"/>
                </w:tcPr>
                <w:p w14:paraId="05835FC5">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9.04</w:t>
                  </w:r>
                </w:p>
              </w:tc>
              <w:tc>
                <w:tcPr>
                  <w:tcW w:w="422" w:type="pct"/>
                  <w:tcBorders>
                    <w:tl2br w:val="nil"/>
                    <w:tr2bl w:val="nil"/>
                  </w:tcBorders>
                  <w:noWrap/>
                  <w:vAlign w:val="center"/>
                </w:tcPr>
                <w:p w14:paraId="421CF8E5">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8.43</w:t>
                  </w:r>
                </w:p>
              </w:tc>
              <w:tc>
                <w:tcPr>
                  <w:tcW w:w="506" w:type="pct"/>
                  <w:tcBorders>
                    <w:tl2br w:val="nil"/>
                    <w:tr2bl w:val="nil"/>
                  </w:tcBorders>
                  <w:noWrap/>
                  <w:vAlign w:val="center"/>
                </w:tcPr>
                <w:p w14:paraId="519159AF">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9.15</w:t>
                  </w:r>
                </w:p>
              </w:tc>
              <w:tc>
                <w:tcPr>
                  <w:tcW w:w="593" w:type="pct"/>
                  <w:tcBorders>
                    <w:tl2br w:val="nil"/>
                    <w:tr2bl w:val="nil"/>
                  </w:tcBorders>
                  <w:noWrap/>
                  <w:vAlign w:val="center"/>
                </w:tcPr>
                <w:p w14:paraId="746F611C">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9.51</w:t>
                  </w:r>
                </w:p>
              </w:tc>
            </w:tr>
            <w:tr w14:paraId="1DEEF8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438" w:type="pct"/>
                  <w:tcBorders>
                    <w:tl2br w:val="nil"/>
                    <w:tr2bl w:val="nil"/>
                  </w:tcBorders>
                  <w:noWrap/>
                  <w:vAlign w:val="center"/>
                </w:tcPr>
                <w:p w14:paraId="01110EEA">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rPr>
                    <w:t>CO</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vertAlign w:val="superscript"/>
                    </w:rPr>
                    <w:t>2-</w:t>
                  </w:r>
                </w:p>
              </w:tc>
              <w:tc>
                <w:tcPr>
                  <w:tcW w:w="422" w:type="pct"/>
                  <w:tcBorders>
                    <w:tl2br w:val="nil"/>
                    <w:tr2bl w:val="nil"/>
                  </w:tcBorders>
                  <w:noWrap/>
                  <w:vAlign w:val="center"/>
                </w:tcPr>
                <w:p w14:paraId="4B1F76FE">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0</w:t>
                  </w:r>
                </w:p>
              </w:tc>
              <w:tc>
                <w:tcPr>
                  <w:tcW w:w="507" w:type="pct"/>
                  <w:tcBorders>
                    <w:tl2br w:val="nil"/>
                    <w:tr2bl w:val="nil"/>
                  </w:tcBorders>
                  <w:noWrap/>
                  <w:vAlign w:val="center"/>
                </w:tcPr>
                <w:p w14:paraId="0309CEEA">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0</w:t>
                  </w:r>
                </w:p>
              </w:tc>
              <w:tc>
                <w:tcPr>
                  <w:tcW w:w="590" w:type="pct"/>
                  <w:tcBorders>
                    <w:tl2br w:val="nil"/>
                    <w:tr2bl w:val="nil"/>
                  </w:tcBorders>
                  <w:noWrap/>
                  <w:vAlign w:val="center"/>
                </w:tcPr>
                <w:p w14:paraId="3FE3E25A">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0</w:t>
                  </w:r>
                </w:p>
              </w:tc>
              <w:tc>
                <w:tcPr>
                  <w:tcW w:w="422" w:type="pct"/>
                  <w:tcBorders>
                    <w:tl2br w:val="nil"/>
                    <w:tr2bl w:val="nil"/>
                  </w:tcBorders>
                  <w:noWrap/>
                  <w:vAlign w:val="center"/>
                </w:tcPr>
                <w:p w14:paraId="597B7B71">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0</w:t>
                  </w:r>
                </w:p>
              </w:tc>
              <w:tc>
                <w:tcPr>
                  <w:tcW w:w="506" w:type="pct"/>
                  <w:tcBorders>
                    <w:tl2br w:val="nil"/>
                    <w:tr2bl w:val="nil"/>
                  </w:tcBorders>
                  <w:noWrap/>
                  <w:vAlign w:val="center"/>
                </w:tcPr>
                <w:p w14:paraId="0826FABF">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0</w:t>
                  </w:r>
                </w:p>
              </w:tc>
              <w:tc>
                <w:tcPr>
                  <w:tcW w:w="591" w:type="pct"/>
                  <w:tcBorders>
                    <w:tl2br w:val="nil"/>
                    <w:tr2bl w:val="nil"/>
                  </w:tcBorders>
                  <w:noWrap/>
                  <w:vAlign w:val="center"/>
                </w:tcPr>
                <w:p w14:paraId="4CBBEEB4">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0</w:t>
                  </w:r>
                </w:p>
              </w:tc>
              <w:tc>
                <w:tcPr>
                  <w:tcW w:w="422" w:type="pct"/>
                  <w:tcBorders>
                    <w:tl2br w:val="nil"/>
                    <w:tr2bl w:val="nil"/>
                  </w:tcBorders>
                  <w:noWrap/>
                  <w:vAlign w:val="center"/>
                </w:tcPr>
                <w:p w14:paraId="7C115DF4">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0</w:t>
                  </w:r>
                </w:p>
              </w:tc>
              <w:tc>
                <w:tcPr>
                  <w:tcW w:w="506" w:type="pct"/>
                  <w:tcBorders>
                    <w:tl2br w:val="nil"/>
                    <w:tr2bl w:val="nil"/>
                  </w:tcBorders>
                  <w:noWrap/>
                  <w:vAlign w:val="center"/>
                </w:tcPr>
                <w:p w14:paraId="1EFE7D18">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0</w:t>
                  </w:r>
                </w:p>
              </w:tc>
              <w:tc>
                <w:tcPr>
                  <w:tcW w:w="593" w:type="pct"/>
                  <w:tcBorders>
                    <w:tl2br w:val="nil"/>
                    <w:tr2bl w:val="nil"/>
                  </w:tcBorders>
                  <w:noWrap/>
                  <w:vAlign w:val="center"/>
                </w:tcPr>
                <w:p w14:paraId="68BC0B36">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0</w:t>
                  </w:r>
                </w:p>
              </w:tc>
            </w:tr>
            <w:tr w14:paraId="17CCF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38" w:type="pct"/>
                  <w:tcBorders>
                    <w:tl2br w:val="nil"/>
                    <w:tr2bl w:val="nil"/>
                  </w:tcBorders>
                  <w:noWrap/>
                  <w:vAlign w:val="center"/>
                </w:tcPr>
                <w:p w14:paraId="3D2FD3B8">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rPr>
                    <w:t>HCO</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vertAlign w:val="superscript"/>
                    </w:rPr>
                    <w:t>-</w:t>
                  </w:r>
                </w:p>
              </w:tc>
              <w:tc>
                <w:tcPr>
                  <w:tcW w:w="422" w:type="pct"/>
                  <w:tcBorders>
                    <w:tl2br w:val="nil"/>
                    <w:tr2bl w:val="nil"/>
                  </w:tcBorders>
                  <w:noWrap/>
                  <w:vAlign w:val="center"/>
                </w:tcPr>
                <w:p w14:paraId="281A332D">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171</w:t>
                  </w:r>
                </w:p>
              </w:tc>
              <w:tc>
                <w:tcPr>
                  <w:tcW w:w="507" w:type="pct"/>
                  <w:tcBorders>
                    <w:tl2br w:val="nil"/>
                    <w:tr2bl w:val="nil"/>
                  </w:tcBorders>
                  <w:noWrap/>
                  <w:vAlign w:val="center"/>
                </w:tcPr>
                <w:p w14:paraId="4241BB7F">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171</w:t>
                  </w:r>
                </w:p>
              </w:tc>
              <w:tc>
                <w:tcPr>
                  <w:tcW w:w="590" w:type="pct"/>
                  <w:tcBorders>
                    <w:tl2br w:val="nil"/>
                    <w:tr2bl w:val="nil"/>
                  </w:tcBorders>
                  <w:noWrap/>
                  <w:vAlign w:val="center"/>
                </w:tcPr>
                <w:p w14:paraId="5B461DDA">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177</w:t>
                  </w:r>
                </w:p>
              </w:tc>
              <w:tc>
                <w:tcPr>
                  <w:tcW w:w="422" w:type="pct"/>
                  <w:tcBorders>
                    <w:tl2br w:val="nil"/>
                    <w:tr2bl w:val="nil"/>
                  </w:tcBorders>
                  <w:noWrap/>
                  <w:vAlign w:val="center"/>
                </w:tcPr>
                <w:p w14:paraId="7B721D50">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177</w:t>
                  </w:r>
                </w:p>
              </w:tc>
              <w:tc>
                <w:tcPr>
                  <w:tcW w:w="506" w:type="pct"/>
                  <w:tcBorders>
                    <w:tl2br w:val="nil"/>
                    <w:tr2bl w:val="nil"/>
                  </w:tcBorders>
                  <w:noWrap/>
                  <w:vAlign w:val="center"/>
                </w:tcPr>
                <w:p w14:paraId="6EDEF30E">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177</w:t>
                  </w:r>
                </w:p>
              </w:tc>
              <w:tc>
                <w:tcPr>
                  <w:tcW w:w="591" w:type="pct"/>
                  <w:tcBorders>
                    <w:tl2br w:val="nil"/>
                    <w:tr2bl w:val="nil"/>
                  </w:tcBorders>
                  <w:noWrap/>
                  <w:vAlign w:val="center"/>
                </w:tcPr>
                <w:p w14:paraId="3B435E3E">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173</w:t>
                  </w:r>
                </w:p>
              </w:tc>
              <w:tc>
                <w:tcPr>
                  <w:tcW w:w="422" w:type="pct"/>
                  <w:tcBorders>
                    <w:tl2br w:val="nil"/>
                    <w:tr2bl w:val="nil"/>
                  </w:tcBorders>
                  <w:noWrap/>
                  <w:vAlign w:val="center"/>
                </w:tcPr>
                <w:p w14:paraId="2EBA387D">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176</w:t>
                  </w:r>
                </w:p>
              </w:tc>
              <w:tc>
                <w:tcPr>
                  <w:tcW w:w="506" w:type="pct"/>
                  <w:tcBorders>
                    <w:tl2br w:val="nil"/>
                    <w:tr2bl w:val="nil"/>
                  </w:tcBorders>
                  <w:noWrap/>
                  <w:vAlign w:val="center"/>
                </w:tcPr>
                <w:p w14:paraId="0D48F2B1">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172</w:t>
                  </w:r>
                </w:p>
              </w:tc>
              <w:tc>
                <w:tcPr>
                  <w:tcW w:w="593" w:type="pct"/>
                  <w:tcBorders>
                    <w:tl2br w:val="nil"/>
                    <w:tr2bl w:val="nil"/>
                  </w:tcBorders>
                  <w:noWrap/>
                  <w:vAlign w:val="center"/>
                </w:tcPr>
                <w:p w14:paraId="724EFA3A">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180</w:t>
                  </w:r>
                </w:p>
              </w:tc>
            </w:tr>
            <w:tr w14:paraId="07C87E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38" w:type="pct"/>
                  <w:tcBorders>
                    <w:tl2br w:val="nil"/>
                    <w:tr2bl w:val="nil"/>
                  </w:tcBorders>
                  <w:noWrap/>
                  <w:vAlign w:val="center"/>
                </w:tcPr>
                <w:p w14:paraId="4CCEC028">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4</w:t>
                  </w:r>
                  <w:r>
                    <w:rPr>
                      <w:rFonts w:hint="default" w:ascii="Times New Roman" w:hAnsi="Times New Roman" w:cs="Times New Roman"/>
                      <w:color w:val="auto"/>
                      <w:szCs w:val="21"/>
                      <w:highlight w:val="none"/>
                      <w:vertAlign w:val="superscript"/>
                    </w:rPr>
                    <w:t>2-</w:t>
                  </w:r>
                </w:p>
              </w:tc>
              <w:tc>
                <w:tcPr>
                  <w:tcW w:w="422" w:type="pct"/>
                  <w:tcBorders>
                    <w:tl2br w:val="nil"/>
                    <w:tr2bl w:val="nil"/>
                  </w:tcBorders>
                  <w:noWrap/>
                  <w:vAlign w:val="center"/>
                </w:tcPr>
                <w:p w14:paraId="05115C29">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12.8</w:t>
                  </w:r>
                </w:p>
              </w:tc>
              <w:tc>
                <w:tcPr>
                  <w:tcW w:w="507" w:type="pct"/>
                  <w:tcBorders>
                    <w:tl2br w:val="nil"/>
                    <w:tr2bl w:val="nil"/>
                  </w:tcBorders>
                  <w:noWrap/>
                  <w:vAlign w:val="center"/>
                </w:tcPr>
                <w:p w14:paraId="24A970B8">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12.8</w:t>
                  </w:r>
                </w:p>
              </w:tc>
              <w:tc>
                <w:tcPr>
                  <w:tcW w:w="590" w:type="pct"/>
                  <w:tcBorders>
                    <w:tl2br w:val="nil"/>
                    <w:tr2bl w:val="nil"/>
                  </w:tcBorders>
                  <w:noWrap/>
                  <w:vAlign w:val="center"/>
                </w:tcPr>
                <w:p w14:paraId="4893A095">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12.8</w:t>
                  </w:r>
                </w:p>
              </w:tc>
              <w:tc>
                <w:tcPr>
                  <w:tcW w:w="422" w:type="pct"/>
                  <w:tcBorders>
                    <w:tl2br w:val="nil"/>
                    <w:tr2bl w:val="nil"/>
                  </w:tcBorders>
                  <w:noWrap/>
                  <w:vAlign w:val="center"/>
                </w:tcPr>
                <w:p w14:paraId="6B8D6496">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13.1</w:t>
                  </w:r>
                </w:p>
              </w:tc>
              <w:tc>
                <w:tcPr>
                  <w:tcW w:w="506" w:type="pct"/>
                  <w:tcBorders>
                    <w:tl2br w:val="nil"/>
                    <w:tr2bl w:val="nil"/>
                  </w:tcBorders>
                  <w:noWrap/>
                  <w:vAlign w:val="center"/>
                </w:tcPr>
                <w:p w14:paraId="2FE31F89">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12.8</w:t>
                  </w:r>
                </w:p>
              </w:tc>
              <w:tc>
                <w:tcPr>
                  <w:tcW w:w="591" w:type="pct"/>
                  <w:tcBorders>
                    <w:tl2br w:val="nil"/>
                    <w:tr2bl w:val="nil"/>
                  </w:tcBorders>
                  <w:noWrap/>
                  <w:vAlign w:val="center"/>
                </w:tcPr>
                <w:p w14:paraId="342DC403">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12.8</w:t>
                  </w:r>
                </w:p>
              </w:tc>
              <w:tc>
                <w:tcPr>
                  <w:tcW w:w="422" w:type="pct"/>
                  <w:tcBorders>
                    <w:tl2br w:val="nil"/>
                    <w:tr2bl w:val="nil"/>
                  </w:tcBorders>
                  <w:noWrap/>
                  <w:vAlign w:val="center"/>
                </w:tcPr>
                <w:p w14:paraId="08259854">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12.8</w:t>
                  </w:r>
                </w:p>
              </w:tc>
              <w:tc>
                <w:tcPr>
                  <w:tcW w:w="506" w:type="pct"/>
                  <w:tcBorders>
                    <w:tl2br w:val="nil"/>
                    <w:tr2bl w:val="nil"/>
                  </w:tcBorders>
                  <w:noWrap/>
                  <w:vAlign w:val="center"/>
                </w:tcPr>
                <w:p w14:paraId="37A18834">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12.8</w:t>
                  </w:r>
                </w:p>
              </w:tc>
              <w:tc>
                <w:tcPr>
                  <w:tcW w:w="593" w:type="pct"/>
                  <w:tcBorders>
                    <w:tl2br w:val="nil"/>
                    <w:tr2bl w:val="nil"/>
                  </w:tcBorders>
                  <w:noWrap/>
                  <w:vAlign w:val="center"/>
                </w:tcPr>
                <w:p w14:paraId="05553194">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12.8</w:t>
                  </w:r>
                </w:p>
              </w:tc>
            </w:tr>
            <w:tr w14:paraId="027782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38" w:type="pct"/>
                  <w:tcBorders>
                    <w:tl2br w:val="nil"/>
                    <w:tr2bl w:val="nil"/>
                  </w:tcBorders>
                  <w:noWrap/>
                  <w:vAlign w:val="center"/>
                </w:tcPr>
                <w:p w14:paraId="51418B3F">
                  <w:pPr>
                    <w:widowControl/>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rPr>
                    <w:t>Cl</w:t>
                  </w:r>
                  <w:r>
                    <w:rPr>
                      <w:rFonts w:hint="default" w:ascii="Times New Roman" w:hAnsi="Times New Roman" w:cs="Times New Roman"/>
                      <w:color w:val="auto"/>
                      <w:szCs w:val="21"/>
                      <w:highlight w:val="none"/>
                      <w:vertAlign w:val="superscript"/>
                    </w:rPr>
                    <w:t>-</w:t>
                  </w:r>
                </w:p>
              </w:tc>
              <w:tc>
                <w:tcPr>
                  <w:tcW w:w="422" w:type="pct"/>
                  <w:tcBorders>
                    <w:tl2br w:val="nil"/>
                    <w:tr2bl w:val="nil"/>
                  </w:tcBorders>
                  <w:noWrap/>
                  <w:vAlign w:val="center"/>
                </w:tcPr>
                <w:p w14:paraId="7BFBD161">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6.41</w:t>
                  </w:r>
                </w:p>
              </w:tc>
              <w:tc>
                <w:tcPr>
                  <w:tcW w:w="507" w:type="pct"/>
                  <w:tcBorders>
                    <w:tl2br w:val="nil"/>
                    <w:tr2bl w:val="nil"/>
                  </w:tcBorders>
                  <w:noWrap/>
                  <w:vAlign w:val="center"/>
                </w:tcPr>
                <w:p w14:paraId="535B99AF">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6.30</w:t>
                  </w:r>
                </w:p>
              </w:tc>
              <w:tc>
                <w:tcPr>
                  <w:tcW w:w="590" w:type="pct"/>
                  <w:tcBorders>
                    <w:tl2br w:val="nil"/>
                    <w:tr2bl w:val="nil"/>
                  </w:tcBorders>
                  <w:noWrap/>
                  <w:vAlign w:val="center"/>
                </w:tcPr>
                <w:p w14:paraId="576502F5">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6.30</w:t>
                  </w:r>
                </w:p>
              </w:tc>
              <w:tc>
                <w:tcPr>
                  <w:tcW w:w="422" w:type="pct"/>
                  <w:tcBorders>
                    <w:tl2br w:val="nil"/>
                    <w:tr2bl w:val="nil"/>
                  </w:tcBorders>
                  <w:noWrap/>
                  <w:vAlign w:val="center"/>
                </w:tcPr>
                <w:p w14:paraId="4AB666A3">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6.36</w:t>
                  </w:r>
                </w:p>
              </w:tc>
              <w:tc>
                <w:tcPr>
                  <w:tcW w:w="506" w:type="pct"/>
                  <w:tcBorders>
                    <w:tl2br w:val="nil"/>
                    <w:tr2bl w:val="nil"/>
                  </w:tcBorders>
                  <w:noWrap/>
                  <w:vAlign w:val="center"/>
                </w:tcPr>
                <w:p w14:paraId="0976E4A7">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6.29</w:t>
                  </w:r>
                </w:p>
              </w:tc>
              <w:tc>
                <w:tcPr>
                  <w:tcW w:w="591" w:type="pct"/>
                  <w:tcBorders>
                    <w:tl2br w:val="nil"/>
                    <w:tr2bl w:val="nil"/>
                  </w:tcBorders>
                  <w:noWrap/>
                  <w:vAlign w:val="center"/>
                </w:tcPr>
                <w:p w14:paraId="01BFC2F0">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6.30</w:t>
                  </w:r>
                </w:p>
              </w:tc>
              <w:tc>
                <w:tcPr>
                  <w:tcW w:w="422" w:type="pct"/>
                  <w:tcBorders>
                    <w:tl2br w:val="nil"/>
                    <w:tr2bl w:val="nil"/>
                  </w:tcBorders>
                  <w:noWrap/>
                  <w:vAlign w:val="center"/>
                </w:tcPr>
                <w:p w14:paraId="541C0B93">
                  <w:pPr>
                    <w:widowControl/>
                    <w:jc w:val="center"/>
                    <w:textAlignment w:val="center"/>
                    <w:rPr>
                      <w:rFonts w:hint="default" w:ascii="Times New Roman" w:hAnsi="Times New Roman" w:cs="Times New Roman"/>
                      <w:color w:val="auto"/>
                      <w:spacing w:val="-5"/>
                      <w:szCs w:val="21"/>
                      <w:highlight w:val="none"/>
                      <w:lang w:bidi="he-IL"/>
                    </w:rPr>
                  </w:pPr>
                  <w:r>
                    <w:rPr>
                      <w:rFonts w:hint="default" w:ascii="Times New Roman" w:hAnsi="Times New Roman" w:cs="Times New Roman"/>
                      <w:color w:val="auto"/>
                      <w:spacing w:val="-5"/>
                      <w:kern w:val="0"/>
                      <w:szCs w:val="21"/>
                      <w:highlight w:val="none"/>
                    </w:rPr>
                    <w:t>6.28</w:t>
                  </w:r>
                </w:p>
              </w:tc>
              <w:tc>
                <w:tcPr>
                  <w:tcW w:w="506" w:type="pct"/>
                  <w:tcBorders>
                    <w:tl2br w:val="nil"/>
                    <w:tr2bl w:val="nil"/>
                  </w:tcBorders>
                  <w:noWrap/>
                  <w:vAlign w:val="center"/>
                </w:tcPr>
                <w:p w14:paraId="6CAD68DA">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6.32</w:t>
                  </w:r>
                </w:p>
              </w:tc>
              <w:tc>
                <w:tcPr>
                  <w:tcW w:w="593" w:type="pct"/>
                  <w:tcBorders>
                    <w:tl2br w:val="nil"/>
                    <w:tr2bl w:val="nil"/>
                  </w:tcBorders>
                  <w:noWrap/>
                  <w:vAlign w:val="center"/>
                </w:tcPr>
                <w:p w14:paraId="30907C76">
                  <w:pPr>
                    <w:widowControl/>
                    <w:jc w:val="center"/>
                    <w:textAlignment w:val="center"/>
                    <w:rPr>
                      <w:rFonts w:hint="default" w:ascii="Times New Roman" w:hAnsi="Times New Roman" w:cs="Times New Roman"/>
                      <w:color w:val="auto"/>
                      <w:spacing w:val="-5"/>
                      <w:kern w:val="0"/>
                      <w:szCs w:val="21"/>
                      <w:highlight w:val="none"/>
                    </w:rPr>
                  </w:pPr>
                  <w:r>
                    <w:rPr>
                      <w:rFonts w:hint="default" w:ascii="Times New Roman" w:hAnsi="Times New Roman" w:cs="Times New Roman"/>
                      <w:color w:val="auto"/>
                      <w:spacing w:val="-5"/>
                      <w:kern w:val="0"/>
                      <w:szCs w:val="21"/>
                      <w:highlight w:val="none"/>
                    </w:rPr>
                    <w:t>6.34</w:t>
                  </w:r>
                </w:p>
              </w:tc>
            </w:tr>
          </w:tbl>
          <w:p w14:paraId="7E3674D1">
            <w:pPr>
              <w:pStyle w:val="9"/>
              <w:spacing w:after="0" w:line="332" w:lineRule="auto"/>
              <w:ind w:firstLine="496"/>
              <w:jc w:val="left"/>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pacing w:val="4"/>
                <w:sz w:val="24"/>
                <w:highlight w:val="none"/>
              </w:rPr>
              <w:t>根据监测结果可知，HS1深沟村、HS2清水村、HS3新街村地下水现状监测指标均可达到《地下水环境质量标准》</w:t>
            </w:r>
            <w:r>
              <w:rPr>
                <w:rFonts w:hint="default" w:ascii="Times New Roman" w:hAnsi="Times New Roman" w:eastAsia="宋体" w:cs="Times New Roman"/>
                <w:color w:val="auto"/>
                <w:sz w:val="24"/>
                <w:highlight w:val="none"/>
              </w:rPr>
              <w:t>（GB/T14848-2017）Ⅲ类水质标准，满足水体功能要求</w:t>
            </w:r>
            <w:r>
              <w:rPr>
                <w:rFonts w:hint="eastAsia" w:cs="Times New Roman"/>
                <w:color w:val="auto"/>
                <w:sz w:val="24"/>
                <w:highlight w:val="none"/>
                <w:lang w:eastAsia="zh-CN"/>
              </w:rPr>
              <w:t>，</w:t>
            </w:r>
            <w:r>
              <w:rPr>
                <w:rFonts w:hint="eastAsia" w:cs="Times New Roman"/>
                <w:color w:val="auto"/>
                <w:sz w:val="24"/>
                <w:highlight w:val="none"/>
                <w:lang w:val="zh-CN" w:eastAsia="zh-CN"/>
              </w:rPr>
              <w:t>区域地下水质量</w:t>
            </w:r>
            <w:r>
              <w:rPr>
                <w:rFonts w:hint="eastAsia" w:cs="Times New Roman"/>
                <w:color w:val="auto"/>
                <w:sz w:val="24"/>
                <w:highlight w:val="none"/>
                <w:lang w:eastAsia="zh-CN"/>
              </w:rPr>
              <w:t>良好</w:t>
            </w:r>
            <w:r>
              <w:rPr>
                <w:rFonts w:hint="eastAsia" w:cs="Times New Roman"/>
                <w:color w:val="auto"/>
                <w:sz w:val="24"/>
                <w:highlight w:val="none"/>
                <w:lang w:val="zh-CN" w:eastAsia="zh-CN"/>
              </w:rPr>
              <w:t>。</w:t>
            </w:r>
          </w:p>
          <w:p w14:paraId="782E8D8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土壤</w:t>
            </w:r>
            <w:r>
              <w:rPr>
                <w:rFonts w:hint="default" w:ascii="Times New Roman" w:hAnsi="Times New Roman" w:eastAsia="宋体" w:cs="Times New Roman"/>
                <w:b/>
                <w:bCs/>
                <w:color w:val="auto"/>
                <w:sz w:val="24"/>
                <w:szCs w:val="24"/>
                <w:highlight w:val="none"/>
                <w:lang w:val="en-US" w:eastAsia="zh-CN"/>
              </w:rPr>
              <w:t>环境质量现状</w:t>
            </w:r>
          </w:p>
          <w:p w14:paraId="67800B64">
            <w:pPr>
              <w:pStyle w:val="86"/>
              <w:rPr>
                <w:rFonts w:hint="default" w:ascii="Times New Roman" w:hAnsi="Times New Roman" w:cs="Times New Roman"/>
                <w:color w:val="auto"/>
                <w:highlight w:val="none"/>
              </w:rPr>
            </w:pPr>
            <w:r>
              <w:rPr>
                <w:rFonts w:hint="eastAsia" w:ascii="Times New Roman" w:hAnsi="Times New Roman" w:eastAsia="宋体" w:cs="宋体"/>
                <w:color w:val="auto"/>
                <w:kern w:val="0"/>
                <w:sz w:val="24"/>
                <w:szCs w:val="24"/>
                <w:highlight w:val="none"/>
              </w:rPr>
              <w:t>项目建设地点位于</w:t>
            </w:r>
            <w:r>
              <w:rPr>
                <w:rFonts w:hint="default" w:ascii="Times New Roman" w:hAnsi="Times New Roman" w:eastAsia="宋体" w:cs="宋体"/>
                <w:color w:val="auto"/>
                <w:kern w:val="0"/>
                <w:sz w:val="24"/>
                <w:szCs w:val="24"/>
                <w:highlight w:val="none"/>
                <w:lang w:val="en-US" w:eastAsia="zh-CN"/>
              </w:rPr>
              <w:t>昆明市寻甸特色产业园区羊街片区</w:t>
            </w:r>
            <w:r>
              <w:rPr>
                <w:rFonts w:hint="eastAsia" w:ascii="Times New Roman" w:hAnsi="Times New Roman" w:eastAsia="宋体" w:cs="宋体"/>
                <w:color w:val="auto"/>
                <w:kern w:val="0"/>
                <w:sz w:val="24"/>
                <w:szCs w:val="24"/>
                <w:highlight w:val="none"/>
              </w:rPr>
              <w:t>，项目用地为工业用地。</w:t>
            </w:r>
            <w:r>
              <w:rPr>
                <w:rFonts w:hint="eastAsia"/>
                <w:color w:val="auto"/>
                <w:kern w:val="0"/>
                <w:sz w:val="24"/>
                <w:szCs w:val="24"/>
                <w:highlight w:val="none"/>
              </w:rPr>
              <w:t>为了解项目所在地区域</w:t>
            </w:r>
            <w:r>
              <w:rPr>
                <w:rFonts w:hint="eastAsia"/>
                <w:color w:val="auto"/>
                <w:kern w:val="0"/>
                <w:sz w:val="24"/>
                <w:szCs w:val="24"/>
                <w:highlight w:val="none"/>
                <w:lang w:eastAsia="zh-CN"/>
              </w:rPr>
              <w:t>土壤</w:t>
            </w:r>
            <w:r>
              <w:rPr>
                <w:rFonts w:hint="eastAsia"/>
                <w:color w:val="auto"/>
                <w:kern w:val="0"/>
                <w:sz w:val="24"/>
                <w:szCs w:val="24"/>
                <w:highlight w:val="none"/>
              </w:rPr>
              <w:t>环境质量现状，</w:t>
            </w:r>
            <w:r>
              <w:rPr>
                <w:rFonts w:hint="eastAsia"/>
                <w:color w:val="auto"/>
                <w:kern w:val="0"/>
                <w:sz w:val="24"/>
                <w:szCs w:val="24"/>
                <w:highlight w:val="none"/>
                <w:lang w:eastAsia="zh-CN"/>
              </w:rPr>
              <w:t>鉴于本项目为扩建项目，</w:t>
            </w:r>
            <w:r>
              <w:rPr>
                <w:rFonts w:hint="default" w:ascii="Times New Roman" w:hAnsi="Times New Roman" w:eastAsia="宋体" w:cs="Times New Roman"/>
                <w:color w:val="auto"/>
                <w:sz w:val="24"/>
                <w:highlight w:val="none"/>
                <w:lang w:val="en-US" w:eastAsia="zh-CN"/>
              </w:rPr>
              <w:t>拟使用生产厂房内部已全部进行了水泥地面硬化，且周边50m范围内无土壤环境保护目标</w:t>
            </w:r>
            <w:r>
              <w:rPr>
                <w:rFonts w:hint="eastAsia"/>
                <w:color w:val="auto"/>
                <w:kern w:val="0"/>
                <w:sz w:val="24"/>
                <w:szCs w:val="24"/>
                <w:highlight w:val="none"/>
                <w:lang w:eastAsia="zh-CN"/>
              </w:rPr>
              <w:t>，因此</w:t>
            </w:r>
            <w:r>
              <w:rPr>
                <w:rFonts w:hint="default" w:ascii="Times New Roman" w:hAnsi="Times New Roman" w:eastAsia="宋体" w:cs="Times New Roman"/>
                <w:color w:val="auto"/>
                <w:sz w:val="24"/>
                <w:szCs w:val="24"/>
                <w:highlight w:val="none"/>
                <w:lang w:val="zh-CN"/>
              </w:rPr>
              <w:t>本次评价引用</w:t>
            </w:r>
            <w:r>
              <w:rPr>
                <w:rFonts w:hint="default" w:ascii="Times New Roman" w:hAnsi="Times New Roman" w:cs="Times New Roman"/>
                <w:color w:val="auto"/>
                <w:sz w:val="24"/>
                <w:szCs w:val="24"/>
                <w:highlight w:val="none"/>
                <w:lang w:val="zh-CN"/>
              </w:rPr>
              <w:t>云南天博环境检测有限公司</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日</w:t>
            </w:r>
            <w:r>
              <w:rPr>
                <w:rFonts w:hint="eastAsia" w:ascii="Times New Roman" w:hAnsi="Times New Roman" w:eastAsia="宋体" w:cs="Times New Roman"/>
                <w:color w:val="auto"/>
                <w:sz w:val="24"/>
                <w:highlight w:val="none"/>
                <w:lang w:eastAsia="zh-CN"/>
              </w:rPr>
              <w:t>出具的</w:t>
            </w:r>
            <w:r>
              <w:rPr>
                <w:rFonts w:hint="default" w:ascii="Times New Roman" w:hAnsi="Times New Roman" w:eastAsia="宋体" w:cs="Times New Roman"/>
                <w:color w:val="auto"/>
                <w:kern w:val="2"/>
                <w:sz w:val="24"/>
                <w:szCs w:val="24"/>
                <w:highlight w:val="none"/>
                <w:lang w:val="zh-CN"/>
              </w:rPr>
              <w:t>《寻甸年加工喷涂铝板30万平方米项目</w:t>
            </w:r>
            <w:r>
              <w:rPr>
                <w:rFonts w:hint="eastAsia" w:cs="Times New Roman"/>
                <w:color w:val="auto"/>
                <w:kern w:val="2"/>
                <w:sz w:val="24"/>
                <w:szCs w:val="24"/>
                <w:highlight w:val="none"/>
                <w:lang w:val="zh-CN"/>
              </w:rPr>
              <w:t>环境影响报告书</w:t>
            </w:r>
            <w:r>
              <w:rPr>
                <w:rFonts w:hint="default" w:ascii="Times New Roman" w:hAnsi="Times New Roman" w:eastAsia="宋体" w:cs="Times New Roman"/>
                <w:color w:val="auto"/>
                <w:kern w:val="2"/>
                <w:sz w:val="24"/>
                <w:szCs w:val="24"/>
                <w:highlight w:val="none"/>
                <w:lang w:val="zh-CN" w:eastAsia="zh-CN"/>
              </w:rPr>
              <w:t>》</w:t>
            </w:r>
            <w:r>
              <w:rPr>
                <w:rFonts w:hint="default" w:ascii="Times New Roman" w:hAnsi="Times New Roman" w:eastAsia="宋体" w:cs="Times New Roman"/>
                <w:color w:val="auto"/>
                <w:kern w:val="2"/>
                <w:sz w:val="24"/>
                <w:szCs w:val="24"/>
                <w:highlight w:val="none"/>
                <w:lang w:val="en-US" w:eastAsia="zh-CN"/>
              </w:rPr>
              <w:t>的</w:t>
            </w:r>
            <w:r>
              <w:rPr>
                <w:rFonts w:hint="eastAsia" w:ascii="Times New Roman" w:hAnsi="Times New Roman" w:eastAsia="宋体" w:cs="Times New Roman"/>
                <w:color w:val="auto"/>
                <w:kern w:val="0"/>
                <w:sz w:val="24"/>
                <w:szCs w:val="24"/>
                <w:highlight w:val="none"/>
                <w:lang w:val="zh-CN" w:eastAsia="zh-CN"/>
              </w:rPr>
              <w:t>土壤</w:t>
            </w:r>
            <w:r>
              <w:rPr>
                <w:rFonts w:hint="default" w:ascii="Times New Roman" w:hAnsi="Times New Roman" w:eastAsia="宋体" w:cs="Times New Roman"/>
                <w:color w:val="auto"/>
                <w:kern w:val="0"/>
                <w:sz w:val="24"/>
                <w:szCs w:val="24"/>
                <w:highlight w:val="none"/>
                <w:lang w:val="zh-CN" w:eastAsia="zh-CN"/>
              </w:rPr>
              <w:t>质量现状监测数据</w:t>
            </w:r>
            <w:r>
              <w:rPr>
                <w:color w:val="auto"/>
                <w:sz w:val="24"/>
                <w:highlight w:val="none"/>
              </w:rPr>
              <w:t>（本次评价引用</w:t>
            </w:r>
            <w:r>
              <w:rPr>
                <w:rFonts w:hint="eastAsia"/>
                <w:color w:val="auto"/>
                <w:sz w:val="24"/>
                <w:highlight w:val="none"/>
                <w:lang w:eastAsia="zh-CN"/>
              </w:rPr>
              <w:t>柱状样</w:t>
            </w:r>
            <w:r>
              <w:rPr>
                <w:rFonts w:hint="eastAsia" w:ascii="Times New Roman" w:hAnsi="Times New Roman" w:eastAsia="宋体" w:cs="Times New Roman"/>
                <w:color w:val="auto"/>
                <w:sz w:val="24"/>
                <w:szCs w:val="24"/>
                <w:highlight w:val="none"/>
                <w:lang w:val="en-US" w:eastAsia="zh-CN"/>
              </w:rPr>
              <w:t>1#、2#、3#</w:t>
            </w:r>
            <w:r>
              <w:rPr>
                <w:color w:val="auto"/>
                <w:sz w:val="24"/>
                <w:highlight w:val="none"/>
              </w:rPr>
              <w:t>监测点及</w:t>
            </w:r>
            <w:r>
              <w:rPr>
                <w:rFonts w:hint="eastAsia"/>
                <w:color w:val="auto"/>
                <w:sz w:val="24"/>
                <w:highlight w:val="none"/>
                <w:lang w:eastAsia="zh-CN"/>
              </w:rPr>
              <w:t>表层样</w:t>
            </w:r>
            <w:r>
              <w:rPr>
                <w:rFonts w:hint="eastAsia"/>
                <w:color w:val="auto"/>
                <w:sz w:val="24"/>
                <w:highlight w:val="none"/>
                <w:lang w:val="en-US" w:eastAsia="zh-CN"/>
              </w:rPr>
              <w:t>1</w:t>
            </w:r>
            <w:r>
              <w:rPr>
                <w:color w:val="auto"/>
                <w:sz w:val="24"/>
                <w:highlight w:val="none"/>
              </w:rPr>
              <w:t>#监测点的监测结果）（</w:t>
            </w:r>
            <w:r>
              <w:rPr>
                <w:rFonts w:hint="eastAsia"/>
                <w:color w:val="auto"/>
                <w:sz w:val="24"/>
                <w:highlight w:val="none"/>
                <w:lang w:eastAsia="zh-CN"/>
              </w:rPr>
              <w:t>监测点位</w:t>
            </w:r>
            <w:r>
              <w:rPr>
                <w:color w:val="auto"/>
                <w:sz w:val="24"/>
                <w:highlight w:val="none"/>
              </w:rPr>
              <w:t>详见附图</w:t>
            </w:r>
            <w:r>
              <w:rPr>
                <w:rFonts w:hint="eastAsia"/>
                <w:color w:val="auto"/>
                <w:sz w:val="24"/>
                <w:highlight w:val="none"/>
                <w:lang w:val="en-US" w:eastAsia="zh-CN"/>
              </w:rPr>
              <w:t>11</w:t>
            </w:r>
            <w:r>
              <w:rPr>
                <w:color w:val="auto"/>
                <w:sz w:val="24"/>
                <w:highlight w:val="none"/>
              </w:rPr>
              <w:t>）</w:t>
            </w:r>
            <w:r>
              <w:rPr>
                <w:rFonts w:hint="eastAsia" w:ascii="Times New Roman" w:hAnsi="Times New Roman" w:eastAsia="宋体" w:cs="Times New Roman"/>
                <w:color w:val="auto"/>
                <w:kern w:val="0"/>
                <w:sz w:val="24"/>
                <w:szCs w:val="24"/>
                <w:highlight w:val="none"/>
                <w:lang w:val="zh-CN" w:eastAsia="zh-CN"/>
              </w:rPr>
              <w:t>。</w:t>
            </w:r>
            <w:r>
              <w:rPr>
                <w:rFonts w:hint="default" w:ascii="Times New Roman" w:hAnsi="Times New Roman" w:eastAsia="宋体" w:cs="Times New Roman"/>
                <w:color w:val="auto"/>
                <w:kern w:val="2"/>
                <w:sz w:val="24"/>
                <w:szCs w:val="24"/>
                <w:highlight w:val="none"/>
                <w:lang w:val="zh-CN"/>
              </w:rPr>
              <w:t>寻甸年加工喷涂铝板30万平方米项目</w:t>
            </w:r>
            <w:r>
              <w:rPr>
                <w:rFonts w:hint="default" w:ascii="Times New Roman" w:hAnsi="Times New Roman" w:eastAsia="宋体" w:cs="Times New Roman"/>
                <w:color w:val="auto"/>
                <w:sz w:val="24"/>
                <w:szCs w:val="24"/>
                <w:highlight w:val="none"/>
                <w:lang w:val="en-US" w:eastAsia="zh-CN"/>
              </w:rPr>
              <w:t>位于</w:t>
            </w: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项目区</w:t>
            </w:r>
            <w:r>
              <w:rPr>
                <w:rFonts w:hint="eastAsia" w:ascii="Times New Roman" w:hAnsi="Times New Roman" w:eastAsia="宋体" w:cs="Times New Roman"/>
                <w:color w:val="auto"/>
                <w:sz w:val="24"/>
                <w:szCs w:val="24"/>
                <w:highlight w:val="none"/>
                <w:lang w:val="en-US" w:eastAsia="zh-CN"/>
              </w:rPr>
              <w:t>东南</w:t>
            </w:r>
            <w:r>
              <w:rPr>
                <w:rFonts w:hint="default" w:ascii="Times New Roman" w:hAnsi="Times New Roman" w:eastAsia="宋体" w:cs="Times New Roman"/>
                <w:color w:val="auto"/>
                <w:sz w:val="24"/>
                <w:szCs w:val="24"/>
                <w:highlight w:val="none"/>
                <w:lang w:val="en-US" w:eastAsia="zh-CN"/>
              </w:rPr>
              <w:t>侧</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m，引用监测点</w:t>
            </w:r>
            <w:r>
              <w:rPr>
                <w:rFonts w:hint="eastAsia" w:ascii="Times New Roman" w:hAnsi="Times New Roman" w:eastAsia="宋体" w:cs="Times New Roman"/>
                <w:color w:val="auto"/>
                <w:sz w:val="24"/>
                <w:szCs w:val="24"/>
                <w:highlight w:val="none"/>
                <w:lang w:val="en-US" w:eastAsia="zh-CN"/>
              </w:rPr>
              <w:t>柱状样1#、2#、3#及表层样1#</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其</w:t>
            </w:r>
            <w:r>
              <w:rPr>
                <w:rFonts w:hint="default" w:ascii="Times New Roman" w:hAnsi="Times New Roman" w:eastAsia="宋体" w:cs="Times New Roman"/>
                <w:color w:val="auto"/>
                <w:sz w:val="24"/>
                <w:szCs w:val="24"/>
                <w:highlight w:val="none"/>
                <w:lang w:val="en-US" w:eastAsia="zh-CN"/>
              </w:rPr>
              <w:t>项目厂址内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rPr>
              <w:t>分别位于本项目</w:t>
            </w:r>
            <w:r>
              <w:rPr>
                <w:rFonts w:hint="eastAsia" w:cs="Times New Roman"/>
                <w:color w:val="auto"/>
                <w:sz w:val="24"/>
                <w:szCs w:val="24"/>
                <w:highlight w:val="none"/>
                <w:lang w:val="zh-CN"/>
              </w:rPr>
              <w:t>东南</w:t>
            </w:r>
            <w:r>
              <w:rPr>
                <w:rFonts w:hint="default" w:ascii="Times New Roman" w:hAnsi="Times New Roman" w:eastAsia="宋体" w:cs="Times New Roman"/>
                <w:color w:val="auto"/>
                <w:sz w:val="24"/>
                <w:szCs w:val="24"/>
                <w:highlight w:val="none"/>
                <w:lang w:val="zh-CN"/>
              </w:rPr>
              <w:t>侧约</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0m、</w:t>
            </w:r>
            <w:r>
              <w:rPr>
                <w:rFonts w:hint="eastAsia" w:cs="Times New Roman"/>
                <w:color w:val="auto"/>
                <w:sz w:val="24"/>
                <w:szCs w:val="24"/>
                <w:highlight w:val="none"/>
                <w:lang w:val="en-US" w:eastAsia="zh-CN"/>
              </w:rPr>
              <w:t>145</w:t>
            </w:r>
            <w:r>
              <w:rPr>
                <w:rFonts w:hint="eastAsia" w:ascii="Times New Roman" w:hAnsi="Times New Roman" w:eastAsia="宋体" w:cs="Times New Roman"/>
                <w:color w:val="auto"/>
                <w:sz w:val="24"/>
                <w:szCs w:val="24"/>
                <w:highlight w:val="none"/>
                <w:lang w:val="en-US" w:eastAsia="zh-CN"/>
              </w:rPr>
              <w:t>m、</w:t>
            </w:r>
            <w:r>
              <w:rPr>
                <w:rFonts w:hint="eastAsia"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140</w:t>
            </w:r>
            <w:r>
              <w:rPr>
                <w:rFonts w:hint="eastAsia" w:ascii="Times New Roman" w:hAnsi="Times New Roman" w:eastAsia="宋体" w:cs="Times New Roman"/>
                <w:color w:val="auto"/>
                <w:sz w:val="24"/>
                <w:szCs w:val="24"/>
                <w:highlight w:val="none"/>
                <w:lang w:val="en-US" w:eastAsia="zh-CN"/>
              </w:rPr>
              <w:t>m</w:t>
            </w:r>
            <w:r>
              <w:rPr>
                <w:rFonts w:hint="eastAsia" w:cs="Times New Roman"/>
                <w:color w:val="auto"/>
                <w:sz w:val="24"/>
                <w:szCs w:val="24"/>
                <w:highlight w:val="none"/>
                <w:lang w:val="en-US" w:eastAsia="zh-CN"/>
              </w:rPr>
              <w:t>。</w:t>
            </w:r>
          </w:p>
          <w:p w14:paraId="130AA378">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eastAsia" w:cs="Times New Roman"/>
                <w:b/>
                <w:bCs/>
                <w:color w:val="auto"/>
                <w:szCs w:val="21"/>
                <w:highlight w:val="none"/>
                <w:lang w:val="en-US" w:eastAsia="zh-CN"/>
              </w:rPr>
              <w:t>3-5</w:t>
            </w:r>
            <w:r>
              <w:rPr>
                <w:rFonts w:hint="default" w:ascii="Times New Roman" w:hAnsi="Times New Roman" w:cs="Times New Roman"/>
                <w:b/>
                <w:bCs/>
                <w:color w:val="auto"/>
                <w:szCs w:val="21"/>
                <w:highlight w:val="none"/>
                <w:lang w:val="en-US" w:eastAsia="zh-CN"/>
              </w:rPr>
              <w:t xml:space="preserve"> </w:t>
            </w:r>
            <w:r>
              <w:rPr>
                <w:rFonts w:hint="eastAsia" w:cs="Times New Roman"/>
                <w:b/>
                <w:bCs/>
                <w:color w:val="auto"/>
                <w:szCs w:val="21"/>
                <w:highlight w:val="none"/>
                <w:lang w:val="en-US" w:eastAsia="zh-CN"/>
              </w:rPr>
              <w:t xml:space="preserve"> </w:t>
            </w:r>
            <w:r>
              <w:rPr>
                <w:rFonts w:hint="default" w:ascii="Times New Roman" w:hAnsi="Times New Roman" w:cs="Times New Roman"/>
                <w:b/>
                <w:bCs/>
                <w:color w:val="auto"/>
                <w:szCs w:val="21"/>
                <w:highlight w:val="none"/>
              </w:rPr>
              <w:t>土壤环境现状监测因子</w:t>
            </w:r>
          </w:p>
          <w:tbl>
            <w:tblPr>
              <w:tblStyle w:val="26"/>
              <w:tblW w:w="8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149"/>
              <w:gridCol w:w="655"/>
              <w:gridCol w:w="975"/>
              <w:gridCol w:w="865"/>
              <w:gridCol w:w="983"/>
              <w:gridCol w:w="2650"/>
            </w:tblGrid>
            <w:tr w14:paraId="1278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center"/>
                </w:tcPr>
                <w:p w14:paraId="0069EE36">
                  <w:pPr>
                    <w:pStyle w:val="86"/>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1149" w:type="dxa"/>
                  <w:vAlign w:val="center"/>
                </w:tcPr>
                <w:p w14:paraId="0B321A10">
                  <w:pPr>
                    <w:pStyle w:val="86"/>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监测日期及单位</w:t>
                  </w:r>
                </w:p>
              </w:tc>
              <w:tc>
                <w:tcPr>
                  <w:tcW w:w="1630" w:type="dxa"/>
                  <w:gridSpan w:val="2"/>
                  <w:vAlign w:val="center"/>
                </w:tcPr>
                <w:p w14:paraId="1E904B84">
                  <w:pPr>
                    <w:pStyle w:val="86"/>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采样</w:t>
                  </w:r>
                </w:p>
              </w:tc>
              <w:tc>
                <w:tcPr>
                  <w:tcW w:w="865" w:type="dxa"/>
                  <w:vAlign w:val="center"/>
                </w:tcPr>
                <w:p w14:paraId="1CEB1F64">
                  <w:pPr>
                    <w:pStyle w:val="86"/>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样品数</w:t>
                  </w:r>
                </w:p>
              </w:tc>
              <w:tc>
                <w:tcPr>
                  <w:tcW w:w="983" w:type="dxa"/>
                  <w:vAlign w:val="center"/>
                </w:tcPr>
                <w:p w14:paraId="7C335232">
                  <w:pPr>
                    <w:pStyle w:val="86"/>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功能区</w:t>
                  </w:r>
                </w:p>
              </w:tc>
              <w:tc>
                <w:tcPr>
                  <w:tcW w:w="2650" w:type="dxa"/>
                  <w:vAlign w:val="center"/>
                </w:tcPr>
                <w:p w14:paraId="6BD4A74F">
                  <w:pPr>
                    <w:pStyle w:val="86"/>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监测因子</w:t>
                  </w:r>
                </w:p>
              </w:tc>
            </w:tr>
            <w:tr w14:paraId="2E0C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center"/>
                </w:tcPr>
                <w:p w14:paraId="359035C6">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表层样</w:t>
                  </w:r>
                  <w:r>
                    <w:rPr>
                      <w:rFonts w:hint="default" w:ascii="Times New Roman" w:hAnsi="Times New Roman" w:cs="Times New Roman"/>
                      <w:color w:val="auto"/>
                      <w:szCs w:val="21"/>
                      <w:highlight w:val="none"/>
                    </w:rPr>
                    <w:t>1#</w:t>
                  </w:r>
                </w:p>
              </w:tc>
              <w:tc>
                <w:tcPr>
                  <w:tcW w:w="1149" w:type="dxa"/>
                  <w:vMerge w:val="restart"/>
                  <w:vAlign w:val="center"/>
                </w:tcPr>
                <w:p w14:paraId="3243E4F1">
                  <w:pPr>
                    <w:pStyle w:val="86"/>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2021年6月25日，</w:t>
                  </w:r>
                  <w:r>
                    <w:rPr>
                      <w:rFonts w:hint="default" w:ascii="Times New Roman" w:hAnsi="Times New Roman" w:cs="Times New Roman"/>
                      <w:color w:val="auto"/>
                      <w:sz w:val="21"/>
                      <w:szCs w:val="21"/>
                      <w:highlight w:val="none"/>
                      <w:lang w:val="zh-CN"/>
                    </w:rPr>
                    <w:t>云南天博环境检测有限公司</w:t>
                  </w:r>
                </w:p>
                <w:p w14:paraId="4914777B">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1630" w:type="dxa"/>
                  <w:gridSpan w:val="2"/>
                  <w:vAlign w:val="center"/>
                </w:tcPr>
                <w:p w14:paraId="74643739">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表层样0-0.2m</w:t>
                  </w:r>
                </w:p>
              </w:tc>
              <w:tc>
                <w:tcPr>
                  <w:tcW w:w="865" w:type="dxa"/>
                  <w:vAlign w:val="center"/>
                </w:tcPr>
                <w:p w14:paraId="1AE46095">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Align w:val="center"/>
                </w:tcPr>
                <w:p w14:paraId="2E85A2B6">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工业用地</w:t>
                  </w:r>
                </w:p>
              </w:tc>
              <w:tc>
                <w:tcPr>
                  <w:tcW w:w="2650" w:type="dxa"/>
                  <w:vAlign w:val="center"/>
                </w:tcPr>
                <w:p w14:paraId="2BD487A1">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《土壤环境质量建设用地土壤污染风险管控标准（试行）》表1全因子（45项）</w:t>
                  </w:r>
                  <w:r>
                    <w:rPr>
                      <w:rFonts w:hint="default" w:ascii="Times New Roman" w:hAnsi="Times New Roman" w:cs="Times New Roman"/>
                      <w:color w:val="auto"/>
                      <w:sz w:val="21"/>
                      <w:szCs w:val="21"/>
                      <w:highlight w:val="none"/>
                    </w:rPr>
                    <w:t>及</w:t>
                  </w:r>
                  <w:r>
                    <w:rPr>
                      <w:rFonts w:hint="default" w:ascii="Times New Roman" w:hAnsi="Times New Roman" w:cs="Times New Roman"/>
                      <w:bCs/>
                      <w:color w:val="auto"/>
                      <w:sz w:val="21"/>
                      <w:szCs w:val="21"/>
                      <w:highlight w:val="none"/>
                    </w:rPr>
                    <w:t>石油总烃、氟化物</w:t>
                  </w:r>
                </w:p>
              </w:tc>
            </w:tr>
            <w:tr w14:paraId="5C87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050" w:type="dxa"/>
                  <w:vMerge w:val="restart"/>
                  <w:vAlign w:val="center"/>
                </w:tcPr>
                <w:p w14:paraId="219C10B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柱状样1#</w:t>
                  </w:r>
                </w:p>
              </w:tc>
              <w:tc>
                <w:tcPr>
                  <w:tcW w:w="1149" w:type="dxa"/>
                  <w:vMerge w:val="continue"/>
                  <w:vAlign w:val="center"/>
                </w:tcPr>
                <w:p w14:paraId="5C124B95">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restart"/>
                  <w:vAlign w:val="center"/>
                </w:tcPr>
                <w:p w14:paraId="1521D50C">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柱状样1</w:t>
                  </w:r>
                </w:p>
              </w:tc>
              <w:tc>
                <w:tcPr>
                  <w:tcW w:w="975" w:type="dxa"/>
                  <w:vAlign w:val="center"/>
                </w:tcPr>
                <w:p w14:paraId="12454A84">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0-0.5m</w:t>
                  </w:r>
                </w:p>
              </w:tc>
              <w:tc>
                <w:tcPr>
                  <w:tcW w:w="865" w:type="dxa"/>
                  <w:vAlign w:val="center"/>
                </w:tcPr>
                <w:p w14:paraId="413379C7">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restart"/>
                  <w:vAlign w:val="center"/>
                </w:tcPr>
                <w:p w14:paraId="2255D7D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工业用地</w:t>
                  </w:r>
                </w:p>
              </w:tc>
              <w:tc>
                <w:tcPr>
                  <w:tcW w:w="2650" w:type="dxa"/>
                  <w:vMerge w:val="restart"/>
                  <w:vAlign w:val="center"/>
                </w:tcPr>
                <w:p w14:paraId="3E85E218">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《土壤环境质量建设用地土壤污染风险管控标准（试行）》表1全因子（45项）</w:t>
                  </w:r>
                  <w:r>
                    <w:rPr>
                      <w:rFonts w:hint="default" w:ascii="Times New Roman" w:hAnsi="Times New Roman" w:cs="Times New Roman"/>
                      <w:color w:val="auto"/>
                      <w:sz w:val="21"/>
                      <w:szCs w:val="21"/>
                      <w:highlight w:val="none"/>
                    </w:rPr>
                    <w:t>及</w:t>
                  </w:r>
                  <w:r>
                    <w:rPr>
                      <w:rFonts w:hint="default" w:ascii="Times New Roman" w:hAnsi="Times New Roman" w:cs="Times New Roman"/>
                      <w:bCs/>
                      <w:color w:val="auto"/>
                      <w:sz w:val="21"/>
                      <w:szCs w:val="21"/>
                      <w:highlight w:val="none"/>
                    </w:rPr>
                    <w:t>石油总烃、氟化物、理化指标（pH、阳离子交换量、氧化还原电位、饱和导水率、土壤容重、孔隙度）</w:t>
                  </w:r>
                </w:p>
              </w:tc>
            </w:tr>
            <w:tr w14:paraId="60FD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050" w:type="dxa"/>
                  <w:vMerge w:val="continue"/>
                  <w:vAlign w:val="center"/>
                </w:tcPr>
                <w:p w14:paraId="573A1B22">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1149" w:type="dxa"/>
                  <w:vMerge w:val="continue"/>
                  <w:vAlign w:val="center"/>
                </w:tcPr>
                <w:p w14:paraId="0C236393">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continue"/>
                  <w:vAlign w:val="center"/>
                </w:tcPr>
                <w:p w14:paraId="2AED4214">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975" w:type="dxa"/>
                  <w:vAlign w:val="center"/>
                </w:tcPr>
                <w:p w14:paraId="4D35B143">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0.5-1.5m</w:t>
                  </w:r>
                </w:p>
              </w:tc>
              <w:tc>
                <w:tcPr>
                  <w:tcW w:w="865" w:type="dxa"/>
                  <w:vAlign w:val="center"/>
                </w:tcPr>
                <w:p w14:paraId="50013E0B">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continue"/>
                  <w:vAlign w:val="center"/>
                </w:tcPr>
                <w:p w14:paraId="410DAF3D">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2650" w:type="dxa"/>
                  <w:vMerge w:val="continue"/>
                  <w:vAlign w:val="center"/>
                </w:tcPr>
                <w:p w14:paraId="14E37268">
                  <w:pPr>
                    <w:pStyle w:val="86"/>
                    <w:spacing w:line="240" w:lineRule="auto"/>
                    <w:ind w:firstLine="0" w:firstLineChars="0"/>
                    <w:jc w:val="center"/>
                    <w:rPr>
                      <w:rFonts w:hint="default" w:ascii="Times New Roman" w:hAnsi="Times New Roman" w:cs="Times New Roman"/>
                      <w:color w:val="auto"/>
                      <w:sz w:val="21"/>
                      <w:szCs w:val="21"/>
                      <w:highlight w:val="none"/>
                    </w:rPr>
                  </w:pPr>
                </w:p>
              </w:tc>
            </w:tr>
            <w:tr w14:paraId="557D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jc w:val="center"/>
              </w:trPr>
              <w:tc>
                <w:tcPr>
                  <w:tcW w:w="1050" w:type="dxa"/>
                  <w:vMerge w:val="continue"/>
                  <w:vAlign w:val="center"/>
                </w:tcPr>
                <w:p w14:paraId="78634387">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1149" w:type="dxa"/>
                  <w:vMerge w:val="continue"/>
                  <w:vAlign w:val="center"/>
                </w:tcPr>
                <w:p w14:paraId="30596516">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continue"/>
                  <w:vAlign w:val="center"/>
                </w:tcPr>
                <w:p w14:paraId="63B44581">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975" w:type="dxa"/>
                  <w:vAlign w:val="center"/>
                </w:tcPr>
                <w:p w14:paraId="6BAFF922">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1.5-3m</w:t>
                  </w:r>
                </w:p>
              </w:tc>
              <w:tc>
                <w:tcPr>
                  <w:tcW w:w="865" w:type="dxa"/>
                  <w:vAlign w:val="center"/>
                </w:tcPr>
                <w:p w14:paraId="7A59EACA">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continue"/>
                  <w:vAlign w:val="center"/>
                </w:tcPr>
                <w:p w14:paraId="40580DE1">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2650" w:type="dxa"/>
                  <w:vMerge w:val="continue"/>
                  <w:vAlign w:val="center"/>
                </w:tcPr>
                <w:p w14:paraId="50A3A0CA">
                  <w:pPr>
                    <w:pStyle w:val="86"/>
                    <w:spacing w:line="240" w:lineRule="auto"/>
                    <w:ind w:firstLine="0" w:firstLineChars="0"/>
                    <w:jc w:val="center"/>
                    <w:rPr>
                      <w:rFonts w:hint="default" w:ascii="Times New Roman" w:hAnsi="Times New Roman" w:cs="Times New Roman"/>
                      <w:color w:val="auto"/>
                      <w:sz w:val="21"/>
                      <w:szCs w:val="21"/>
                      <w:highlight w:val="none"/>
                    </w:rPr>
                  </w:pPr>
                </w:p>
              </w:tc>
            </w:tr>
            <w:tr w14:paraId="652E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jc w:val="center"/>
              </w:trPr>
              <w:tc>
                <w:tcPr>
                  <w:tcW w:w="1050" w:type="dxa"/>
                  <w:vMerge w:val="restart"/>
                  <w:vAlign w:val="center"/>
                </w:tcPr>
                <w:p w14:paraId="7EDEE12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柱状样2#</w:t>
                  </w:r>
                </w:p>
              </w:tc>
              <w:tc>
                <w:tcPr>
                  <w:tcW w:w="1149" w:type="dxa"/>
                  <w:vMerge w:val="continue"/>
                  <w:vAlign w:val="center"/>
                </w:tcPr>
                <w:p w14:paraId="67143C98">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restart"/>
                  <w:vAlign w:val="center"/>
                </w:tcPr>
                <w:p w14:paraId="178BDB31">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柱状样2</w:t>
                  </w:r>
                </w:p>
              </w:tc>
              <w:tc>
                <w:tcPr>
                  <w:tcW w:w="975" w:type="dxa"/>
                  <w:vAlign w:val="center"/>
                </w:tcPr>
                <w:p w14:paraId="0F6D54E7">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0-0.5m</w:t>
                  </w:r>
                </w:p>
              </w:tc>
              <w:tc>
                <w:tcPr>
                  <w:tcW w:w="865" w:type="dxa"/>
                  <w:vAlign w:val="center"/>
                </w:tcPr>
                <w:p w14:paraId="5B5F8289">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restart"/>
                  <w:vAlign w:val="center"/>
                </w:tcPr>
                <w:p w14:paraId="3860A15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工业用地</w:t>
                  </w:r>
                </w:p>
              </w:tc>
              <w:tc>
                <w:tcPr>
                  <w:tcW w:w="2650" w:type="dxa"/>
                  <w:vMerge w:val="continue"/>
                  <w:vAlign w:val="center"/>
                </w:tcPr>
                <w:p w14:paraId="313AE116">
                  <w:pPr>
                    <w:pStyle w:val="86"/>
                    <w:spacing w:line="240" w:lineRule="auto"/>
                    <w:ind w:firstLine="0" w:firstLineChars="0"/>
                    <w:jc w:val="center"/>
                    <w:rPr>
                      <w:rFonts w:hint="default" w:ascii="Times New Roman" w:hAnsi="Times New Roman" w:cs="Times New Roman"/>
                      <w:color w:val="auto"/>
                      <w:sz w:val="21"/>
                      <w:szCs w:val="21"/>
                      <w:highlight w:val="none"/>
                    </w:rPr>
                  </w:pPr>
                </w:p>
              </w:tc>
            </w:tr>
            <w:tr w14:paraId="0881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jc w:val="center"/>
              </w:trPr>
              <w:tc>
                <w:tcPr>
                  <w:tcW w:w="1050" w:type="dxa"/>
                  <w:vMerge w:val="continue"/>
                  <w:vAlign w:val="center"/>
                </w:tcPr>
                <w:p w14:paraId="5D0D1EF4">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1149" w:type="dxa"/>
                  <w:vMerge w:val="continue"/>
                  <w:vAlign w:val="center"/>
                </w:tcPr>
                <w:p w14:paraId="22B64C7D">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continue"/>
                  <w:vAlign w:val="center"/>
                </w:tcPr>
                <w:p w14:paraId="6ABE5C67">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975" w:type="dxa"/>
                  <w:vAlign w:val="center"/>
                </w:tcPr>
                <w:p w14:paraId="6C5CF07F">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0.5-1.5m</w:t>
                  </w:r>
                </w:p>
              </w:tc>
              <w:tc>
                <w:tcPr>
                  <w:tcW w:w="865" w:type="dxa"/>
                  <w:vAlign w:val="center"/>
                </w:tcPr>
                <w:p w14:paraId="220BE40A">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continue"/>
                  <w:vAlign w:val="center"/>
                </w:tcPr>
                <w:p w14:paraId="743429F2">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2650" w:type="dxa"/>
                  <w:vMerge w:val="continue"/>
                  <w:vAlign w:val="center"/>
                </w:tcPr>
                <w:p w14:paraId="3A7E7884">
                  <w:pPr>
                    <w:pStyle w:val="86"/>
                    <w:spacing w:line="240" w:lineRule="auto"/>
                    <w:ind w:firstLine="0" w:firstLineChars="0"/>
                    <w:jc w:val="center"/>
                    <w:rPr>
                      <w:rFonts w:hint="default" w:ascii="Times New Roman" w:hAnsi="Times New Roman" w:cs="Times New Roman"/>
                      <w:color w:val="auto"/>
                      <w:sz w:val="21"/>
                      <w:szCs w:val="21"/>
                      <w:highlight w:val="none"/>
                    </w:rPr>
                  </w:pPr>
                </w:p>
              </w:tc>
            </w:tr>
            <w:tr w14:paraId="2BD0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jc w:val="center"/>
              </w:trPr>
              <w:tc>
                <w:tcPr>
                  <w:tcW w:w="1050" w:type="dxa"/>
                  <w:vMerge w:val="continue"/>
                  <w:vAlign w:val="center"/>
                </w:tcPr>
                <w:p w14:paraId="6DE3150C">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1149" w:type="dxa"/>
                  <w:vMerge w:val="continue"/>
                  <w:vAlign w:val="center"/>
                </w:tcPr>
                <w:p w14:paraId="592B7B16">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continue"/>
                  <w:vAlign w:val="center"/>
                </w:tcPr>
                <w:p w14:paraId="393CF9DC">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975" w:type="dxa"/>
                  <w:vAlign w:val="center"/>
                </w:tcPr>
                <w:p w14:paraId="447C19F6">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1.5-3m</w:t>
                  </w:r>
                </w:p>
              </w:tc>
              <w:tc>
                <w:tcPr>
                  <w:tcW w:w="865" w:type="dxa"/>
                  <w:vAlign w:val="center"/>
                </w:tcPr>
                <w:p w14:paraId="35441616">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continue"/>
                  <w:vAlign w:val="center"/>
                </w:tcPr>
                <w:p w14:paraId="4549947D">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2650" w:type="dxa"/>
                  <w:vMerge w:val="continue"/>
                  <w:vAlign w:val="center"/>
                </w:tcPr>
                <w:p w14:paraId="19AD4CB9">
                  <w:pPr>
                    <w:pStyle w:val="86"/>
                    <w:spacing w:line="240" w:lineRule="auto"/>
                    <w:ind w:firstLine="0" w:firstLineChars="0"/>
                    <w:jc w:val="center"/>
                    <w:rPr>
                      <w:rFonts w:hint="default" w:ascii="Times New Roman" w:hAnsi="Times New Roman" w:cs="Times New Roman"/>
                      <w:color w:val="auto"/>
                      <w:sz w:val="21"/>
                      <w:szCs w:val="21"/>
                      <w:highlight w:val="none"/>
                    </w:rPr>
                  </w:pPr>
                </w:p>
              </w:tc>
            </w:tr>
            <w:tr w14:paraId="018D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jc w:val="center"/>
              </w:trPr>
              <w:tc>
                <w:tcPr>
                  <w:tcW w:w="1050" w:type="dxa"/>
                  <w:vMerge w:val="restart"/>
                  <w:vAlign w:val="center"/>
                </w:tcPr>
                <w:p w14:paraId="343F32D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w:t>
                  </w:r>
                </w:p>
              </w:tc>
              <w:tc>
                <w:tcPr>
                  <w:tcW w:w="1149" w:type="dxa"/>
                  <w:vMerge w:val="continue"/>
                  <w:vAlign w:val="center"/>
                </w:tcPr>
                <w:p w14:paraId="3EB88E66">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restart"/>
                  <w:vAlign w:val="center"/>
                </w:tcPr>
                <w:p w14:paraId="20B1FA1F">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柱状样3</w:t>
                  </w:r>
                </w:p>
              </w:tc>
              <w:tc>
                <w:tcPr>
                  <w:tcW w:w="975" w:type="dxa"/>
                  <w:vAlign w:val="center"/>
                </w:tcPr>
                <w:p w14:paraId="5751BB5F">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0-0.5m</w:t>
                  </w:r>
                </w:p>
              </w:tc>
              <w:tc>
                <w:tcPr>
                  <w:tcW w:w="865" w:type="dxa"/>
                  <w:vAlign w:val="center"/>
                </w:tcPr>
                <w:p w14:paraId="72D79392">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restart"/>
                  <w:vAlign w:val="center"/>
                </w:tcPr>
                <w:p w14:paraId="3A68C47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工业用地</w:t>
                  </w:r>
                </w:p>
              </w:tc>
              <w:tc>
                <w:tcPr>
                  <w:tcW w:w="2650" w:type="dxa"/>
                  <w:vMerge w:val="continue"/>
                  <w:vAlign w:val="center"/>
                </w:tcPr>
                <w:p w14:paraId="59078C6A">
                  <w:pPr>
                    <w:pStyle w:val="86"/>
                    <w:spacing w:line="240" w:lineRule="auto"/>
                    <w:ind w:firstLine="0" w:firstLineChars="0"/>
                    <w:jc w:val="center"/>
                    <w:rPr>
                      <w:rFonts w:hint="default" w:ascii="Times New Roman" w:hAnsi="Times New Roman" w:cs="Times New Roman"/>
                      <w:color w:val="auto"/>
                      <w:sz w:val="21"/>
                      <w:szCs w:val="21"/>
                      <w:highlight w:val="none"/>
                    </w:rPr>
                  </w:pPr>
                </w:p>
              </w:tc>
            </w:tr>
            <w:tr w14:paraId="337D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jc w:val="center"/>
              </w:trPr>
              <w:tc>
                <w:tcPr>
                  <w:tcW w:w="1050" w:type="dxa"/>
                  <w:vMerge w:val="continue"/>
                  <w:vAlign w:val="center"/>
                </w:tcPr>
                <w:p w14:paraId="6A2139AA">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1149" w:type="dxa"/>
                  <w:vMerge w:val="continue"/>
                  <w:vAlign w:val="center"/>
                </w:tcPr>
                <w:p w14:paraId="6B9429D1">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continue"/>
                  <w:vAlign w:val="center"/>
                </w:tcPr>
                <w:p w14:paraId="4C2181C5">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975" w:type="dxa"/>
                  <w:vAlign w:val="center"/>
                </w:tcPr>
                <w:p w14:paraId="17A5E1B3">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0.5-1.5m</w:t>
                  </w:r>
                </w:p>
              </w:tc>
              <w:tc>
                <w:tcPr>
                  <w:tcW w:w="865" w:type="dxa"/>
                  <w:vAlign w:val="center"/>
                </w:tcPr>
                <w:p w14:paraId="0C59579B">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continue"/>
                  <w:vAlign w:val="center"/>
                </w:tcPr>
                <w:p w14:paraId="2C3355F9">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2650" w:type="dxa"/>
                  <w:vMerge w:val="continue"/>
                  <w:vAlign w:val="center"/>
                </w:tcPr>
                <w:p w14:paraId="2E123DA1">
                  <w:pPr>
                    <w:pStyle w:val="86"/>
                    <w:spacing w:line="240" w:lineRule="auto"/>
                    <w:ind w:firstLine="0" w:firstLineChars="0"/>
                    <w:jc w:val="center"/>
                    <w:rPr>
                      <w:rFonts w:hint="default" w:ascii="Times New Roman" w:hAnsi="Times New Roman" w:cs="Times New Roman"/>
                      <w:color w:val="auto"/>
                      <w:sz w:val="21"/>
                      <w:szCs w:val="21"/>
                      <w:highlight w:val="none"/>
                    </w:rPr>
                  </w:pPr>
                </w:p>
              </w:tc>
            </w:tr>
            <w:tr w14:paraId="03AE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jc w:val="center"/>
              </w:trPr>
              <w:tc>
                <w:tcPr>
                  <w:tcW w:w="1050" w:type="dxa"/>
                  <w:vMerge w:val="continue"/>
                  <w:vAlign w:val="center"/>
                </w:tcPr>
                <w:p w14:paraId="605DFFE3">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1149" w:type="dxa"/>
                  <w:vMerge w:val="continue"/>
                  <w:vAlign w:val="center"/>
                </w:tcPr>
                <w:p w14:paraId="5EC547B7">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continue"/>
                  <w:vAlign w:val="center"/>
                </w:tcPr>
                <w:p w14:paraId="503412A5">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975" w:type="dxa"/>
                  <w:vAlign w:val="center"/>
                </w:tcPr>
                <w:p w14:paraId="113BA0EF">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1.5-3m</w:t>
                  </w:r>
                </w:p>
              </w:tc>
              <w:tc>
                <w:tcPr>
                  <w:tcW w:w="865" w:type="dxa"/>
                  <w:vAlign w:val="center"/>
                </w:tcPr>
                <w:p w14:paraId="33CDA3B9">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continue"/>
                  <w:vAlign w:val="center"/>
                </w:tcPr>
                <w:p w14:paraId="26660479">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2650" w:type="dxa"/>
                  <w:vMerge w:val="continue"/>
                  <w:vAlign w:val="center"/>
                </w:tcPr>
                <w:p w14:paraId="3D516F74">
                  <w:pPr>
                    <w:pStyle w:val="86"/>
                    <w:spacing w:line="240" w:lineRule="auto"/>
                    <w:ind w:firstLine="0" w:firstLineChars="0"/>
                    <w:jc w:val="center"/>
                    <w:rPr>
                      <w:rFonts w:hint="default" w:ascii="Times New Roman" w:hAnsi="Times New Roman" w:cs="Times New Roman"/>
                      <w:color w:val="auto"/>
                      <w:sz w:val="21"/>
                      <w:szCs w:val="21"/>
                      <w:highlight w:val="none"/>
                    </w:rPr>
                  </w:pPr>
                </w:p>
              </w:tc>
            </w:tr>
            <w:tr w14:paraId="1D3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jc w:val="center"/>
              </w:trPr>
              <w:tc>
                <w:tcPr>
                  <w:tcW w:w="1050" w:type="dxa"/>
                  <w:vMerge w:val="continue"/>
                  <w:vAlign w:val="center"/>
                </w:tcPr>
                <w:p w14:paraId="76277F54">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1149" w:type="dxa"/>
                  <w:vMerge w:val="continue"/>
                  <w:vAlign w:val="center"/>
                </w:tcPr>
                <w:p w14:paraId="03C9DDA5">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continue"/>
                  <w:vAlign w:val="center"/>
                </w:tcPr>
                <w:p w14:paraId="662DABCE">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975" w:type="dxa"/>
                  <w:vAlign w:val="center"/>
                </w:tcPr>
                <w:p w14:paraId="434AA90B">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0.5-1.5m</w:t>
                  </w:r>
                </w:p>
              </w:tc>
              <w:tc>
                <w:tcPr>
                  <w:tcW w:w="865" w:type="dxa"/>
                  <w:vAlign w:val="center"/>
                </w:tcPr>
                <w:p w14:paraId="52695D02">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continue"/>
                  <w:vAlign w:val="center"/>
                </w:tcPr>
                <w:p w14:paraId="58AED4A0">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2650" w:type="dxa"/>
                  <w:vMerge w:val="continue"/>
                  <w:vAlign w:val="center"/>
                </w:tcPr>
                <w:p w14:paraId="6DC813AE">
                  <w:pPr>
                    <w:pStyle w:val="86"/>
                    <w:spacing w:line="240" w:lineRule="auto"/>
                    <w:ind w:firstLine="0" w:firstLineChars="0"/>
                    <w:jc w:val="center"/>
                    <w:rPr>
                      <w:rFonts w:hint="default" w:ascii="Times New Roman" w:hAnsi="Times New Roman" w:cs="Times New Roman"/>
                      <w:color w:val="auto"/>
                      <w:sz w:val="21"/>
                      <w:szCs w:val="21"/>
                      <w:highlight w:val="none"/>
                    </w:rPr>
                  </w:pPr>
                </w:p>
              </w:tc>
            </w:tr>
            <w:tr w14:paraId="045A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050" w:type="dxa"/>
                  <w:vMerge w:val="continue"/>
                  <w:vAlign w:val="center"/>
                </w:tcPr>
                <w:p w14:paraId="6AAA3296">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1149" w:type="dxa"/>
                  <w:vMerge w:val="continue"/>
                  <w:vAlign w:val="center"/>
                </w:tcPr>
                <w:p w14:paraId="2DD76620">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655" w:type="dxa"/>
                  <w:vMerge w:val="continue"/>
                  <w:vAlign w:val="center"/>
                </w:tcPr>
                <w:p w14:paraId="386EE9AC">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975" w:type="dxa"/>
                  <w:vAlign w:val="center"/>
                </w:tcPr>
                <w:p w14:paraId="71C85EDB">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1.5-3m</w:t>
                  </w:r>
                </w:p>
              </w:tc>
              <w:tc>
                <w:tcPr>
                  <w:tcW w:w="865" w:type="dxa"/>
                  <w:vAlign w:val="center"/>
                </w:tcPr>
                <w:p w14:paraId="634EEB48">
                  <w:pPr>
                    <w:pStyle w:val="86"/>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83" w:type="dxa"/>
                  <w:vMerge w:val="continue"/>
                  <w:vAlign w:val="center"/>
                </w:tcPr>
                <w:p w14:paraId="6CE6EC7B">
                  <w:pPr>
                    <w:pStyle w:val="86"/>
                    <w:spacing w:line="240" w:lineRule="auto"/>
                    <w:ind w:firstLine="0" w:firstLineChars="0"/>
                    <w:jc w:val="center"/>
                    <w:rPr>
                      <w:rFonts w:hint="default" w:ascii="Times New Roman" w:hAnsi="Times New Roman" w:cs="Times New Roman"/>
                      <w:color w:val="auto"/>
                      <w:sz w:val="21"/>
                      <w:szCs w:val="21"/>
                      <w:highlight w:val="none"/>
                    </w:rPr>
                  </w:pPr>
                </w:p>
              </w:tc>
              <w:tc>
                <w:tcPr>
                  <w:tcW w:w="2650" w:type="dxa"/>
                  <w:vMerge w:val="continue"/>
                  <w:vAlign w:val="center"/>
                </w:tcPr>
                <w:p w14:paraId="08DD1280">
                  <w:pPr>
                    <w:pStyle w:val="86"/>
                    <w:spacing w:line="240" w:lineRule="auto"/>
                    <w:ind w:firstLine="0" w:firstLineChars="0"/>
                    <w:jc w:val="center"/>
                    <w:rPr>
                      <w:rFonts w:hint="default" w:ascii="Times New Roman" w:hAnsi="Times New Roman" w:cs="Times New Roman"/>
                      <w:color w:val="auto"/>
                      <w:sz w:val="21"/>
                      <w:szCs w:val="21"/>
                      <w:highlight w:val="none"/>
                    </w:rPr>
                  </w:pPr>
                </w:p>
              </w:tc>
            </w:tr>
          </w:tbl>
          <w:p w14:paraId="29147A8B">
            <w:pPr>
              <w:spacing w:line="360" w:lineRule="auto"/>
              <w:ind w:firstLine="480" w:firstLineChars="200"/>
              <w:rPr>
                <w:rFonts w:hint="eastAsia"/>
                <w:b/>
                <w:bCs/>
                <w:color w:val="auto"/>
                <w:kern w:val="0"/>
                <w:sz w:val="24"/>
                <w:szCs w:val="24"/>
                <w:highlight w:val="none"/>
              </w:rPr>
            </w:pPr>
            <w:r>
              <w:rPr>
                <w:rFonts w:hint="eastAsia" w:ascii="宋体" w:hAnsi="宋体" w:eastAsia="宋体" w:cs="宋体"/>
                <w:color w:val="auto"/>
                <w:sz w:val="24"/>
                <w:szCs w:val="24"/>
                <w:highlight w:val="none"/>
              </w:rPr>
              <w:t>项目所在地土壤理化特性</w:t>
            </w:r>
            <w:r>
              <w:rPr>
                <w:rFonts w:hint="eastAsia" w:ascii="宋体" w:hAnsi="宋体" w:eastAsia="宋体" w:cs="宋体"/>
                <w:color w:val="auto"/>
                <w:sz w:val="24"/>
                <w:szCs w:val="24"/>
                <w:highlight w:val="none"/>
                <w:lang w:eastAsia="zh-CN"/>
              </w:rPr>
              <w:t>及监测结果如下</w:t>
            </w:r>
            <w:r>
              <w:rPr>
                <w:rFonts w:hint="eastAsia" w:ascii="宋体" w:hAnsi="宋体" w:eastAsia="宋体" w:cs="宋体"/>
                <w:color w:val="auto"/>
                <w:sz w:val="24"/>
                <w:szCs w:val="24"/>
                <w:highlight w:val="none"/>
              </w:rPr>
              <w:t>。</w:t>
            </w:r>
          </w:p>
          <w:p w14:paraId="63EF3FF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eastAsia" w:cs="Times New Roman"/>
                <w:b/>
                <w:bCs/>
                <w:color w:val="auto"/>
                <w:szCs w:val="21"/>
                <w:highlight w:val="none"/>
                <w:lang w:val="en-US" w:eastAsia="zh-CN"/>
              </w:rPr>
              <w:t>3-6</w:t>
            </w:r>
            <w:r>
              <w:rPr>
                <w:rFonts w:hint="default" w:ascii="Times New Roman" w:hAnsi="Times New Roman" w:cs="Times New Roman"/>
                <w:b/>
                <w:bCs/>
                <w:color w:val="auto"/>
                <w:szCs w:val="21"/>
                <w:highlight w:val="none"/>
                <w:lang w:val="en-US" w:eastAsia="zh-CN"/>
              </w:rPr>
              <w:t xml:space="preserve">  </w:t>
            </w:r>
            <w:r>
              <w:rPr>
                <w:rFonts w:hint="default" w:ascii="Times New Roman" w:hAnsi="Times New Roman" w:cs="Times New Roman"/>
                <w:b/>
                <w:bCs/>
                <w:color w:val="auto"/>
                <w:szCs w:val="21"/>
                <w:highlight w:val="none"/>
              </w:rPr>
              <w:t>土壤理化特性调查表</w:t>
            </w:r>
          </w:p>
          <w:tbl>
            <w:tblPr>
              <w:tblStyle w:val="26"/>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517"/>
              <w:gridCol w:w="683"/>
              <w:gridCol w:w="583"/>
              <w:gridCol w:w="434"/>
              <w:gridCol w:w="433"/>
              <w:gridCol w:w="633"/>
              <w:gridCol w:w="417"/>
              <w:gridCol w:w="600"/>
              <w:gridCol w:w="667"/>
              <w:gridCol w:w="679"/>
              <w:gridCol w:w="700"/>
              <w:gridCol w:w="683"/>
              <w:gridCol w:w="616"/>
            </w:tblGrid>
            <w:tr w14:paraId="2369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85" w:type="dxa"/>
                  <w:gridSpan w:val="2"/>
                  <w:vMerge w:val="restart"/>
                  <w:vAlign w:val="center"/>
                </w:tcPr>
                <w:p w14:paraId="765ED1A4">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检测位置及频次</w:t>
                  </w:r>
                </w:p>
              </w:tc>
              <w:tc>
                <w:tcPr>
                  <w:tcW w:w="683" w:type="dxa"/>
                  <w:vMerge w:val="restart"/>
                  <w:vAlign w:val="center"/>
                </w:tcPr>
                <w:p w14:paraId="56C90F4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采样深度m</w:t>
                  </w:r>
                </w:p>
              </w:tc>
              <w:tc>
                <w:tcPr>
                  <w:tcW w:w="2500" w:type="dxa"/>
                  <w:gridSpan w:val="5"/>
                  <w:vAlign w:val="center"/>
                </w:tcPr>
                <w:p w14:paraId="1B05167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现场记录</w:t>
                  </w:r>
                </w:p>
              </w:tc>
              <w:tc>
                <w:tcPr>
                  <w:tcW w:w="3945" w:type="dxa"/>
                  <w:gridSpan w:val="6"/>
                  <w:vAlign w:val="center"/>
                </w:tcPr>
                <w:p w14:paraId="70D9C81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实验室检测结果</w:t>
                  </w:r>
                </w:p>
              </w:tc>
            </w:tr>
            <w:tr w14:paraId="3533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385" w:type="dxa"/>
                  <w:gridSpan w:val="2"/>
                  <w:vMerge w:val="continue"/>
                  <w:vAlign w:val="center"/>
                </w:tcPr>
                <w:p w14:paraId="30E01E7A">
                  <w:pPr>
                    <w:jc w:val="center"/>
                    <w:rPr>
                      <w:rFonts w:hint="default" w:ascii="Times New Roman" w:hAnsi="Times New Roman" w:cs="Times New Roman"/>
                      <w:b/>
                      <w:bCs/>
                      <w:color w:val="auto"/>
                      <w:szCs w:val="21"/>
                      <w:highlight w:val="none"/>
                    </w:rPr>
                  </w:pPr>
                </w:p>
              </w:tc>
              <w:tc>
                <w:tcPr>
                  <w:tcW w:w="683" w:type="dxa"/>
                  <w:vMerge w:val="continue"/>
                  <w:vAlign w:val="center"/>
                </w:tcPr>
                <w:p w14:paraId="52B99076">
                  <w:pPr>
                    <w:jc w:val="center"/>
                    <w:rPr>
                      <w:rFonts w:hint="default" w:ascii="Times New Roman" w:hAnsi="Times New Roman" w:cs="Times New Roman"/>
                      <w:b/>
                      <w:bCs/>
                      <w:color w:val="auto"/>
                      <w:szCs w:val="21"/>
                      <w:highlight w:val="none"/>
                    </w:rPr>
                  </w:pPr>
                </w:p>
              </w:tc>
              <w:tc>
                <w:tcPr>
                  <w:tcW w:w="583" w:type="dxa"/>
                  <w:vMerge w:val="restart"/>
                  <w:vAlign w:val="center"/>
                </w:tcPr>
                <w:p w14:paraId="01473F44">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颜色</w:t>
                  </w:r>
                </w:p>
              </w:tc>
              <w:tc>
                <w:tcPr>
                  <w:tcW w:w="434" w:type="dxa"/>
                  <w:vMerge w:val="restart"/>
                  <w:vAlign w:val="center"/>
                </w:tcPr>
                <w:p w14:paraId="703A682F">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结构</w:t>
                  </w:r>
                </w:p>
              </w:tc>
              <w:tc>
                <w:tcPr>
                  <w:tcW w:w="433" w:type="dxa"/>
                  <w:vMerge w:val="restart"/>
                  <w:vAlign w:val="center"/>
                </w:tcPr>
                <w:p w14:paraId="384DF94A">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质地</w:t>
                  </w:r>
                </w:p>
              </w:tc>
              <w:tc>
                <w:tcPr>
                  <w:tcW w:w="633" w:type="dxa"/>
                  <w:vMerge w:val="restart"/>
                  <w:vAlign w:val="center"/>
                </w:tcPr>
                <w:p w14:paraId="47467B01">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砂砾含量%</w:t>
                  </w:r>
                </w:p>
              </w:tc>
              <w:tc>
                <w:tcPr>
                  <w:tcW w:w="417" w:type="dxa"/>
                  <w:vMerge w:val="restart"/>
                  <w:vAlign w:val="center"/>
                </w:tcPr>
                <w:p w14:paraId="7654C73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其他杂物</w:t>
                  </w:r>
                </w:p>
              </w:tc>
              <w:tc>
                <w:tcPr>
                  <w:tcW w:w="600" w:type="dxa"/>
                  <w:vAlign w:val="center"/>
                </w:tcPr>
                <w:p w14:paraId="4A104B01">
                  <w:pPr>
                    <w:jc w:val="center"/>
                    <w:rPr>
                      <w:rFonts w:hint="default" w:ascii="Times New Roman" w:hAnsi="Times New Roman" w:cs="Times New Roman"/>
                      <w:b/>
                      <w:bCs/>
                      <w:color w:val="auto"/>
                      <w:szCs w:val="21"/>
                      <w:highlight w:val="none"/>
                      <w:lang w:val="zh-CN"/>
                    </w:rPr>
                  </w:pPr>
                  <w:r>
                    <w:rPr>
                      <w:rFonts w:hint="default" w:ascii="Times New Roman" w:hAnsi="Times New Roman" w:cs="Times New Roman"/>
                      <w:b/>
                      <w:bCs/>
                      <w:color w:val="auto"/>
                      <w:szCs w:val="21"/>
                      <w:highlight w:val="none"/>
                    </w:rPr>
                    <w:t>pH值</w:t>
                  </w:r>
                </w:p>
              </w:tc>
              <w:tc>
                <w:tcPr>
                  <w:tcW w:w="667" w:type="dxa"/>
                  <w:vAlign w:val="center"/>
                </w:tcPr>
                <w:p w14:paraId="18D47586">
                  <w:pPr>
                    <w:jc w:val="center"/>
                    <w:rPr>
                      <w:rFonts w:hint="default" w:ascii="Times New Roman" w:hAnsi="Times New Roman" w:cs="Times New Roman"/>
                      <w:b/>
                      <w:bCs/>
                      <w:color w:val="auto"/>
                      <w:szCs w:val="21"/>
                      <w:highlight w:val="none"/>
                      <w:lang w:val="zh-CN"/>
                    </w:rPr>
                  </w:pPr>
                  <w:r>
                    <w:rPr>
                      <w:rFonts w:hint="default" w:ascii="Times New Roman" w:hAnsi="Times New Roman" w:cs="Times New Roman"/>
                      <w:b/>
                      <w:bCs/>
                      <w:color w:val="auto"/>
                      <w:szCs w:val="21"/>
                      <w:highlight w:val="none"/>
                    </w:rPr>
                    <w:t>阳离子交换量</w:t>
                  </w:r>
                </w:p>
              </w:tc>
              <w:tc>
                <w:tcPr>
                  <w:tcW w:w="679" w:type="dxa"/>
                  <w:vAlign w:val="center"/>
                </w:tcPr>
                <w:p w14:paraId="3ADD0CBB">
                  <w:pPr>
                    <w:jc w:val="center"/>
                    <w:rPr>
                      <w:rFonts w:hint="default" w:ascii="Times New Roman" w:hAnsi="Times New Roman" w:cs="Times New Roman"/>
                      <w:b/>
                      <w:bCs/>
                      <w:color w:val="auto"/>
                      <w:szCs w:val="21"/>
                      <w:highlight w:val="none"/>
                      <w:lang w:val="zh-CN"/>
                    </w:rPr>
                  </w:pPr>
                  <w:r>
                    <w:rPr>
                      <w:rFonts w:hint="default" w:ascii="Times New Roman" w:hAnsi="Times New Roman" w:cs="Times New Roman"/>
                      <w:b/>
                      <w:bCs/>
                      <w:color w:val="auto"/>
                      <w:szCs w:val="21"/>
                      <w:highlight w:val="none"/>
                    </w:rPr>
                    <w:t>土壤容重</w:t>
                  </w:r>
                </w:p>
              </w:tc>
              <w:tc>
                <w:tcPr>
                  <w:tcW w:w="700" w:type="dxa"/>
                  <w:vAlign w:val="center"/>
                </w:tcPr>
                <w:p w14:paraId="07C9574A">
                  <w:pPr>
                    <w:jc w:val="center"/>
                    <w:rPr>
                      <w:rFonts w:hint="default" w:ascii="Times New Roman" w:hAnsi="Times New Roman" w:cs="Times New Roman"/>
                      <w:b/>
                      <w:bCs/>
                      <w:color w:val="auto"/>
                      <w:szCs w:val="21"/>
                      <w:highlight w:val="none"/>
                      <w:lang w:val="zh-CN"/>
                    </w:rPr>
                  </w:pPr>
                  <w:r>
                    <w:rPr>
                      <w:rFonts w:hint="default" w:ascii="Times New Roman" w:hAnsi="Times New Roman" w:cs="Times New Roman"/>
                      <w:b/>
                      <w:bCs/>
                      <w:color w:val="auto"/>
                      <w:szCs w:val="21"/>
                      <w:highlight w:val="none"/>
                    </w:rPr>
                    <w:t>氧化还原电位</w:t>
                  </w:r>
                </w:p>
              </w:tc>
              <w:tc>
                <w:tcPr>
                  <w:tcW w:w="683" w:type="dxa"/>
                  <w:vAlign w:val="center"/>
                </w:tcPr>
                <w:p w14:paraId="4FF05AF5">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渗滤系数</w:t>
                  </w:r>
                </w:p>
              </w:tc>
              <w:tc>
                <w:tcPr>
                  <w:tcW w:w="616" w:type="dxa"/>
                  <w:vAlign w:val="center"/>
                </w:tcPr>
                <w:p w14:paraId="4006753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孔隙度</w:t>
                  </w:r>
                </w:p>
              </w:tc>
            </w:tr>
            <w:tr w14:paraId="32C1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385" w:type="dxa"/>
                  <w:gridSpan w:val="2"/>
                  <w:vMerge w:val="continue"/>
                  <w:vAlign w:val="center"/>
                </w:tcPr>
                <w:p w14:paraId="58DD96AD">
                  <w:pPr>
                    <w:jc w:val="center"/>
                    <w:rPr>
                      <w:rFonts w:hint="default" w:ascii="Times New Roman" w:hAnsi="Times New Roman" w:cs="Times New Roman"/>
                      <w:color w:val="auto"/>
                      <w:highlight w:val="none"/>
                    </w:rPr>
                  </w:pPr>
                </w:p>
              </w:tc>
              <w:tc>
                <w:tcPr>
                  <w:tcW w:w="683" w:type="dxa"/>
                  <w:vMerge w:val="continue"/>
                  <w:vAlign w:val="center"/>
                </w:tcPr>
                <w:p w14:paraId="36AAF0E6">
                  <w:pPr>
                    <w:jc w:val="center"/>
                    <w:rPr>
                      <w:rFonts w:hint="default" w:ascii="Times New Roman" w:hAnsi="Times New Roman" w:cs="Times New Roman"/>
                      <w:color w:val="auto"/>
                      <w:highlight w:val="none"/>
                    </w:rPr>
                  </w:pPr>
                </w:p>
              </w:tc>
              <w:tc>
                <w:tcPr>
                  <w:tcW w:w="583" w:type="dxa"/>
                  <w:vMerge w:val="continue"/>
                  <w:vAlign w:val="center"/>
                </w:tcPr>
                <w:p w14:paraId="2ADD46C9">
                  <w:pPr>
                    <w:jc w:val="center"/>
                    <w:rPr>
                      <w:rFonts w:hint="default" w:ascii="Times New Roman" w:hAnsi="Times New Roman" w:cs="Times New Roman"/>
                      <w:color w:val="auto"/>
                      <w:highlight w:val="none"/>
                    </w:rPr>
                  </w:pPr>
                </w:p>
              </w:tc>
              <w:tc>
                <w:tcPr>
                  <w:tcW w:w="434" w:type="dxa"/>
                  <w:vMerge w:val="continue"/>
                  <w:vAlign w:val="center"/>
                </w:tcPr>
                <w:p w14:paraId="5E8BB1C0">
                  <w:pPr>
                    <w:jc w:val="center"/>
                    <w:rPr>
                      <w:rFonts w:hint="default" w:ascii="Times New Roman" w:hAnsi="Times New Roman" w:cs="Times New Roman"/>
                      <w:color w:val="auto"/>
                      <w:highlight w:val="none"/>
                    </w:rPr>
                  </w:pPr>
                </w:p>
              </w:tc>
              <w:tc>
                <w:tcPr>
                  <w:tcW w:w="433" w:type="dxa"/>
                  <w:vMerge w:val="continue"/>
                  <w:vAlign w:val="center"/>
                </w:tcPr>
                <w:p w14:paraId="763F6635">
                  <w:pPr>
                    <w:jc w:val="center"/>
                    <w:rPr>
                      <w:rFonts w:hint="default" w:ascii="Times New Roman" w:hAnsi="Times New Roman" w:cs="Times New Roman"/>
                      <w:color w:val="auto"/>
                      <w:highlight w:val="none"/>
                    </w:rPr>
                  </w:pPr>
                </w:p>
              </w:tc>
              <w:tc>
                <w:tcPr>
                  <w:tcW w:w="633" w:type="dxa"/>
                  <w:vMerge w:val="continue"/>
                  <w:vAlign w:val="center"/>
                </w:tcPr>
                <w:p w14:paraId="4E1A285E">
                  <w:pPr>
                    <w:jc w:val="center"/>
                    <w:rPr>
                      <w:rFonts w:hint="default" w:ascii="Times New Roman" w:hAnsi="Times New Roman" w:cs="Times New Roman"/>
                      <w:color w:val="auto"/>
                      <w:highlight w:val="none"/>
                    </w:rPr>
                  </w:pPr>
                </w:p>
              </w:tc>
              <w:tc>
                <w:tcPr>
                  <w:tcW w:w="417" w:type="dxa"/>
                  <w:vMerge w:val="continue"/>
                  <w:vAlign w:val="center"/>
                </w:tcPr>
                <w:p w14:paraId="52797113">
                  <w:pPr>
                    <w:jc w:val="center"/>
                    <w:rPr>
                      <w:rFonts w:hint="default" w:ascii="Times New Roman" w:hAnsi="Times New Roman" w:cs="Times New Roman"/>
                      <w:color w:val="auto"/>
                      <w:highlight w:val="none"/>
                    </w:rPr>
                  </w:pPr>
                </w:p>
              </w:tc>
              <w:tc>
                <w:tcPr>
                  <w:tcW w:w="600" w:type="dxa"/>
                  <w:vAlign w:val="center"/>
                </w:tcPr>
                <w:p w14:paraId="68CBBA9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无量纲</w:t>
                  </w:r>
                </w:p>
              </w:tc>
              <w:tc>
                <w:tcPr>
                  <w:tcW w:w="667" w:type="dxa"/>
                  <w:vAlign w:val="center"/>
                </w:tcPr>
                <w:p w14:paraId="55D0C1A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mg/kg</w:t>
                  </w:r>
                </w:p>
              </w:tc>
              <w:tc>
                <w:tcPr>
                  <w:tcW w:w="679" w:type="dxa"/>
                  <w:vAlign w:val="center"/>
                </w:tcPr>
                <w:p w14:paraId="42F5F8F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 w:val="24"/>
                      <w:szCs w:val="24"/>
                      <w:highlight w:val="none"/>
                      <w:lang w:val="zh-CN"/>
                    </w:rPr>
                    <w:t>g/</w:t>
                  </w:r>
                  <w:r>
                    <w:rPr>
                      <w:rFonts w:hint="default" w:ascii="Times New Roman" w:hAnsi="Times New Roman" w:cs="Times New Roman"/>
                      <w:b/>
                      <w:bCs/>
                      <w:color w:val="auto"/>
                      <w:sz w:val="24"/>
                      <w:szCs w:val="24"/>
                      <w:highlight w:val="none"/>
                    </w:rPr>
                    <w:t>m</w:t>
                  </w:r>
                  <w:r>
                    <w:rPr>
                      <w:rFonts w:hint="default" w:ascii="Times New Roman" w:hAnsi="Times New Roman" w:cs="Times New Roman"/>
                      <w:b/>
                      <w:bCs/>
                      <w:color w:val="auto"/>
                      <w:sz w:val="24"/>
                      <w:szCs w:val="24"/>
                      <w:highlight w:val="none"/>
                      <w:vertAlign w:val="superscript"/>
                    </w:rPr>
                    <w:t>3</w:t>
                  </w:r>
                </w:p>
              </w:tc>
              <w:tc>
                <w:tcPr>
                  <w:tcW w:w="700" w:type="dxa"/>
                  <w:vAlign w:val="center"/>
                </w:tcPr>
                <w:p w14:paraId="08D1D76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mv</w:t>
                  </w:r>
                </w:p>
              </w:tc>
              <w:tc>
                <w:tcPr>
                  <w:tcW w:w="683" w:type="dxa"/>
                  <w:vAlign w:val="center"/>
                </w:tcPr>
                <w:p w14:paraId="71263DC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 w:val="24"/>
                      <w:szCs w:val="24"/>
                      <w:highlight w:val="none"/>
                      <w:lang w:val="zh-CN"/>
                    </w:rPr>
                    <w:t>mm/min</w:t>
                  </w:r>
                </w:p>
              </w:tc>
              <w:tc>
                <w:tcPr>
                  <w:tcW w:w="616" w:type="dxa"/>
                  <w:vAlign w:val="center"/>
                </w:tcPr>
                <w:p w14:paraId="4355E54B">
                  <w:pPr>
                    <w:jc w:val="center"/>
                    <w:rPr>
                      <w:rFonts w:hint="default" w:ascii="Times New Roman" w:hAnsi="Times New Roman" w:cs="Times New Roman"/>
                      <w:b/>
                      <w:bCs/>
                      <w:color w:val="auto"/>
                      <w:sz w:val="24"/>
                      <w:szCs w:val="24"/>
                      <w:highlight w:val="none"/>
                      <w:lang w:val="zh-CN"/>
                    </w:rPr>
                  </w:pPr>
                  <w:r>
                    <w:rPr>
                      <w:rFonts w:hint="default" w:ascii="Times New Roman" w:hAnsi="Times New Roman" w:cs="Times New Roman"/>
                      <w:b/>
                      <w:bCs/>
                      <w:color w:val="auto"/>
                      <w:szCs w:val="21"/>
                      <w:highlight w:val="none"/>
                    </w:rPr>
                    <w:t>%</w:t>
                  </w:r>
                </w:p>
              </w:tc>
            </w:tr>
            <w:tr w14:paraId="16A9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18A52BA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柱状样1#-1</w:t>
                  </w:r>
                </w:p>
              </w:tc>
              <w:tc>
                <w:tcPr>
                  <w:tcW w:w="517" w:type="dxa"/>
                  <w:vAlign w:val="center"/>
                </w:tcPr>
                <w:p w14:paraId="60A64E90">
                  <w:pPr>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1次</w:t>
                  </w:r>
                </w:p>
              </w:tc>
              <w:tc>
                <w:tcPr>
                  <w:tcW w:w="683" w:type="dxa"/>
                  <w:vAlign w:val="center"/>
                </w:tcPr>
                <w:p w14:paraId="33150CD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w:t>
                  </w:r>
                </w:p>
              </w:tc>
              <w:tc>
                <w:tcPr>
                  <w:tcW w:w="583" w:type="dxa"/>
                  <w:vAlign w:val="center"/>
                </w:tcPr>
                <w:p w14:paraId="3241CF74">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砖红</w:t>
                  </w:r>
                </w:p>
              </w:tc>
              <w:tc>
                <w:tcPr>
                  <w:tcW w:w="434" w:type="dxa"/>
                  <w:vAlign w:val="center"/>
                </w:tcPr>
                <w:p w14:paraId="339292A4">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块状</w:t>
                  </w:r>
                </w:p>
              </w:tc>
              <w:tc>
                <w:tcPr>
                  <w:tcW w:w="433" w:type="dxa"/>
                  <w:vAlign w:val="center"/>
                </w:tcPr>
                <w:p w14:paraId="22DC1509">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壤土</w:t>
                  </w:r>
                </w:p>
              </w:tc>
              <w:tc>
                <w:tcPr>
                  <w:tcW w:w="633" w:type="dxa"/>
                  <w:vAlign w:val="center"/>
                </w:tcPr>
                <w:p w14:paraId="4F949C2E">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417" w:type="dxa"/>
                  <w:vAlign w:val="center"/>
                </w:tcPr>
                <w:p w14:paraId="367EE060">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w:t>
                  </w:r>
                </w:p>
              </w:tc>
              <w:tc>
                <w:tcPr>
                  <w:tcW w:w="600" w:type="dxa"/>
                  <w:vAlign w:val="center"/>
                </w:tcPr>
                <w:p w14:paraId="7D88B11F">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6.10</w:t>
                  </w:r>
                </w:p>
              </w:tc>
              <w:tc>
                <w:tcPr>
                  <w:tcW w:w="667" w:type="dxa"/>
                  <w:vAlign w:val="center"/>
                </w:tcPr>
                <w:p w14:paraId="68EA7D72">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24.4</w:t>
                  </w:r>
                </w:p>
              </w:tc>
              <w:tc>
                <w:tcPr>
                  <w:tcW w:w="679" w:type="dxa"/>
                  <w:vAlign w:val="center"/>
                </w:tcPr>
                <w:p w14:paraId="029CA103">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1.09</w:t>
                  </w:r>
                </w:p>
              </w:tc>
              <w:tc>
                <w:tcPr>
                  <w:tcW w:w="700" w:type="dxa"/>
                  <w:vAlign w:val="center"/>
                </w:tcPr>
                <w:p w14:paraId="2A913741">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419</w:t>
                  </w:r>
                </w:p>
              </w:tc>
              <w:tc>
                <w:tcPr>
                  <w:tcW w:w="683" w:type="dxa"/>
                  <w:vAlign w:val="center"/>
                </w:tcPr>
                <w:p w14:paraId="526D830F">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2.50</w:t>
                  </w:r>
                </w:p>
              </w:tc>
              <w:tc>
                <w:tcPr>
                  <w:tcW w:w="616" w:type="dxa"/>
                  <w:vAlign w:val="center"/>
                </w:tcPr>
                <w:p w14:paraId="1ED0C1D6">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57.4</w:t>
                  </w:r>
                </w:p>
              </w:tc>
            </w:tr>
            <w:tr w14:paraId="4C19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4FCB0AD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柱状样1#-2</w:t>
                  </w:r>
                </w:p>
              </w:tc>
              <w:tc>
                <w:tcPr>
                  <w:tcW w:w="517" w:type="dxa"/>
                  <w:vAlign w:val="center"/>
                </w:tcPr>
                <w:p w14:paraId="54719EF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p>
              </w:tc>
              <w:tc>
                <w:tcPr>
                  <w:tcW w:w="683" w:type="dxa"/>
                  <w:vAlign w:val="center"/>
                </w:tcPr>
                <w:p w14:paraId="17E1BAF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0.5-1.5</w:t>
                  </w:r>
                </w:p>
              </w:tc>
              <w:tc>
                <w:tcPr>
                  <w:tcW w:w="583" w:type="dxa"/>
                  <w:vAlign w:val="center"/>
                </w:tcPr>
                <w:p w14:paraId="0AE0E40B">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砖红</w:t>
                  </w:r>
                </w:p>
              </w:tc>
              <w:tc>
                <w:tcPr>
                  <w:tcW w:w="434" w:type="dxa"/>
                  <w:vAlign w:val="center"/>
                </w:tcPr>
                <w:p w14:paraId="46B5D051">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块状</w:t>
                  </w:r>
                </w:p>
              </w:tc>
              <w:tc>
                <w:tcPr>
                  <w:tcW w:w="433" w:type="dxa"/>
                  <w:vAlign w:val="center"/>
                </w:tcPr>
                <w:p w14:paraId="396E1075">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壤土</w:t>
                  </w:r>
                </w:p>
              </w:tc>
              <w:tc>
                <w:tcPr>
                  <w:tcW w:w="633" w:type="dxa"/>
                  <w:vAlign w:val="center"/>
                </w:tcPr>
                <w:p w14:paraId="2C10EBC6">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417" w:type="dxa"/>
                  <w:vAlign w:val="center"/>
                </w:tcPr>
                <w:p w14:paraId="151B33F1">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600" w:type="dxa"/>
                  <w:vAlign w:val="center"/>
                </w:tcPr>
                <w:p w14:paraId="15017D50">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5.56</w:t>
                  </w:r>
                </w:p>
              </w:tc>
              <w:tc>
                <w:tcPr>
                  <w:tcW w:w="667" w:type="dxa"/>
                  <w:vAlign w:val="center"/>
                </w:tcPr>
                <w:p w14:paraId="32D02684">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p>
              </w:tc>
              <w:tc>
                <w:tcPr>
                  <w:tcW w:w="679" w:type="dxa"/>
                  <w:vAlign w:val="center"/>
                </w:tcPr>
                <w:p w14:paraId="724029E9">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w:t>
                  </w:r>
                </w:p>
              </w:tc>
              <w:tc>
                <w:tcPr>
                  <w:tcW w:w="700" w:type="dxa"/>
                  <w:vAlign w:val="center"/>
                </w:tcPr>
                <w:p w14:paraId="1C2C2434">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381</w:t>
                  </w:r>
                </w:p>
              </w:tc>
              <w:tc>
                <w:tcPr>
                  <w:tcW w:w="683" w:type="dxa"/>
                  <w:vAlign w:val="center"/>
                </w:tcPr>
                <w:p w14:paraId="09E7E8A8">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2.47</w:t>
                  </w:r>
                </w:p>
              </w:tc>
              <w:tc>
                <w:tcPr>
                  <w:tcW w:w="616" w:type="dxa"/>
                  <w:vAlign w:val="center"/>
                </w:tcPr>
                <w:p w14:paraId="3E092CB9">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56.7</w:t>
                  </w:r>
                </w:p>
              </w:tc>
            </w:tr>
            <w:tr w14:paraId="01E1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56A8E87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柱状样1#-3</w:t>
                  </w:r>
                </w:p>
              </w:tc>
              <w:tc>
                <w:tcPr>
                  <w:tcW w:w="517" w:type="dxa"/>
                  <w:vAlign w:val="center"/>
                </w:tcPr>
                <w:p w14:paraId="2755659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p>
              </w:tc>
              <w:tc>
                <w:tcPr>
                  <w:tcW w:w="683" w:type="dxa"/>
                  <w:vAlign w:val="center"/>
                </w:tcPr>
                <w:p w14:paraId="2EE7242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w:t>
                  </w:r>
                </w:p>
              </w:tc>
              <w:tc>
                <w:tcPr>
                  <w:tcW w:w="583" w:type="dxa"/>
                  <w:vAlign w:val="center"/>
                </w:tcPr>
                <w:p w14:paraId="497F93AF">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砖红</w:t>
                  </w:r>
                </w:p>
              </w:tc>
              <w:tc>
                <w:tcPr>
                  <w:tcW w:w="434" w:type="dxa"/>
                  <w:vAlign w:val="center"/>
                </w:tcPr>
                <w:p w14:paraId="2EFD5D19">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块状</w:t>
                  </w:r>
                </w:p>
              </w:tc>
              <w:tc>
                <w:tcPr>
                  <w:tcW w:w="433" w:type="dxa"/>
                  <w:vAlign w:val="center"/>
                </w:tcPr>
                <w:p w14:paraId="22AC6C51">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壤土</w:t>
                  </w:r>
                </w:p>
              </w:tc>
              <w:tc>
                <w:tcPr>
                  <w:tcW w:w="633" w:type="dxa"/>
                  <w:vAlign w:val="center"/>
                </w:tcPr>
                <w:p w14:paraId="139A96DA">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417" w:type="dxa"/>
                  <w:vAlign w:val="center"/>
                </w:tcPr>
                <w:p w14:paraId="282D11DA">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600" w:type="dxa"/>
                  <w:vAlign w:val="center"/>
                </w:tcPr>
                <w:p w14:paraId="352F99EB">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5.23</w:t>
                  </w:r>
                </w:p>
              </w:tc>
              <w:tc>
                <w:tcPr>
                  <w:tcW w:w="667" w:type="dxa"/>
                  <w:vAlign w:val="center"/>
                </w:tcPr>
                <w:p w14:paraId="289D041A">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23.0</w:t>
                  </w:r>
                </w:p>
              </w:tc>
              <w:tc>
                <w:tcPr>
                  <w:tcW w:w="679" w:type="dxa"/>
                  <w:vAlign w:val="center"/>
                </w:tcPr>
                <w:p w14:paraId="2020F630">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w:t>
                  </w:r>
                </w:p>
              </w:tc>
              <w:tc>
                <w:tcPr>
                  <w:tcW w:w="700" w:type="dxa"/>
                  <w:vAlign w:val="center"/>
                </w:tcPr>
                <w:p w14:paraId="23CDB2E9">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360</w:t>
                  </w:r>
                </w:p>
              </w:tc>
              <w:tc>
                <w:tcPr>
                  <w:tcW w:w="683" w:type="dxa"/>
                  <w:vAlign w:val="center"/>
                </w:tcPr>
                <w:p w14:paraId="0C7D02BC">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2.60</w:t>
                  </w:r>
                </w:p>
              </w:tc>
              <w:tc>
                <w:tcPr>
                  <w:tcW w:w="616" w:type="dxa"/>
                  <w:vAlign w:val="center"/>
                </w:tcPr>
                <w:p w14:paraId="780337AE">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59.8</w:t>
                  </w:r>
                </w:p>
              </w:tc>
            </w:tr>
            <w:tr w14:paraId="5B67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57ADE91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柱状样2#-1</w:t>
                  </w:r>
                </w:p>
              </w:tc>
              <w:tc>
                <w:tcPr>
                  <w:tcW w:w="517" w:type="dxa"/>
                  <w:vAlign w:val="center"/>
                </w:tcPr>
                <w:p w14:paraId="2B60170B">
                  <w:pPr>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1次</w:t>
                  </w:r>
                </w:p>
              </w:tc>
              <w:tc>
                <w:tcPr>
                  <w:tcW w:w="683" w:type="dxa"/>
                  <w:vAlign w:val="center"/>
                </w:tcPr>
                <w:p w14:paraId="069CDAD0">
                  <w:pPr>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0-0.5</w:t>
                  </w:r>
                </w:p>
              </w:tc>
              <w:tc>
                <w:tcPr>
                  <w:tcW w:w="583" w:type="dxa"/>
                  <w:vAlign w:val="center"/>
                </w:tcPr>
                <w:p w14:paraId="1F00DBA4">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砖红</w:t>
                  </w:r>
                </w:p>
              </w:tc>
              <w:tc>
                <w:tcPr>
                  <w:tcW w:w="434" w:type="dxa"/>
                  <w:vAlign w:val="center"/>
                </w:tcPr>
                <w:p w14:paraId="24CF36CE">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块状</w:t>
                  </w:r>
                </w:p>
              </w:tc>
              <w:tc>
                <w:tcPr>
                  <w:tcW w:w="433" w:type="dxa"/>
                  <w:vAlign w:val="center"/>
                </w:tcPr>
                <w:p w14:paraId="2CA2BD68">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壤土</w:t>
                  </w:r>
                </w:p>
              </w:tc>
              <w:tc>
                <w:tcPr>
                  <w:tcW w:w="633" w:type="dxa"/>
                  <w:vAlign w:val="center"/>
                </w:tcPr>
                <w:p w14:paraId="5F21C683">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少量</w:t>
                  </w:r>
                </w:p>
              </w:tc>
              <w:tc>
                <w:tcPr>
                  <w:tcW w:w="417" w:type="dxa"/>
                  <w:vAlign w:val="center"/>
                </w:tcPr>
                <w:p w14:paraId="5AEEEF13">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600" w:type="dxa"/>
                  <w:vAlign w:val="center"/>
                </w:tcPr>
                <w:p w14:paraId="7E930798">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5.18</w:t>
                  </w:r>
                </w:p>
              </w:tc>
              <w:tc>
                <w:tcPr>
                  <w:tcW w:w="667" w:type="dxa"/>
                  <w:vAlign w:val="center"/>
                </w:tcPr>
                <w:p w14:paraId="3656784F">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19.0</w:t>
                  </w:r>
                </w:p>
              </w:tc>
              <w:tc>
                <w:tcPr>
                  <w:tcW w:w="679" w:type="dxa"/>
                  <w:vAlign w:val="center"/>
                </w:tcPr>
                <w:p w14:paraId="47E76EF3">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w:t>
                  </w:r>
                </w:p>
              </w:tc>
              <w:tc>
                <w:tcPr>
                  <w:tcW w:w="700" w:type="dxa"/>
                  <w:vAlign w:val="center"/>
                </w:tcPr>
                <w:p w14:paraId="5E2E3154">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369</w:t>
                  </w:r>
                </w:p>
              </w:tc>
              <w:tc>
                <w:tcPr>
                  <w:tcW w:w="683" w:type="dxa"/>
                  <w:vAlign w:val="center"/>
                </w:tcPr>
                <w:p w14:paraId="50A40DBB">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2.44</w:t>
                  </w:r>
                </w:p>
              </w:tc>
              <w:tc>
                <w:tcPr>
                  <w:tcW w:w="616" w:type="dxa"/>
                  <w:vAlign w:val="center"/>
                </w:tcPr>
                <w:p w14:paraId="7E63033D">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55.2</w:t>
                  </w:r>
                </w:p>
              </w:tc>
            </w:tr>
            <w:tr w14:paraId="1759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5C34357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柱状样2#-2</w:t>
                  </w:r>
                </w:p>
              </w:tc>
              <w:tc>
                <w:tcPr>
                  <w:tcW w:w="517" w:type="dxa"/>
                  <w:vAlign w:val="center"/>
                </w:tcPr>
                <w:p w14:paraId="38CC9FC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p>
              </w:tc>
              <w:tc>
                <w:tcPr>
                  <w:tcW w:w="683" w:type="dxa"/>
                  <w:vAlign w:val="center"/>
                </w:tcPr>
                <w:p w14:paraId="668D9B05">
                  <w:pPr>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0.5-1.5</w:t>
                  </w:r>
                </w:p>
              </w:tc>
              <w:tc>
                <w:tcPr>
                  <w:tcW w:w="583" w:type="dxa"/>
                  <w:vAlign w:val="center"/>
                </w:tcPr>
                <w:p w14:paraId="3560260C">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砖红</w:t>
                  </w:r>
                </w:p>
              </w:tc>
              <w:tc>
                <w:tcPr>
                  <w:tcW w:w="434" w:type="dxa"/>
                  <w:vAlign w:val="center"/>
                </w:tcPr>
                <w:p w14:paraId="7B9B1653">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块状</w:t>
                  </w:r>
                </w:p>
              </w:tc>
              <w:tc>
                <w:tcPr>
                  <w:tcW w:w="433" w:type="dxa"/>
                  <w:vAlign w:val="center"/>
                </w:tcPr>
                <w:p w14:paraId="4E3405BC">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壤土</w:t>
                  </w:r>
                </w:p>
              </w:tc>
              <w:tc>
                <w:tcPr>
                  <w:tcW w:w="633" w:type="dxa"/>
                  <w:vAlign w:val="center"/>
                </w:tcPr>
                <w:p w14:paraId="0003E7A5">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417" w:type="dxa"/>
                  <w:vAlign w:val="center"/>
                </w:tcPr>
                <w:p w14:paraId="377375AF">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600" w:type="dxa"/>
                  <w:vAlign w:val="center"/>
                </w:tcPr>
                <w:p w14:paraId="0C5998C3">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5.31</w:t>
                  </w:r>
                </w:p>
              </w:tc>
              <w:tc>
                <w:tcPr>
                  <w:tcW w:w="667" w:type="dxa"/>
                  <w:vAlign w:val="center"/>
                </w:tcPr>
                <w:p w14:paraId="1CF6D01D">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19.2</w:t>
                  </w:r>
                </w:p>
              </w:tc>
              <w:tc>
                <w:tcPr>
                  <w:tcW w:w="679" w:type="dxa"/>
                  <w:vAlign w:val="center"/>
                </w:tcPr>
                <w:p w14:paraId="3FFBFD74">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700" w:type="dxa"/>
                  <w:vAlign w:val="center"/>
                </w:tcPr>
                <w:p w14:paraId="55DCC637">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327</w:t>
                  </w:r>
                </w:p>
              </w:tc>
              <w:tc>
                <w:tcPr>
                  <w:tcW w:w="683" w:type="dxa"/>
                  <w:vAlign w:val="center"/>
                </w:tcPr>
                <w:p w14:paraId="211CD241">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2.52</w:t>
                  </w:r>
                </w:p>
              </w:tc>
              <w:tc>
                <w:tcPr>
                  <w:tcW w:w="616" w:type="dxa"/>
                  <w:vAlign w:val="center"/>
                </w:tcPr>
                <w:p w14:paraId="47031733">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56.4</w:t>
                  </w:r>
                </w:p>
              </w:tc>
            </w:tr>
            <w:tr w14:paraId="33E2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074A784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柱状样2#-3</w:t>
                  </w:r>
                </w:p>
              </w:tc>
              <w:tc>
                <w:tcPr>
                  <w:tcW w:w="517" w:type="dxa"/>
                  <w:vAlign w:val="center"/>
                </w:tcPr>
                <w:p w14:paraId="1C0530B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p>
              </w:tc>
              <w:tc>
                <w:tcPr>
                  <w:tcW w:w="683" w:type="dxa"/>
                  <w:vAlign w:val="center"/>
                </w:tcPr>
                <w:p w14:paraId="10348E0A">
                  <w:pPr>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1.5-3</w:t>
                  </w:r>
                </w:p>
              </w:tc>
              <w:tc>
                <w:tcPr>
                  <w:tcW w:w="583" w:type="dxa"/>
                  <w:vAlign w:val="center"/>
                </w:tcPr>
                <w:p w14:paraId="55D62478">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砖红</w:t>
                  </w:r>
                </w:p>
              </w:tc>
              <w:tc>
                <w:tcPr>
                  <w:tcW w:w="434" w:type="dxa"/>
                  <w:vAlign w:val="center"/>
                </w:tcPr>
                <w:p w14:paraId="5644C96F">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块状</w:t>
                  </w:r>
                </w:p>
              </w:tc>
              <w:tc>
                <w:tcPr>
                  <w:tcW w:w="433" w:type="dxa"/>
                  <w:vAlign w:val="center"/>
                </w:tcPr>
                <w:p w14:paraId="131E0D9B">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壤土</w:t>
                  </w:r>
                </w:p>
              </w:tc>
              <w:tc>
                <w:tcPr>
                  <w:tcW w:w="633" w:type="dxa"/>
                  <w:vAlign w:val="center"/>
                </w:tcPr>
                <w:p w14:paraId="7BC8FA55">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417" w:type="dxa"/>
                  <w:vAlign w:val="center"/>
                </w:tcPr>
                <w:p w14:paraId="0F5F3A01">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600" w:type="dxa"/>
                  <w:vAlign w:val="center"/>
                </w:tcPr>
                <w:p w14:paraId="69B6BA00">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6.23</w:t>
                  </w:r>
                </w:p>
              </w:tc>
              <w:tc>
                <w:tcPr>
                  <w:tcW w:w="667" w:type="dxa"/>
                  <w:vAlign w:val="center"/>
                </w:tcPr>
                <w:p w14:paraId="3334D23A">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20.1</w:t>
                  </w:r>
                </w:p>
              </w:tc>
              <w:tc>
                <w:tcPr>
                  <w:tcW w:w="679" w:type="dxa"/>
                  <w:vAlign w:val="center"/>
                </w:tcPr>
                <w:p w14:paraId="572C2D3C">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w:t>
                  </w:r>
                </w:p>
              </w:tc>
              <w:tc>
                <w:tcPr>
                  <w:tcW w:w="700" w:type="dxa"/>
                  <w:vAlign w:val="center"/>
                </w:tcPr>
                <w:p w14:paraId="0E9ED573">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323</w:t>
                  </w:r>
                </w:p>
              </w:tc>
              <w:tc>
                <w:tcPr>
                  <w:tcW w:w="683" w:type="dxa"/>
                  <w:vAlign w:val="center"/>
                </w:tcPr>
                <w:p w14:paraId="7776C285">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2.57</w:t>
                  </w:r>
                </w:p>
              </w:tc>
              <w:tc>
                <w:tcPr>
                  <w:tcW w:w="616" w:type="dxa"/>
                  <w:vAlign w:val="center"/>
                </w:tcPr>
                <w:p w14:paraId="5AFC999F">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58.3</w:t>
                  </w:r>
                </w:p>
              </w:tc>
            </w:tr>
            <w:tr w14:paraId="34F7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5097237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柱状样3#-1</w:t>
                  </w:r>
                </w:p>
              </w:tc>
              <w:tc>
                <w:tcPr>
                  <w:tcW w:w="517" w:type="dxa"/>
                  <w:vAlign w:val="center"/>
                </w:tcPr>
                <w:p w14:paraId="0064773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p>
              </w:tc>
              <w:tc>
                <w:tcPr>
                  <w:tcW w:w="683" w:type="dxa"/>
                  <w:vAlign w:val="center"/>
                </w:tcPr>
                <w:p w14:paraId="463681E8">
                  <w:pPr>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0-0.5</w:t>
                  </w:r>
                </w:p>
              </w:tc>
              <w:tc>
                <w:tcPr>
                  <w:tcW w:w="583" w:type="dxa"/>
                  <w:vAlign w:val="center"/>
                </w:tcPr>
                <w:p w14:paraId="6DABC259">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砖红</w:t>
                  </w:r>
                </w:p>
              </w:tc>
              <w:tc>
                <w:tcPr>
                  <w:tcW w:w="434" w:type="dxa"/>
                  <w:vAlign w:val="center"/>
                </w:tcPr>
                <w:p w14:paraId="2FE44FB5">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块状</w:t>
                  </w:r>
                </w:p>
              </w:tc>
              <w:tc>
                <w:tcPr>
                  <w:tcW w:w="433" w:type="dxa"/>
                  <w:vAlign w:val="center"/>
                </w:tcPr>
                <w:p w14:paraId="0CEA987D">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壤土</w:t>
                  </w:r>
                </w:p>
              </w:tc>
              <w:tc>
                <w:tcPr>
                  <w:tcW w:w="633" w:type="dxa"/>
                  <w:vAlign w:val="center"/>
                </w:tcPr>
                <w:p w14:paraId="366350A0">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少量</w:t>
                  </w:r>
                </w:p>
              </w:tc>
              <w:tc>
                <w:tcPr>
                  <w:tcW w:w="417" w:type="dxa"/>
                  <w:vAlign w:val="center"/>
                </w:tcPr>
                <w:p w14:paraId="2DF767D4">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600" w:type="dxa"/>
                  <w:vAlign w:val="center"/>
                </w:tcPr>
                <w:p w14:paraId="202BD001">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6.30</w:t>
                  </w:r>
                </w:p>
              </w:tc>
              <w:tc>
                <w:tcPr>
                  <w:tcW w:w="667" w:type="dxa"/>
                  <w:vAlign w:val="center"/>
                </w:tcPr>
                <w:p w14:paraId="738E0E8D">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14.8</w:t>
                  </w:r>
                </w:p>
              </w:tc>
              <w:tc>
                <w:tcPr>
                  <w:tcW w:w="679" w:type="dxa"/>
                  <w:vAlign w:val="center"/>
                </w:tcPr>
                <w:p w14:paraId="5FF67432">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1.00</w:t>
                  </w:r>
                </w:p>
              </w:tc>
              <w:tc>
                <w:tcPr>
                  <w:tcW w:w="700" w:type="dxa"/>
                  <w:vAlign w:val="center"/>
                </w:tcPr>
                <w:p w14:paraId="2A760478">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353</w:t>
                  </w:r>
                </w:p>
              </w:tc>
              <w:tc>
                <w:tcPr>
                  <w:tcW w:w="683" w:type="dxa"/>
                  <w:vAlign w:val="center"/>
                </w:tcPr>
                <w:p w14:paraId="748F41A3">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2.28</w:t>
                  </w:r>
                </w:p>
              </w:tc>
              <w:tc>
                <w:tcPr>
                  <w:tcW w:w="616" w:type="dxa"/>
                  <w:vAlign w:val="center"/>
                </w:tcPr>
                <w:p w14:paraId="7413544E">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53.2</w:t>
                  </w:r>
                </w:p>
              </w:tc>
            </w:tr>
            <w:tr w14:paraId="61F1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1421B45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柱状样3#-2</w:t>
                  </w:r>
                </w:p>
              </w:tc>
              <w:tc>
                <w:tcPr>
                  <w:tcW w:w="517" w:type="dxa"/>
                  <w:vAlign w:val="center"/>
                </w:tcPr>
                <w:p w14:paraId="458AD8C2">
                  <w:pPr>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1次</w:t>
                  </w:r>
                </w:p>
              </w:tc>
              <w:tc>
                <w:tcPr>
                  <w:tcW w:w="683" w:type="dxa"/>
                  <w:vAlign w:val="center"/>
                </w:tcPr>
                <w:p w14:paraId="7E41088C">
                  <w:pPr>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0.5-1.5</w:t>
                  </w:r>
                </w:p>
              </w:tc>
              <w:tc>
                <w:tcPr>
                  <w:tcW w:w="583" w:type="dxa"/>
                  <w:vAlign w:val="center"/>
                </w:tcPr>
                <w:p w14:paraId="2856CA5F">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砖红</w:t>
                  </w:r>
                </w:p>
              </w:tc>
              <w:tc>
                <w:tcPr>
                  <w:tcW w:w="434" w:type="dxa"/>
                  <w:vAlign w:val="center"/>
                </w:tcPr>
                <w:p w14:paraId="0562913C">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块状</w:t>
                  </w:r>
                </w:p>
              </w:tc>
              <w:tc>
                <w:tcPr>
                  <w:tcW w:w="433" w:type="dxa"/>
                  <w:vAlign w:val="center"/>
                </w:tcPr>
                <w:p w14:paraId="5CEB75D5">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壤土</w:t>
                  </w:r>
                </w:p>
              </w:tc>
              <w:tc>
                <w:tcPr>
                  <w:tcW w:w="633" w:type="dxa"/>
                  <w:vAlign w:val="center"/>
                </w:tcPr>
                <w:p w14:paraId="12B3A4C7">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417" w:type="dxa"/>
                  <w:vAlign w:val="center"/>
                </w:tcPr>
                <w:p w14:paraId="7DADD0EE">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600" w:type="dxa"/>
                  <w:vAlign w:val="center"/>
                </w:tcPr>
                <w:p w14:paraId="2EB4680E">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4.98</w:t>
                  </w:r>
                </w:p>
              </w:tc>
              <w:tc>
                <w:tcPr>
                  <w:tcW w:w="667" w:type="dxa"/>
                  <w:vAlign w:val="center"/>
                </w:tcPr>
                <w:p w14:paraId="19DAC9F8">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22.5</w:t>
                  </w:r>
                </w:p>
              </w:tc>
              <w:tc>
                <w:tcPr>
                  <w:tcW w:w="679" w:type="dxa"/>
                  <w:vAlign w:val="center"/>
                </w:tcPr>
                <w:p w14:paraId="3A991B51">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1.33</w:t>
                  </w:r>
                </w:p>
              </w:tc>
              <w:tc>
                <w:tcPr>
                  <w:tcW w:w="700" w:type="dxa"/>
                  <w:vAlign w:val="center"/>
                </w:tcPr>
                <w:p w14:paraId="53E09E72">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360</w:t>
                  </w:r>
                </w:p>
              </w:tc>
              <w:tc>
                <w:tcPr>
                  <w:tcW w:w="683" w:type="dxa"/>
                  <w:vAlign w:val="center"/>
                </w:tcPr>
                <w:p w14:paraId="4BB6BFC7">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2.44</w:t>
                  </w:r>
                </w:p>
              </w:tc>
              <w:tc>
                <w:tcPr>
                  <w:tcW w:w="616" w:type="dxa"/>
                  <w:vAlign w:val="center"/>
                </w:tcPr>
                <w:p w14:paraId="3AFB1435">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55.8</w:t>
                  </w:r>
                </w:p>
              </w:tc>
            </w:tr>
            <w:tr w14:paraId="5631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7A4D95F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柱状样3#-3</w:t>
                  </w:r>
                </w:p>
              </w:tc>
              <w:tc>
                <w:tcPr>
                  <w:tcW w:w="517" w:type="dxa"/>
                  <w:vAlign w:val="center"/>
                </w:tcPr>
                <w:p w14:paraId="1FE7D1F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p>
              </w:tc>
              <w:tc>
                <w:tcPr>
                  <w:tcW w:w="683" w:type="dxa"/>
                  <w:vAlign w:val="center"/>
                </w:tcPr>
                <w:p w14:paraId="1A3148ED">
                  <w:pPr>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1.5-3</w:t>
                  </w:r>
                </w:p>
              </w:tc>
              <w:tc>
                <w:tcPr>
                  <w:tcW w:w="583" w:type="dxa"/>
                  <w:vAlign w:val="center"/>
                </w:tcPr>
                <w:p w14:paraId="5B22D0CD">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砖红</w:t>
                  </w:r>
                </w:p>
              </w:tc>
              <w:tc>
                <w:tcPr>
                  <w:tcW w:w="434" w:type="dxa"/>
                  <w:vAlign w:val="center"/>
                </w:tcPr>
                <w:p w14:paraId="42E6154D">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块状</w:t>
                  </w:r>
                </w:p>
              </w:tc>
              <w:tc>
                <w:tcPr>
                  <w:tcW w:w="433" w:type="dxa"/>
                  <w:vAlign w:val="center"/>
                </w:tcPr>
                <w:p w14:paraId="3305FA48">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壤土</w:t>
                  </w:r>
                </w:p>
              </w:tc>
              <w:tc>
                <w:tcPr>
                  <w:tcW w:w="633" w:type="dxa"/>
                  <w:vAlign w:val="center"/>
                </w:tcPr>
                <w:p w14:paraId="19CE49DD">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417" w:type="dxa"/>
                  <w:vAlign w:val="center"/>
                </w:tcPr>
                <w:p w14:paraId="41874057">
                  <w:pPr>
                    <w:widowControl/>
                    <w:adjustRightInd w:val="0"/>
                    <w:snapToGrid w:val="0"/>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无</w:t>
                  </w:r>
                </w:p>
              </w:tc>
              <w:tc>
                <w:tcPr>
                  <w:tcW w:w="600" w:type="dxa"/>
                  <w:vAlign w:val="center"/>
                </w:tcPr>
                <w:p w14:paraId="0A7ECE47">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5.43</w:t>
                  </w:r>
                </w:p>
              </w:tc>
              <w:tc>
                <w:tcPr>
                  <w:tcW w:w="667" w:type="dxa"/>
                  <w:vAlign w:val="center"/>
                </w:tcPr>
                <w:p w14:paraId="1A7CA5B9">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21.7</w:t>
                  </w:r>
                </w:p>
              </w:tc>
              <w:tc>
                <w:tcPr>
                  <w:tcW w:w="679" w:type="dxa"/>
                  <w:vAlign w:val="center"/>
                </w:tcPr>
                <w:p w14:paraId="71ABFDCC">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1.06</w:t>
                  </w:r>
                </w:p>
              </w:tc>
              <w:tc>
                <w:tcPr>
                  <w:tcW w:w="700" w:type="dxa"/>
                  <w:vAlign w:val="center"/>
                </w:tcPr>
                <w:p w14:paraId="4FDDF328">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331</w:t>
                  </w:r>
                </w:p>
              </w:tc>
              <w:tc>
                <w:tcPr>
                  <w:tcW w:w="683" w:type="dxa"/>
                  <w:vAlign w:val="center"/>
                </w:tcPr>
                <w:p w14:paraId="2222E293">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2.57</w:t>
                  </w:r>
                </w:p>
              </w:tc>
              <w:tc>
                <w:tcPr>
                  <w:tcW w:w="616" w:type="dxa"/>
                  <w:vAlign w:val="center"/>
                </w:tcPr>
                <w:p w14:paraId="5CD47A70">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58.3</w:t>
                  </w:r>
                </w:p>
              </w:tc>
            </w:tr>
            <w:tr w14:paraId="2DDD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14:paraId="5E6C40E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表层样1#</w:t>
                  </w:r>
                </w:p>
              </w:tc>
              <w:tc>
                <w:tcPr>
                  <w:tcW w:w="517" w:type="dxa"/>
                  <w:vAlign w:val="center"/>
                </w:tcPr>
                <w:p w14:paraId="6E56666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p>
              </w:tc>
              <w:tc>
                <w:tcPr>
                  <w:tcW w:w="683" w:type="dxa"/>
                  <w:vAlign w:val="center"/>
                </w:tcPr>
                <w:p w14:paraId="42FFE70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w:t>
                  </w:r>
                </w:p>
              </w:tc>
              <w:tc>
                <w:tcPr>
                  <w:tcW w:w="583" w:type="dxa"/>
                  <w:vAlign w:val="center"/>
                </w:tcPr>
                <w:p w14:paraId="763A63D4">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砖红</w:t>
                  </w:r>
                </w:p>
              </w:tc>
              <w:tc>
                <w:tcPr>
                  <w:tcW w:w="434" w:type="dxa"/>
                  <w:vAlign w:val="center"/>
                </w:tcPr>
                <w:p w14:paraId="42CBFC22">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块状</w:t>
                  </w:r>
                </w:p>
              </w:tc>
              <w:tc>
                <w:tcPr>
                  <w:tcW w:w="433" w:type="dxa"/>
                  <w:vAlign w:val="center"/>
                </w:tcPr>
                <w:p w14:paraId="724031C7">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壤土</w:t>
                  </w:r>
                </w:p>
              </w:tc>
              <w:tc>
                <w:tcPr>
                  <w:tcW w:w="633" w:type="dxa"/>
                  <w:vAlign w:val="center"/>
                </w:tcPr>
                <w:p w14:paraId="10AA29C1">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少量</w:t>
                  </w:r>
                </w:p>
              </w:tc>
              <w:tc>
                <w:tcPr>
                  <w:tcW w:w="417" w:type="dxa"/>
                  <w:vAlign w:val="center"/>
                </w:tcPr>
                <w:p w14:paraId="7E556700">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w:t>
                  </w:r>
                </w:p>
              </w:tc>
              <w:tc>
                <w:tcPr>
                  <w:tcW w:w="600" w:type="dxa"/>
                  <w:vAlign w:val="center"/>
                </w:tcPr>
                <w:p w14:paraId="5921D8E6">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7.61</w:t>
                  </w:r>
                </w:p>
              </w:tc>
              <w:tc>
                <w:tcPr>
                  <w:tcW w:w="667" w:type="dxa"/>
                  <w:vAlign w:val="center"/>
                </w:tcPr>
                <w:p w14:paraId="70B47CCF">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23.2</w:t>
                  </w:r>
                </w:p>
              </w:tc>
              <w:tc>
                <w:tcPr>
                  <w:tcW w:w="679" w:type="dxa"/>
                  <w:vAlign w:val="center"/>
                </w:tcPr>
                <w:p w14:paraId="37B869C1">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0.95</w:t>
                  </w:r>
                </w:p>
              </w:tc>
              <w:tc>
                <w:tcPr>
                  <w:tcW w:w="700" w:type="dxa"/>
                  <w:vAlign w:val="center"/>
                </w:tcPr>
                <w:p w14:paraId="29BCDFAA">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424</w:t>
                  </w:r>
                </w:p>
              </w:tc>
              <w:tc>
                <w:tcPr>
                  <w:tcW w:w="683" w:type="dxa"/>
                  <w:vAlign w:val="center"/>
                </w:tcPr>
                <w:p w14:paraId="59828DED">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2.28</w:t>
                  </w:r>
                </w:p>
              </w:tc>
              <w:tc>
                <w:tcPr>
                  <w:tcW w:w="616" w:type="dxa"/>
                  <w:vAlign w:val="center"/>
                </w:tcPr>
                <w:p w14:paraId="00C3CE33">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he-IL"/>
                    </w:rPr>
                    <w:t>53.2</w:t>
                  </w:r>
                </w:p>
              </w:tc>
            </w:tr>
          </w:tbl>
          <w:p w14:paraId="30E7C386">
            <w:pPr>
              <w:pStyle w:val="5"/>
              <w:ind w:firstLine="0" w:firstLineChars="0"/>
              <w:jc w:val="center"/>
              <w:rPr>
                <w:rFonts w:hint="default" w:ascii="Times New Roman" w:hAnsi="Times New Roman" w:cs="Times New Roman"/>
                <w:b/>
                <w:color w:val="auto"/>
                <w:sz w:val="21"/>
                <w:szCs w:val="21"/>
                <w:highlight w:val="none"/>
              </w:rPr>
            </w:pPr>
          </w:p>
          <w:p w14:paraId="7D88A054">
            <w:pPr>
              <w:pStyle w:val="5"/>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eastAsia" w:cs="Times New Roman"/>
                <w:b/>
                <w:color w:val="auto"/>
                <w:sz w:val="21"/>
                <w:szCs w:val="21"/>
                <w:highlight w:val="none"/>
                <w:lang w:val="en-US" w:eastAsia="zh-CN"/>
              </w:rPr>
              <w:t>3-7</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柱状样土壤环境质量现状监测结果</w:t>
            </w:r>
            <w:r>
              <w:rPr>
                <w:rFonts w:hint="eastAsia" w:cs="Times New Roman"/>
                <w:b/>
                <w:bCs/>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单位：mg/kg</w:t>
            </w:r>
          </w:p>
          <w:tbl>
            <w:tblPr>
              <w:tblStyle w:val="25"/>
              <w:tblW w:w="8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582"/>
              <w:gridCol w:w="585"/>
              <w:gridCol w:w="604"/>
              <w:gridCol w:w="587"/>
              <w:gridCol w:w="587"/>
              <w:gridCol w:w="602"/>
              <w:gridCol w:w="587"/>
              <w:gridCol w:w="587"/>
              <w:gridCol w:w="607"/>
              <w:gridCol w:w="822"/>
              <w:gridCol w:w="675"/>
            </w:tblGrid>
            <w:tr w14:paraId="4033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76" w:type="pct"/>
                  <w:vMerge w:val="restart"/>
                  <w:vAlign w:val="center"/>
                </w:tcPr>
                <w:p w14:paraId="0B03B667">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1044" w:type="pct"/>
                  <w:gridSpan w:val="3"/>
                  <w:vAlign w:val="center"/>
                </w:tcPr>
                <w:p w14:paraId="5585A209">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柱状样T1</w:t>
                  </w:r>
                </w:p>
              </w:tc>
              <w:tc>
                <w:tcPr>
                  <w:tcW w:w="1047" w:type="pct"/>
                  <w:gridSpan w:val="3"/>
                  <w:vAlign w:val="center"/>
                </w:tcPr>
                <w:p w14:paraId="1867A671">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柱状样T2</w:t>
                  </w:r>
                </w:p>
              </w:tc>
              <w:tc>
                <w:tcPr>
                  <w:tcW w:w="1049" w:type="pct"/>
                  <w:gridSpan w:val="3"/>
                  <w:vAlign w:val="center"/>
                </w:tcPr>
                <w:p w14:paraId="4A7ABBC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柱状样T3</w:t>
                  </w:r>
                </w:p>
              </w:tc>
              <w:tc>
                <w:tcPr>
                  <w:tcW w:w="484" w:type="pct"/>
                  <w:vAlign w:val="center"/>
                </w:tcPr>
                <w:p w14:paraId="2E320809">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标准值</w:t>
                  </w:r>
                </w:p>
              </w:tc>
              <w:tc>
                <w:tcPr>
                  <w:tcW w:w="397" w:type="pct"/>
                  <w:vMerge w:val="restart"/>
                  <w:vAlign w:val="center"/>
                </w:tcPr>
                <w:p w14:paraId="64A65B8D">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达标情况</w:t>
                  </w:r>
                </w:p>
              </w:tc>
            </w:tr>
            <w:tr w14:paraId="1B07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76" w:type="pct"/>
                  <w:vMerge w:val="continue"/>
                  <w:vAlign w:val="center"/>
                </w:tcPr>
                <w:p w14:paraId="15FCEF6B">
                  <w:pPr>
                    <w:adjustRightInd w:val="0"/>
                    <w:snapToGrid w:val="0"/>
                    <w:jc w:val="center"/>
                    <w:rPr>
                      <w:rFonts w:hint="default" w:ascii="Times New Roman" w:hAnsi="Times New Roman" w:cs="Times New Roman"/>
                      <w:color w:val="auto"/>
                      <w:szCs w:val="21"/>
                      <w:highlight w:val="none"/>
                    </w:rPr>
                  </w:pPr>
                </w:p>
              </w:tc>
              <w:tc>
                <w:tcPr>
                  <w:tcW w:w="343" w:type="pct"/>
                  <w:vAlign w:val="center"/>
                </w:tcPr>
                <w:p w14:paraId="47318886">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0-0.5m</w:t>
                  </w:r>
                </w:p>
              </w:tc>
              <w:tc>
                <w:tcPr>
                  <w:tcW w:w="344" w:type="pct"/>
                  <w:vAlign w:val="center"/>
                </w:tcPr>
                <w:p w14:paraId="06C892EB">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0.5-1.5m</w:t>
                  </w:r>
                </w:p>
              </w:tc>
              <w:tc>
                <w:tcPr>
                  <w:tcW w:w="356" w:type="pct"/>
                  <w:vAlign w:val="center"/>
                </w:tcPr>
                <w:p w14:paraId="1796CB3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1.5-3.0m</w:t>
                  </w:r>
                </w:p>
              </w:tc>
              <w:tc>
                <w:tcPr>
                  <w:tcW w:w="346" w:type="pct"/>
                  <w:vAlign w:val="center"/>
                </w:tcPr>
                <w:p w14:paraId="38FAD12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0-0.5m</w:t>
                  </w:r>
                </w:p>
              </w:tc>
              <w:tc>
                <w:tcPr>
                  <w:tcW w:w="346" w:type="pct"/>
                  <w:vAlign w:val="center"/>
                </w:tcPr>
                <w:p w14:paraId="5E78FD14">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0.5-1.5m</w:t>
                  </w:r>
                </w:p>
              </w:tc>
              <w:tc>
                <w:tcPr>
                  <w:tcW w:w="354" w:type="pct"/>
                  <w:vAlign w:val="center"/>
                </w:tcPr>
                <w:p w14:paraId="4421ED6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1.5-3.0m</w:t>
                  </w:r>
                </w:p>
              </w:tc>
              <w:tc>
                <w:tcPr>
                  <w:tcW w:w="346" w:type="pct"/>
                  <w:vAlign w:val="center"/>
                </w:tcPr>
                <w:p w14:paraId="549C2D63">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0-0.5m</w:t>
                  </w:r>
                </w:p>
              </w:tc>
              <w:tc>
                <w:tcPr>
                  <w:tcW w:w="346" w:type="pct"/>
                  <w:vAlign w:val="center"/>
                </w:tcPr>
                <w:p w14:paraId="256A3346">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0.5-1.5m</w:t>
                  </w:r>
                </w:p>
              </w:tc>
              <w:tc>
                <w:tcPr>
                  <w:tcW w:w="357" w:type="pct"/>
                  <w:vAlign w:val="center"/>
                </w:tcPr>
                <w:p w14:paraId="371B9FC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1.5-3.0m</w:t>
                  </w:r>
                </w:p>
              </w:tc>
              <w:tc>
                <w:tcPr>
                  <w:tcW w:w="484" w:type="pct"/>
                  <w:vAlign w:val="center"/>
                </w:tcPr>
                <w:p w14:paraId="768EC56D">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二类用地筛选值</w:t>
                  </w:r>
                </w:p>
              </w:tc>
              <w:tc>
                <w:tcPr>
                  <w:tcW w:w="397" w:type="pct"/>
                  <w:vMerge w:val="continue"/>
                  <w:vAlign w:val="center"/>
                </w:tcPr>
                <w:p w14:paraId="1BF08570">
                  <w:pPr>
                    <w:adjustRightInd w:val="0"/>
                    <w:snapToGrid w:val="0"/>
                    <w:jc w:val="center"/>
                    <w:rPr>
                      <w:rFonts w:hint="default" w:ascii="Times New Roman" w:hAnsi="Times New Roman" w:cs="Times New Roman"/>
                      <w:b/>
                      <w:bCs/>
                      <w:color w:val="auto"/>
                      <w:szCs w:val="21"/>
                      <w:highlight w:val="none"/>
                    </w:rPr>
                  </w:pPr>
                </w:p>
              </w:tc>
            </w:tr>
            <w:tr w14:paraId="0864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22FD252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砷</w:t>
                  </w:r>
                </w:p>
              </w:tc>
              <w:tc>
                <w:tcPr>
                  <w:tcW w:w="343" w:type="pct"/>
                  <w:vAlign w:val="center"/>
                </w:tcPr>
                <w:p w14:paraId="25F84CB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44" w:type="pct"/>
                  <w:vAlign w:val="center"/>
                </w:tcPr>
                <w:p w14:paraId="06D3673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56" w:type="pct"/>
                  <w:vAlign w:val="center"/>
                </w:tcPr>
                <w:p w14:paraId="23C255F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46" w:type="pct"/>
                  <w:vAlign w:val="center"/>
                </w:tcPr>
                <w:p w14:paraId="3F8064B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0.50</w:t>
                  </w:r>
                </w:p>
              </w:tc>
              <w:tc>
                <w:tcPr>
                  <w:tcW w:w="346" w:type="pct"/>
                  <w:vAlign w:val="center"/>
                </w:tcPr>
                <w:p w14:paraId="2993ED7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0.59</w:t>
                  </w:r>
                </w:p>
              </w:tc>
              <w:tc>
                <w:tcPr>
                  <w:tcW w:w="354" w:type="pct"/>
                  <w:vAlign w:val="center"/>
                </w:tcPr>
                <w:p w14:paraId="17764EC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0.01L</w:t>
                  </w:r>
                </w:p>
              </w:tc>
              <w:tc>
                <w:tcPr>
                  <w:tcW w:w="346" w:type="pct"/>
                  <w:vAlign w:val="center"/>
                </w:tcPr>
                <w:p w14:paraId="7CC5A21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1.68</w:t>
                  </w:r>
                </w:p>
              </w:tc>
              <w:tc>
                <w:tcPr>
                  <w:tcW w:w="346" w:type="pct"/>
                  <w:vAlign w:val="center"/>
                </w:tcPr>
                <w:p w14:paraId="4E302A9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1.07</w:t>
                  </w:r>
                </w:p>
              </w:tc>
              <w:tc>
                <w:tcPr>
                  <w:tcW w:w="357" w:type="pct"/>
                  <w:vAlign w:val="center"/>
                </w:tcPr>
                <w:p w14:paraId="29951EE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2.90</w:t>
                  </w:r>
                </w:p>
              </w:tc>
              <w:tc>
                <w:tcPr>
                  <w:tcW w:w="484" w:type="pct"/>
                  <w:vAlign w:val="center"/>
                </w:tcPr>
                <w:p w14:paraId="57E0EA4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397" w:type="pct"/>
                  <w:vAlign w:val="center"/>
                </w:tcPr>
                <w:p w14:paraId="6B856AE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022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599E88B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镉</w:t>
                  </w:r>
                </w:p>
              </w:tc>
              <w:tc>
                <w:tcPr>
                  <w:tcW w:w="343" w:type="pct"/>
                  <w:vAlign w:val="center"/>
                </w:tcPr>
                <w:p w14:paraId="5203E98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0.14</w:t>
                  </w:r>
                </w:p>
              </w:tc>
              <w:tc>
                <w:tcPr>
                  <w:tcW w:w="344" w:type="pct"/>
                  <w:vAlign w:val="center"/>
                </w:tcPr>
                <w:p w14:paraId="5C50CEA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0.11</w:t>
                  </w:r>
                </w:p>
              </w:tc>
              <w:tc>
                <w:tcPr>
                  <w:tcW w:w="356" w:type="pct"/>
                  <w:vAlign w:val="center"/>
                </w:tcPr>
                <w:p w14:paraId="683FFF6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0.13</w:t>
                  </w:r>
                </w:p>
              </w:tc>
              <w:tc>
                <w:tcPr>
                  <w:tcW w:w="346" w:type="pct"/>
                  <w:vAlign w:val="center"/>
                </w:tcPr>
                <w:p w14:paraId="42243CD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0.07</w:t>
                  </w:r>
                </w:p>
              </w:tc>
              <w:tc>
                <w:tcPr>
                  <w:tcW w:w="346" w:type="pct"/>
                  <w:vAlign w:val="center"/>
                </w:tcPr>
                <w:p w14:paraId="74B5D16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0.19</w:t>
                  </w:r>
                </w:p>
              </w:tc>
              <w:tc>
                <w:tcPr>
                  <w:tcW w:w="354" w:type="pct"/>
                  <w:vAlign w:val="center"/>
                </w:tcPr>
                <w:p w14:paraId="5EF9728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0.11</w:t>
                  </w:r>
                </w:p>
              </w:tc>
              <w:tc>
                <w:tcPr>
                  <w:tcW w:w="346" w:type="pct"/>
                  <w:vAlign w:val="center"/>
                </w:tcPr>
                <w:p w14:paraId="2DC96FE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0.14</w:t>
                  </w:r>
                </w:p>
              </w:tc>
              <w:tc>
                <w:tcPr>
                  <w:tcW w:w="346" w:type="pct"/>
                  <w:vAlign w:val="center"/>
                </w:tcPr>
                <w:p w14:paraId="286AAC7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w:t>
                  </w:r>
                </w:p>
              </w:tc>
              <w:tc>
                <w:tcPr>
                  <w:tcW w:w="357" w:type="pct"/>
                  <w:vAlign w:val="center"/>
                </w:tcPr>
                <w:p w14:paraId="0910694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0.14</w:t>
                  </w:r>
                </w:p>
              </w:tc>
              <w:tc>
                <w:tcPr>
                  <w:tcW w:w="484" w:type="pct"/>
                  <w:vAlign w:val="center"/>
                </w:tcPr>
                <w:p w14:paraId="4C2A00B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w:t>
                  </w:r>
                </w:p>
              </w:tc>
              <w:tc>
                <w:tcPr>
                  <w:tcW w:w="397" w:type="pct"/>
                  <w:vAlign w:val="center"/>
                </w:tcPr>
                <w:p w14:paraId="51AEA54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E83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1E6BC5E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铜</w:t>
                  </w:r>
                </w:p>
              </w:tc>
              <w:tc>
                <w:tcPr>
                  <w:tcW w:w="343" w:type="pct"/>
                  <w:vAlign w:val="center"/>
                </w:tcPr>
                <w:p w14:paraId="650E408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296</w:t>
                  </w:r>
                </w:p>
              </w:tc>
              <w:tc>
                <w:tcPr>
                  <w:tcW w:w="344" w:type="pct"/>
                  <w:vAlign w:val="center"/>
                </w:tcPr>
                <w:p w14:paraId="032AF6F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294</w:t>
                  </w:r>
                </w:p>
              </w:tc>
              <w:tc>
                <w:tcPr>
                  <w:tcW w:w="356" w:type="pct"/>
                  <w:vAlign w:val="center"/>
                </w:tcPr>
                <w:p w14:paraId="242117A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w:t>
                  </w:r>
                </w:p>
              </w:tc>
              <w:tc>
                <w:tcPr>
                  <w:tcW w:w="346" w:type="pct"/>
                  <w:vAlign w:val="center"/>
                </w:tcPr>
                <w:p w14:paraId="493ED70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349</w:t>
                  </w:r>
                </w:p>
              </w:tc>
              <w:tc>
                <w:tcPr>
                  <w:tcW w:w="346" w:type="pct"/>
                  <w:vAlign w:val="center"/>
                </w:tcPr>
                <w:p w14:paraId="27DBA86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343</w:t>
                  </w:r>
                </w:p>
              </w:tc>
              <w:tc>
                <w:tcPr>
                  <w:tcW w:w="354" w:type="pct"/>
                  <w:vAlign w:val="center"/>
                </w:tcPr>
                <w:p w14:paraId="511CA97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340</w:t>
                  </w:r>
                </w:p>
              </w:tc>
              <w:tc>
                <w:tcPr>
                  <w:tcW w:w="346" w:type="pct"/>
                  <w:vAlign w:val="center"/>
                </w:tcPr>
                <w:p w14:paraId="3D5E288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346" w:type="pct"/>
                  <w:vAlign w:val="center"/>
                </w:tcPr>
                <w:p w14:paraId="77143D4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373</w:t>
                  </w:r>
                </w:p>
              </w:tc>
              <w:tc>
                <w:tcPr>
                  <w:tcW w:w="357" w:type="pct"/>
                  <w:vAlign w:val="center"/>
                </w:tcPr>
                <w:p w14:paraId="4645877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286</w:t>
                  </w:r>
                </w:p>
              </w:tc>
              <w:tc>
                <w:tcPr>
                  <w:tcW w:w="484" w:type="pct"/>
                  <w:vAlign w:val="center"/>
                </w:tcPr>
                <w:p w14:paraId="7FEB152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18000</w:t>
                  </w:r>
                </w:p>
              </w:tc>
              <w:tc>
                <w:tcPr>
                  <w:tcW w:w="397" w:type="pct"/>
                  <w:vAlign w:val="center"/>
                </w:tcPr>
                <w:p w14:paraId="6DE6427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35D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2A1A4072">
                  <w:pPr>
                    <w:widowControl/>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铅</w:t>
                  </w:r>
                </w:p>
              </w:tc>
              <w:tc>
                <w:tcPr>
                  <w:tcW w:w="343" w:type="pct"/>
                  <w:vAlign w:val="center"/>
                </w:tcPr>
                <w:p w14:paraId="4228F03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4" w:type="pct"/>
                  <w:vAlign w:val="center"/>
                </w:tcPr>
                <w:p w14:paraId="6577239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6" w:type="pct"/>
                  <w:vAlign w:val="center"/>
                </w:tcPr>
                <w:p w14:paraId="10C992C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66C0758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18A5AF1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4" w:type="pct"/>
                  <w:vAlign w:val="center"/>
                </w:tcPr>
                <w:p w14:paraId="1C5A71F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117D1FD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5A2DB9B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7" w:type="pct"/>
                  <w:vAlign w:val="center"/>
                </w:tcPr>
                <w:p w14:paraId="680D47D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484" w:type="pct"/>
                  <w:vAlign w:val="center"/>
                </w:tcPr>
                <w:p w14:paraId="286069A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800</w:t>
                  </w:r>
                </w:p>
              </w:tc>
              <w:tc>
                <w:tcPr>
                  <w:tcW w:w="397" w:type="pct"/>
                  <w:vAlign w:val="center"/>
                </w:tcPr>
                <w:p w14:paraId="10DA45A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9B9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7154946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汞</w:t>
                  </w:r>
                </w:p>
              </w:tc>
              <w:tc>
                <w:tcPr>
                  <w:tcW w:w="343" w:type="pct"/>
                  <w:vAlign w:val="center"/>
                </w:tcPr>
                <w:p w14:paraId="32682C4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0.038</w:t>
                  </w:r>
                </w:p>
              </w:tc>
              <w:tc>
                <w:tcPr>
                  <w:tcW w:w="344" w:type="pct"/>
                  <w:vAlign w:val="center"/>
                </w:tcPr>
                <w:p w14:paraId="1C68AE2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0.034</w:t>
                  </w:r>
                </w:p>
              </w:tc>
              <w:tc>
                <w:tcPr>
                  <w:tcW w:w="356" w:type="pct"/>
                  <w:vAlign w:val="center"/>
                </w:tcPr>
                <w:p w14:paraId="3C56476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0.045</w:t>
                  </w:r>
                </w:p>
              </w:tc>
              <w:tc>
                <w:tcPr>
                  <w:tcW w:w="346" w:type="pct"/>
                  <w:vAlign w:val="center"/>
                </w:tcPr>
                <w:p w14:paraId="6F87B4E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0.072</w:t>
                  </w:r>
                </w:p>
              </w:tc>
              <w:tc>
                <w:tcPr>
                  <w:tcW w:w="346" w:type="pct"/>
                  <w:vAlign w:val="center"/>
                </w:tcPr>
                <w:p w14:paraId="36553CF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0.083</w:t>
                  </w:r>
                </w:p>
              </w:tc>
              <w:tc>
                <w:tcPr>
                  <w:tcW w:w="354" w:type="pct"/>
                  <w:vAlign w:val="center"/>
                </w:tcPr>
                <w:p w14:paraId="2AAB60E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0.035</w:t>
                  </w:r>
                </w:p>
              </w:tc>
              <w:tc>
                <w:tcPr>
                  <w:tcW w:w="346" w:type="pct"/>
                  <w:vAlign w:val="center"/>
                </w:tcPr>
                <w:p w14:paraId="34A79A5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0.037</w:t>
                  </w:r>
                </w:p>
              </w:tc>
              <w:tc>
                <w:tcPr>
                  <w:tcW w:w="346" w:type="pct"/>
                  <w:vAlign w:val="center"/>
                </w:tcPr>
                <w:p w14:paraId="248A3DC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0.021</w:t>
                  </w:r>
                </w:p>
              </w:tc>
              <w:tc>
                <w:tcPr>
                  <w:tcW w:w="357" w:type="pct"/>
                  <w:vAlign w:val="center"/>
                </w:tcPr>
                <w:p w14:paraId="2C1C5E6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0.098</w:t>
                  </w:r>
                </w:p>
              </w:tc>
              <w:tc>
                <w:tcPr>
                  <w:tcW w:w="484" w:type="pct"/>
                  <w:vAlign w:val="center"/>
                </w:tcPr>
                <w:p w14:paraId="756DE9E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38</w:t>
                  </w:r>
                </w:p>
              </w:tc>
              <w:tc>
                <w:tcPr>
                  <w:tcW w:w="397" w:type="pct"/>
                  <w:vAlign w:val="center"/>
                </w:tcPr>
                <w:p w14:paraId="0DA274A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19B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5F8B31D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镍</w:t>
                  </w:r>
                </w:p>
              </w:tc>
              <w:tc>
                <w:tcPr>
                  <w:tcW w:w="343" w:type="pct"/>
                  <w:vAlign w:val="center"/>
                </w:tcPr>
                <w:p w14:paraId="062F01D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146</w:t>
                  </w:r>
                </w:p>
              </w:tc>
              <w:tc>
                <w:tcPr>
                  <w:tcW w:w="344" w:type="pct"/>
                  <w:vAlign w:val="center"/>
                </w:tcPr>
                <w:p w14:paraId="32E7CA6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w:t>
                  </w:r>
                </w:p>
              </w:tc>
              <w:tc>
                <w:tcPr>
                  <w:tcW w:w="356" w:type="pct"/>
                  <w:vAlign w:val="center"/>
                </w:tcPr>
                <w:p w14:paraId="05D834E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w:t>
                  </w:r>
                </w:p>
              </w:tc>
              <w:tc>
                <w:tcPr>
                  <w:tcW w:w="346" w:type="pct"/>
                  <w:vAlign w:val="center"/>
                </w:tcPr>
                <w:p w14:paraId="0D8C17B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130</w:t>
                  </w:r>
                </w:p>
              </w:tc>
              <w:tc>
                <w:tcPr>
                  <w:tcW w:w="346" w:type="pct"/>
                  <w:vAlign w:val="center"/>
                </w:tcPr>
                <w:p w14:paraId="4D342CB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126</w:t>
                  </w:r>
                </w:p>
              </w:tc>
              <w:tc>
                <w:tcPr>
                  <w:tcW w:w="354" w:type="pct"/>
                  <w:vAlign w:val="center"/>
                </w:tcPr>
                <w:p w14:paraId="53BA74B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163</w:t>
                  </w:r>
                </w:p>
              </w:tc>
              <w:tc>
                <w:tcPr>
                  <w:tcW w:w="346" w:type="pct"/>
                  <w:vAlign w:val="center"/>
                </w:tcPr>
                <w:p w14:paraId="193FAAF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129</w:t>
                  </w:r>
                </w:p>
              </w:tc>
              <w:tc>
                <w:tcPr>
                  <w:tcW w:w="346" w:type="pct"/>
                  <w:vAlign w:val="center"/>
                </w:tcPr>
                <w:p w14:paraId="2ED80BC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357" w:type="pct"/>
                  <w:vAlign w:val="center"/>
                </w:tcPr>
                <w:p w14:paraId="6976F56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151</w:t>
                  </w:r>
                </w:p>
              </w:tc>
              <w:tc>
                <w:tcPr>
                  <w:tcW w:w="484" w:type="pct"/>
                  <w:vAlign w:val="center"/>
                </w:tcPr>
                <w:p w14:paraId="239D6A4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900</w:t>
                  </w:r>
                </w:p>
              </w:tc>
              <w:tc>
                <w:tcPr>
                  <w:tcW w:w="397" w:type="pct"/>
                  <w:vAlign w:val="center"/>
                </w:tcPr>
                <w:p w14:paraId="4A2141B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248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5655C63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氟化物</w:t>
                  </w:r>
                </w:p>
              </w:tc>
              <w:tc>
                <w:tcPr>
                  <w:tcW w:w="343" w:type="pct"/>
                  <w:vAlign w:val="center"/>
                </w:tcPr>
                <w:p w14:paraId="6D6A856E">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30.1</w:t>
                  </w:r>
                </w:p>
              </w:tc>
              <w:tc>
                <w:tcPr>
                  <w:tcW w:w="344" w:type="pct"/>
                  <w:vAlign w:val="center"/>
                </w:tcPr>
                <w:p w14:paraId="7EAD1928">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35.7</w:t>
                  </w:r>
                </w:p>
              </w:tc>
              <w:tc>
                <w:tcPr>
                  <w:tcW w:w="356" w:type="pct"/>
                  <w:vAlign w:val="center"/>
                </w:tcPr>
                <w:p w14:paraId="26C66069">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39.5</w:t>
                  </w:r>
                </w:p>
              </w:tc>
              <w:tc>
                <w:tcPr>
                  <w:tcW w:w="346" w:type="pct"/>
                  <w:vAlign w:val="center"/>
                </w:tcPr>
                <w:p w14:paraId="65CCB08D">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16.5</w:t>
                  </w:r>
                </w:p>
              </w:tc>
              <w:tc>
                <w:tcPr>
                  <w:tcW w:w="346" w:type="pct"/>
                  <w:vAlign w:val="center"/>
                </w:tcPr>
                <w:p w14:paraId="24840802">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25.7</w:t>
                  </w:r>
                </w:p>
              </w:tc>
              <w:tc>
                <w:tcPr>
                  <w:tcW w:w="354" w:type="pct"/>
                  <w:vAlign w:val="center"/>
                </w:tcPr>
                <w:p w14:paraId="0F49FBDE">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29.1</w:t>
                  </w:r>
                </w:p>
              </w:tc>
              <w:tc>
                <w:tcPr>
                  <w:tcW w:w="346" w:type="pct"/>
                  <w:vAlign w:val="center"/>
                </w:tcPr>
                <w:p w14:paraId="547A8D24">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29.7</w:t>
                  </w:r>
                </w:p>
              </w:tc>
              <w:tc>
                <w:tcPr>
                  <w:tcW w:w="346" w:type="pct"/>
                  <w:vAlign w:val="center"/>
                </w:tcPr>
                <w:p w14:paraId="3A07E543">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32.8</w:t>
                  </w:r>
                </w:p>
              </w:tc>
              <w:tc>
                <w:tcPr>
                  <w:tcW w:w="357" w:type="pct"/>
                  <w:vAlign w:val="center"/>
                </w:tcPr>
                <w:p w14:paraId="777C0EE8">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46.6</w:t>
                  </w:r>
                </w:p>
              </w:tc>
              <w:tc>
                <w:tcPr>
                  <w:tcW w:w="484" w:type="pct"/>
                  <w:vAlign w:val="center"/>
                </w:tcPr>
                <w:p w14:paraId="0A114F0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97" w:type="pct"/>
                  <w:vAlign w:val="center"/>
                </w:tcPr>
                <w:p w14:paraId="406D858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E11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134B3C3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pH值</w:t>
                  </w:r>
                </w:p>
              </w:tc>
              <w:tc>
                <w:tcPr>
                  <w:tcW w:w="343" w:type="pct"/>
                  <w:vAlign w:val="center"/>
                </w:tcPr>
                <w:p w14:paraId="6A442CD7">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6.10</w:t>
                  </w:r>
                </w:p>
              </w:tc>
              <w:tc>
                <w:tcPr>
                  <w:tcW w:w="344" w:type="pct"/>
                  <w:vAlign w:val="center"/>
                </w:tcPr>
                <w:p w14:paraId="2E04BBA3">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5.56</w:t>
                  </w:r>
                </w:p>
              </w:tc>
              <w:tc>
                <w:tcPr>
                  <w:tcW w:w="356" w:type="pct"/>
                  <w:vAlign w:val="center"/>
                </w:tcPr>
                <w:p w14:paraId="3E94C6BA">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5.23</w:t>
                  </w:r>
                </w:p>
              </w:tc>
              <w:tc>
                <w:tcPr>
                  <w:tcW w:w="346" w:type="pct"/>
                  <w:vAlign w:val="center"/>
                </w:tcPr>
                <w:p w14:paraId="23C99A86">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5.18</w:t>
                  </w:r>
                </w:p>
              </w:tc>
              <w:tc>
                <w:tcPr>
                  <w:tcW w:w="346" w:type="pct"/>
                  <w:vAlign w:val="center"/>
                </w:tcPr>
                <w:p w14:paraId="6458BDBB">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5.31</w:t>
                  </w:r>
                </w:p>
              </w:tc>
              <w:tc>
                <w:tcPr>
                  <w:tcW w:w="354" w:type="pct"/>
                  <w:vAlign w:val="center"/>
                </w:tcPr>
                <w:p w14:paraId="25B35AC6">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6.23</w:t>
                  </w:r>
                </w:p>
              </w:tc>
              <w:tc>
                <w:tcPr>
                  <w:tcW w:w="346" w:type="pct"/>
                  <w:vAlign w:val="center"/>
                </w:tcPr>
                <w:p w14:paraId="23057277">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6.30</w:t>
                  </w:r>
                </w:p>
              </w:tc>
              <w:tc>
                <w:tcPr>
                  <w:tcW w:w="346" w:type="pct"/>
                  <w:vAlign w:val="center"/>
                </w:tcPr>
                <w:p w14:paraId="31C7F065">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4.98</w:t>
                  </w:r>
                </w:p>
              </w:tc>
              <w:tc>
                <w:tcPr>
                  <w:tcW w:w="357" w:type="pct"/>
                  <w:vAlign w:val="center"/>
                </w:tcPr>
                <w:p w14:paraId="380667E6">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5.43</w:t>
                  </w:r>
                </w:p>
              </w:tc>
              <w:tc>
                <w:tcPr>
                  <w:tcW w:w="484" w:type="pct"/>
                  <w:vAlign w:val="center"/>
                </w:tcPr>
                <w:p w14:paraId="2C2A25B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97" w:type="pct"/>
                  <w:vAlign w:val="center"/>
                </w:tcPr>
                <w:p w14:paraId="45FCF6E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C29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223F73D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阳离子交换量</w:t>
                  </w:r>
                </w:p>
              </w:tc>
              <w:tc>
                <w:tcPr>
                  <w:tcW w:w="343" w:type="pct"/>
                  <w:vAlign w:val="center"/>
                </w:tcPr>
                <w:p w14:paraId="629D9E69">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24.4</w:t>
                  </w:r>
                </w:p>
              </w:tc>
              <w:tc>
                <w:tcPr>
                  <w:tcW w:w="344" w:type="pct"/>
                  <w:vAlign w:val="center"/>
                </w:tcPr>
                <w:p w14:paraId="01F25F4E">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22.2</w:t>
                  </w:r>
                </w:p>
              </w:tc>
              <w:tc>
                <w:tcPr>
                  <w:tcW w:w="356" w:type="pct"/>
                  <w:vAlign w:val="center"/>
                </w:tcPr>
                <w:p w14:paraId="233B79FF">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23.0</w:t>
                  </w:r>
                </w:p>
              </w:tc>
              <w:tc>
                <w:tcPr>
                  <w:tcW w:w="346" w:type="pct"/>
                  <w:vAlign w:val="center"/>
                </w:tcPr>
                <w:p w14:paraId="582B7710">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19.0</w:t>
                  </w:r>
                </w:p>
              </w:tc>
              <w:tc>
                <w:tcPr>
                  <w:tcW w:w="346" w:type="pct"/>
                  <w:vAlign w:val="center"/>
                </w:tcPr>
                <w:p w14:paraId="2B54B12B">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19.2</w:t>
                  </w:r>
                </w:p>
              </w:tc>
              <w:tc>
                <w:tcPr>
                  <w:tcW w:w="354" w:type="pct"/>
                  <w:vAlign w:val="center"/>
                </w:tcPr>
                <w:p w14:paraId="18B1594C">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20.1</w:t>
                  </w:r>
                </w:p>
              </w:tc>
              <w:tc>
                <w:tcPr>
                  <w:tcW w:w="346" w:type="pct"/>
                  <w:vAlign w:val="center"/>
                </w:tcPr>
                <w:p w14:paraId="232DD08E">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1.00</w:t>
                  </w:r>
                </w:p>
              </w:tc>
              <w:tc>
                <w:tcPr>
                  <w:tcW w:w="346" w:type="pct"/>
                  <w:vAlign w:val="center"/>
                </w:tcPr>
                <w:p w14:paraId="38217610">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22.5</w:t>
                  </w:r>
                </w:p>
              </w:tc>
              <w:tc>
                <w:tcPr>
                  <w:tcW w:w="357" w:type="pct"/>
                  <w:vAlign w:val="center"/>
                </w:tcPr>
                <w:p w14:paraId="1FF65755">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21.7</w:t>
                  </w:r>
                </w:p>
              </w:tc>
              <w:tc>
                <w:tcPr>
                  <w:tcW w:w="484" w:type="pct"/>
                  <w:vAlign w:val="center"/>
                </w:tcPr>
                <w:p w14:paraId="14A7D51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97" w:type="pct"/>
                  <w:vAlign w:val="center"/>
                </w:tcPr>
                <w:p w14:paraId="50F3DDC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3AB0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7D96B8E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土壤容重</w:t>
                  </w:r>
                </w:p>
              </w:tc>
              <w:tc>
                <w:tcPr>
                  <w:tcW w:w="343" w:type="pct"/>
                  <w:vAlign w:val="center"/>
                </w:tcPr>
                <w:p w14:paraId="01A92C9F">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1.09</w:t>
                  </w:r>
                </w:p>
              </w:tc>
              <w:tc>
                <w:tcPr>
                  <w:tcW w:w="344" w:type="pct"/>
                  <w:vAlign w:val="center"/>
                </w:tcPr>
                <w:p w14:paraId="4B0BDC00">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1.37</w:t>
                  </w:r>
                </w:p>
              </w:tc>
              <w:tc>
                <w:tcPr>
                  <w:tcW w:w="356" w:type="pct"/>
                  <w:vAlign w:val="center"/>
                </w:tcPr>
                <w:p w14:paraId="3A48E37B">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1.15</w:t>
                  </w:r>
                </w:p>
              </w:tc>
              <w:tc>
                <w:tcPr>
                  <w:tcW w:w="346" w:type="pct"/>
                  <w:vAlign w:val="center"/>
                </w:tcPr>
                <w:p w14:paraId="3F2D3B56">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1.05</w:t>
                  </w:r>
                </w:p>
              </w:tc>
              <w:tc>
                <w:tcPr>
                  <w:tcW w:w="346" w:type="pct"/>
                  <w:vAlign w:val="center"/>
                </w:tcPr>
                <w:p w14:paraId="1BF34496">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1.25</w:t>
                  </w:r>
                </w:p>
              </w:tc>
              <w:tc>
                <w:tcPr>
                  <w:tcW w:w="354" w:type="pct"/>
                  <w:vAlign w:val="center"/>
                </w:tcPr>
                <w:p w14:paraId="17125842">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1.13</w:t>
                  </w:r>
                </w:p>
              </w:tc>
              <w:tc>
                <w:tcPr>
                  <w:tcW w:w="346" w:type="pct"/>
                  <w:vAlign w:val="center"/>
                </w:tcPr>
                <w:p w14:paraId="1272716C">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14.8</w:t>
                  </w:r>
                </w:p>
              </w:tc>
              <w:tc>
                <w:tcPr>
                  <w:tcW w:w="346" w:type="pct"/>
                  <w:vAlign w:val="center"/>
                </w:tcPr>
                <w:p w14:paraId="1ED64CD6">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1.33</w:t>
                  </w:r>
                </w:p>
              </w:tc>
              <w:tc>
                <w:tcPr>
                  <w:tcW w:w="357" w:type="pct"/>
                  <w:vAlign w:val="center"/>
                </w:tcPr>
                <w:p w14:paraId="571F2B63">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1.06</w:t>
                  </w:r>
                </w:p>
              </w:tc>
              <w:tc>
                <w:tcPr>
                  <w:tcW w:w="484" w:type="pct"/>
                  <w:vAlign w:val="center"/>
                </w:tcPr>
                <w:p w14:paraId="1914138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97" w:type="pct"/>
                  <w:vAlign w:val="center"/>
                </w:tcPr>
                <w:p w14:paraId="7BA0E09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1F0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01B69DA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六价铬</w:t>
                  </w:r>
                </w:p>
              </w:tc>
              <w:tc>
                <w:tcPr>
                  <w:tcW w:w="343" w:type="pct"/>
                  <w:vAlign w:val="center"/>
                </w:tcPr>
                <w:p w14:paraId="4967304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0.5L</w:t>
                  </w:r>
                </w:p>
              </w:tc>
              <w:tc>
                <w:tcPr>
                  <w:tcW w:w="344" w:type="pct"/>
                  <w:vAlign w:val="center"/>
                </w:tcPr>
                <w:p w14:paraId="0319C3B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0.5L</w:t>
                  </w:r>
                </w:p>
              </w:tc>
              <w:tc>
                <w:tcPr>
                  <w:tcW w:w="356" w:type="pct"/>
                  <w:vAlign w:val="center"/>
                </w:tcPr>
                <w:p w14:paraId="78AD392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0.5L</w:t>
                  </w:r>
                </w:p>
              </w:tc>
              <w:tc>
                <w:tcPr>
                  <w:tcW w:w="346" w:type="pct"/>
                  <w:vAlign w:val="center"/>
                </w:tcPr>
                <w:p w14:paraId="148CB63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0.5L</w:t>
                  </w:r>
                </w:p>
              </w:tc>
              <w:tc>
                <w:tcPr>
                  <w:tcW w:w="346" w:type="pct"/>
                  <w:vAlign w:val="center"/>
                </w:tcPr>
                <w:p w14:paraId="5CC5DF6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0.5L</w:t>
                  </w:r>
                </w:p>
              </w:tc>
              <w:tc>
                <w:tcPr>
                  <w:tcW w:w="354" w:type="pct"/>
                  <w:vAlign w:val="center"/>
                </w:tcPr>
                <w:p w14:paraId="0609C25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0.5L</w:t>
                  </w:r>
                </w:p>
              </w:tc>
              <w:tc>
                <w:tcPr>
                  <w:tcW w:w="346" w:type="pct"/>
                  <w:vAlign w:val="center"/>
                </w:tcPr>
                <w:p w14:paraId="21BF9D8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0.5L</w:t>
                  </w:r>
                </w:p>
              </w:tc>
              <w:tc>
                <w:tcPr>
                  <w:tcW w:w="346" w:type="pct"/>
                  <w:vAlign w:val="center"/>
                </w:tcPr>
                <w:p w14:paraId="158BA95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0.5L</w:t>
                  </w:r>
                </w:p>
              </w:tc>
              <w:tc>
                <w:tcPr>
                  <w:tcW w:w="357" w:type="pct"/>
                  <w:vAlign w:val="center"/>
                </w:tcPr>
                <w:p w14:paraId="2AE2132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0.5L</w:t>
                  </w:r>
                </w:p>
              </w:tc>
              <w:tc>
                <w:tcPr>
                  <w:tcW w:w="484" w:type="pct"/>
                  <w:vAlign w:val="center"/>
                </w:tcPr>
                <w:p w14:paraId="71B8853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w:t>
                  </w:r>
                </w:p>
              </w:tc>
              <w:tc>
                <w:tcPr>
                  <w:tcW w:w="397" w:type="pct"/>
                  <w:vAlign w:val="center"/>
                </w:tcPr>
                <w:p w14:paraId="3A3FB6A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0F5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5FB419F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四氯化碳</w:t>
                  </w:r>
                </w:p>
              </w:tc>
              <w:tc>
                <w:tcPr>
                  <w:tcW w:w="343" w:type="pct"/>
                  <w:vAlign w:val="center"/>
                </w:tcPr>
                <w:p w14:paraId="6495EC4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4" w:type="pct"/>
                  <w:vAlign w:val="center"/>
                </w:tcPr>
                <w:p w14:paraId="65FAB23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6" w:type="pct"/>
                  <w:vAlign w:val="center"/>
                </w:tcPr>
                <w:p w14:paraId="791183B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5D65441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4D541DD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4" w:type="pct"/>
                  <w:vAlign w:val="center"/>
                </w:tcPr>
                <w:p w14:paraId="586C2D8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3607B86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5598E35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7" w:type="pct"/>
                  <w:vAlign w:val="center"/>
                </w:tcPr>
                <w:p w14:paraId="29153D6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484" w:type="pct"/>
                  <w:vAlign w:val="center"/>
                </w:tcPr>
                <w:p w14:paraId="35AB9D7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397" w:type="pct"/>
                  <w:vAlign w:val="center"/>
                </w:tcPr>
                <w:p w14:paraId="18FA86E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12C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5A7C643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氯仿</w:t>
                  </w:r>
                </w:p>
              </w:tc>
              <w:tc>
                <w:tcPr>
                  <w:tcW w:w="343" w:type="pct"/>
                  <w:vAlign w:val="center"/>
                </w:tcPr>
                <w:p w14:paraId="08CC9E3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4" w:type="pct"/>
                  <w:vAlign w:val="center"/>
                </w:tcPr>
                <w:p w14:paraId="28926E8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56" w:type="pct"/>
                  <w:vAlign w:val="center"/>
                </w:tcPr>
                <w:p w14:paraId="44E1D9B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014B0AC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17D7393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54" w:type="pct"/>
                  <w:vAlign w:val="center"/>
                </w:tcPr>
                <w:p w14:paraId="420EF45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64BC3C1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4A976B5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57" w:type="pct"/>
                  <w:vAlign w:val="center"/>
                </w:tcPr>
                <w:p w14:paraId="61520EE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484" w:type="pct"/>
                  <w:vAlign w:val="center"/>
                </w:tcPr>
                <w:p w14:paraId="641FAA2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397" w:type="pct"/>
                  <w:vAlign w:val="center"/>
                </w:tcPr>
                <w:p w14:paraId="0941CCC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E7C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6D69A25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氯甲烷</w:t>
                  </w:r>
                </w:p>
              </w:tc>
              <w:tc>
                <w:tcPr>
                  <w:tcW w:w="343" w:type="pct"/>
                  <w:vAlign w:val="center"/>
                </w:tcPr>
                <w:p w14:paraId="08F9D22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4" w:type="pct"/>
                  <w:vAlign w:val="center"/>
                </w:tcPr>
                <w:p w14:paraId="00606B7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6" w:type="pct"/>
                  <w:vAlign w:val="center"/>
                </w:tcPr>
                <w:p w14:paraId="428BBB2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31B26D4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779E070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4" w:type="pct"/>
                  <w:vAlign w:val="center"/>
                </w:tcPr>
                <w:p w14:paraId="5A8DC87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1E8A7D1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3CDEFBD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7" w:type="pct"/>
                  <w:vAlign w:val="center"/>
                </w:tcPr>
                <w:p w14:paraId="7053382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484" w:type="pct"/>
                  <w:vAlign w:val="center"/>
                </w:tcPr>
                <w:p w14:paraId="7BAD543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w:t>
                  </w:r>
                </w:p>
              </w:tc>
              <w:tc>
                <w:tcPr>
                  <w:tcW w:w="397" w:type="pct"/>
                  <w:vAlign w:val="center"/>
                </w:tcPr>
                <w:p w14:paraId="706E883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6E5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2064FB8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1,1-二氯乙烷</w:t>
                  </w:r>
                </w:p>
              </w:tc>
              <w:tc>
                <w:tcPr>
                  <w:tcW w:w="343" w:type="pct"/>
                  <w:vAlign w:val="center"/>
                </w:tcPr>
                <w:p w14:paraId="248336F7">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1.2L</w:t>
                  </w:r>
                </w:p>
              </w:tc>
              <w:tc>
                <w:tcPr>
                  <w:tcW w:w="344" w:type="pct"/>
                  <w:vAlign w:val="center"/>
                </w:tcPr>
                <w:p w14:paraId="1CDF3E1F">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1.2L</w:t>
                  </w:r>
                </w:p>
              </w:tc>
              <w:tc>
                <w:tcPr>
                  <w:tcW w:w="356" w:type="pct"/>
                  <w:vAlign w:val="center"/>
                </w:tcPr>
                <w:p w14:paraId="069E62A5">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1.2L</w:t>
                  </w:r>
                </w:p>
              </w:tc>
              <w:tc>
                <w:tcPr>
                  <w:tcW w:w="346" w:type="pct"/>
                  <w:vAlign w:val="center"/>
                </w:tcPr>
                <w:p w14:paraId="3AF2C9B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301F39C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3744C68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4B40AF7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55B6AAC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650DFA6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57450DD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397" w:type="pct"/>
                  <w:vAlign w:val="center"/>
                </w:tcPr>
                <w:p w14:paraId="0DCFA2F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E7C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3C05708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1,2-二氯乙烷</w:t>
                  </w:r>
                </w:p>
              </w:tc>
              <w:tc>
                <w:tcPr>
                  <w:tcW w:w="343" w:type="pct"/>
                  <w:vAlign w:val="center"/>
                </w:tcPr>
                <w:p w14:paraId="5E99F204">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1.3L</w:t>
                  </w:r>
                </w:p>
              </w:tc>
              <w:tc>
                <w:tcPr>
                  <w:tcW w:w="344" w:type="pct"/>
                  <w:vAlign w:val="center"/>
                </w:tcPr>
                <w:p w14:paraId="205ADD3D">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1.3L</w:t>
                  </w:r>
                </w:p>
              </w:tc>
              <w:tc>
                <w:tcPr>
                  <w:tcW w:w="356" w:type="pct"/>
                  <w:vAlign w:val="center"/>
                </w:tcPr>
                <w:p w14:paraId="08E9CBDC">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1.3L</w:t>
                  </w:r>
                </w:p>
              </w:tc>
              <w:tc>
                <w:tcPr>
                  <w:tcW w:w="346" w:type="pct"/>
                  <w:vAlign w:val="center"/>
                </w:tcPr>
                <w:p w14:paraId="65DBB03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017D00E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4" w:type="pct"/>
                  <w:vAlign w:val="center"/>
                </w:tcPr>
                <w:p w14:paraId="350D6A7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6386226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7DDBA53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7" w:type="pct"/>
                  <w:vAlign w:val="center"/>
                </w:tcPr>
                <w:p w14:paraId="7EDF6F6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484" w:type="pct"/>
                  <w:vAlign w:val="center"/>
                </w:tcPr>
                <w:p w14:paraId="5929858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397" w:type="pct"/>
                  <w:vAlign w:val="center"/>
                </w:tcPr>
                <w:p w14:paraId="2D23A91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1DB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1DC2836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1,1-二氯乙烯</w:t>
                  </w:r>
                </w:p>
              </w:tc>
              <w:tc>
                <w:tcPr>
                  <w:tcW w:w="343" w:type="pct"/>
                  <w:vAlign w:val="center"/>
                </w:tcPr>
                <w:p w14:paraId="5FB877C3">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1.0L</w:t>
                  </w:r>
                </w:p>
              </w:tc>
              <w:tc>
                <w:tcPr>
                  <w:tcW w:w="344" w:type="pct"/>
                  <w:vAlign w:val="center"/>
                </w:tcPr>
                <w:p w14:paraId="5BF56AEC">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1.2L</w:t>
                  </w:r>
                </w:p>
              </w:tc>
              <w:tc>
                <w:tcPr>
                  <w:tcW w:w="356" w:type="pct"/>
                  <w:vAlign w:val="center"/>
                </w:tcPr>
                <w:p w14:paraId="4CA3797E">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1.0L</w:t>
                  </w:r>
                </w:p>
              </w:tc>
              <w:tc>
                <w:tcPr>
                  <w:tcW w:w="346" w:type="pct"/>
                  <w:vAlign w:val="center"/>
                </w:tcPr>
                <w:p w14:paraId="27611BC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6C709DF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4" w:type="pct"/>
                  <w:vAlign w:val="center"/>
                </w:tcPr>
                <w:p w14:paraId="0CCEFF1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4AC9D96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4F530CB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7" w:type="pct"/>
                  <w:vAlign w:val="center"/>
                </w:tcPr>
                <w:p w14:paraId="6CA07AA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484" w:type="pct"/>
                  <w:vAlign w:val="center"/>
                </w:tcPr>
                <w:p w14:paraId="48F811E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66</w:t>
                  </w:r>
                </w:p>
              </w:tc>
              <w:tc>
                <w:tcPr>
                  <w:tcW w:w="397" w:type="pct"/>
                  <w:vAlign w:val="center"/>
                </w:tcPr>
                <w:p w14:paraId="3BCA04B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1AC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7F6B0B7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顺式-1,2-二氯乙烯</w:t>
                  </w:r>
                </w:p>
              </w:tc>
              <w:tc>
                <w:tcPr>
                  <w:tcW w:w="343" w:type="pct"/>
                  <w:vAlign w:val="center"/>
                </w:tcPr>
                <w:p w14:paraId="2FA160A9">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1.3L</w:t>
                  </w:r>
                </w:p>
              </w:tc>
              <w:tc>
                <w:tcPr>
                  <w:tcW w:w="344" w:type="pct"/>
                  <w:vAlign w:val="center"/>
                </w:tcPr>
                <w:p w14:paraId="4AA17F8E">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1.3L</w:t>
                  </w:r>
                </w:p>
              </w:tc>
              <w:tc>
                <w:tcPr>
                  <w:tcW w:w="356" w:type="pct"/>
                  <w:vAlign w:val="center"/>
                </w:tcPr>
                <w:p w14:paraId="3BB1B5E0">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1.3L</w:t>
                  </w:r>
                </w:p>
              </w:tc>
              <w:tc>
                <w:tcPr>
                  <w:tcW w:w="346" w:type="pct"/>
                  <w:vAlign w:val="center"/>
                </w:tcPr>
                <w:p w14:paraId="4B7A1E7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3735580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4" w:type="pct"/>
                  <w:vAlign w:val="center"/>
                </w:tcPr>
                <w:p w14:paraId="39944B4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4F1464B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2116177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7" w:type="pct"/>
                  <w:vAlign w:val="center"/>
                </w:tcPr>
                <w:p w14:paraId="3FD9C71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484" w:type="pct"/>
                  <w:vAlign w:val="center"/>
                </w:tcPr>
                <w:p w14:paraId="7DD4137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596</w:t>
                  </w:r>
                </w:p>
              </w:tc>
              <w:tc>
                <w:tcPr>
                  <w:tcW w:w="397" w:type="pct"/>
                  <w:vAlign w:val="center"/>
                </w:tcPr>
                <w:p w14:paraId="6ED547F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541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52F99E2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反式-1,2-二氯乙烯</w:t>
                  </w:r>
                </w:p>
              </w:tc>
              <w:tc>
                <w:tcPr>
                  <w:tcW w:w="343" w:type="pct"/>
                  <w:vAlign w:val="center"/>
                </w:tcPr>
                <w:p w14:paraId="09EE7D65">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1.4L</w:t>
                  </w:r>
                </w:p>
              </w:tc>
              <w:tc>
                <w:tcPr>
                  <w:tcW w:w="344" w:type="pct"/>
                  <w:vAlign w:val="center"/>
                </w:tcPr>
                <w:p w14:paraId="34006114">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1.4L</w:t>
                  </w:r>
                </w:p>
              </w:tc>
              <w:tc>
                <w:tcPr>
                  <w:tcW w:w="356" w:type="pct"/>
                  <w:vAlign w:val="center"/>
                </w:tcPr>
                <w:p w14:paraId="3BA6929C">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1.4L</w:t>
                  </w:r>
                </w:p>
              </w:tc>
              <w:tc>
                <w:tcPr>
                  <w:tcW w:w="346" w:type="pct"/>
                  <w:vAlign w:val="center"/>
                </w:tcPr>
                <w:p w14:paraId="6389B52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1.4L</w:t>
                  </w:r>
                </w:p>
              </w:tc>
              <w:tc>
                <w:tcPr>
                  <w:tcW w:w="346" w:type="pct"/>
                  <w:vAlign w:val="center"/>
                </w:tcPr>
                <w:p w14:paraId="6A90815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1.4L</w:t>
                  </w:r>
                </w:p>
              </w:tc>
              <w:tc>
                <w:tcPr>
                  <w:tcW w:w="354" w:type="pct"/>
                  <w:vAlign w:val="center"/>
                </w:tcPr>
                <w:p w14:paraId="1663636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1.4L</w:t>
                  </w:r>
                </w:p>
              </w:tc>
              <w:tc>
                <w:tcPr>
                  <w:tcW w:w="346" w:type="pct"/>
                  <w:vAlign w:val="center"/>
                </w:tcPr>
                <w:p w14:paraId="71E4910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1.4L</w:t>
                  </w:r>
                </w:p>
              </w:tc>
              <w:tc>
                <w:tcPr>
                  <w:tcW w:w="346" w:type="pct"/>
                  <w:vAlign w:val="center"/>
                </w:tcPr>
                <w:p w14:paraId="716F14E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1.4L</w:t>
                  </w:r>
                </w:p>
              </w:tc>
              <w:tc>
                <w:tcPr>
                  <w:tcW w:w="357" w:type="pct"/>
                  <w:vAlign w:val="center"/>
                </w:tcPr>
                <w:p w14:paraId="38C5F75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1.4L</w:t>
                  </w:r>
                </w:p>
              </w:tc>
              <w:tc>
                <w:tcPr>
                  <w:tcW w:w="484" w:type="pct"/>
                  <w:vAlign w:val="center"/>
                </w:tcPr>
                <w:p w14:paraId="3AD9AE5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w:t>
                  </w:r>
                </w:p>
              </w:tc>
              <w:tc>
                <w:tcPr>
                  <w:tcW w:w="397" w:type="pct"/>
                  <w:vAlign w:val="center"/>
                </w:tcPr>
                <w:p w14:paraId="1E2004A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E8B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1F6EB10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二氯甲烷</w:t>
                  </w:r>
                </w:p>
              </w:tc>
              <w:tc>
                <w:tcPr>
                  <w:tcW w:w="343" w:type="pct"/>
                  <w:vAlign w:val="center"/>
                </w:tcPr>
                <w:p w14:paraId="359B9DB2">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1.5L</w:t>
                  </w:r>
                </w:p>
              </w:tc>
              <w:tc>
                <w:tcPr>
                  <w:tcW w:w="344" w:type="pct"/>
                  <w:vAlign w:val="center"/>
                </w:tcPr>
                <w:p w14:paraId="067BC5D5">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1.5L</w:t>
                  </w:r>
                </w:p>
              </w:tc>
              <w:tc>
                <w:tcPr>
                  <w:tcW w:w="356" w:type="pct"/>
                  <w:vAlign w:val="center"/>
                </w:tcPr>
                <w:p w14:paraId="66045E3F">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1.5L</w:t>
                  </w:r>
                </w:p>
              </w:tc>
              <w:tc>
                <w:tcPr>
                  <w:tcW w:w="346" w:type="pct"/>
                  <w:vAlign w:val="center"/>
                </w:tcPr>
                <w:p w14:paraId="7095951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439626B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54" w:type="pct"/>
                  <w:vAlign w:val="center"/>
                </w:tcPr>
                <w:p w14:paraId="619E5CC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3C33F83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7E0F1C7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57" w:type="pct"/>
                  <w:vAlign w:val="center"/>
                </w:tcPr>
                <w:p w14:paraId="4995135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484" w:type="pct"/>
                  <w:vAlign w:val="center"/>
                </w:tcPr>
                <w:p w14:paraId="373AC71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616</w:t>
                  </w:r>
                </w:p>
              </w:tc>
              <w:tc>
                <w:tcPr>
                  <w:tcW w:w="397" w:type="pct"/>
                  <w:vAlign w:val="center"/>
                </w:tcPr>
                <w:p w14:paraId="0F91B15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C0E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12243A3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1,2-二氯丙烷</w:t>
                  </w:r>
                </w:p>
              </w:tc>
              <w:tc>
                <w:tcPr>
                  <w:tcW w:w="343" w:type="pct"/>
                  <w:vAlign w:val="center"/>
                </w:tcPr>
                <w:p w14:paraId="65A6537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4" w:type="pct"/>
                  <w:vAlign w:val="center"/>
                </w:tcPr>
                <w:p w14:paraId="11A7F12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56" w:type="pct"/>
                  <w:vAlign w:val="center"/>
                </w:tcPr>
                <w:p w14:paraId="6D20D93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0806E68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w:t>
                  </w:r>
                </w:p>
              </w:tc>
              <w:tc>
                <w:tcPr>
                  <w:tcW w:w="346" w:type="pct"/>
                  <w:vAlign w:val="center"/>
                </w:tcPr>
                <w:p w14:paraId="5E37219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54" w:type="pct"/>
                  <w:vAlign w:val="center"/>
                </w:tcPr>
                <w:p w14:paraId="7AAF681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470654B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76CA96C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57" w:type="pct"/>
                  <w:vAlign w:val="center"/>
                </w:tcPr>
                <w:p w14:paraId="2967C0B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484" w:type="pct"/>
                  <w:vAlign w:val="center"/>
                </w:tcPr>
                <w:p w14:paraId="479F029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397" w:type="pct"/>
                  <w:vAlign w:val="center"/>
                </w:tcPr>
                <w:p w14:paraId="0F4250E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A26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2225840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1,1,1,2-四氯乙烷</w:t>
                  </w:r>
                </w:p>
              </w:tc>
              <w:tc>
                <w:tcPr>
                  <w:tcW w:w="343" w:type="pct"/>
                  <w:vAlign w:val="center"/>
                </w:tcPr>
                <w:p w14:paraId="6E24A35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4" w:type="pct"/>
                  <w:vAlign w:val="center"/>
                </w:tcPr>
                <w:p w14:paraId="5DD3537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6" w:type="pct"/>
                  <w:vAlign w:val="center"/>
                </w:tcPr>
                <w:p w14:paraId="6FB6671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0D3D4DC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14BA738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565CEC8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51AAC15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66AF143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52C4BDC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4A3D984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397" w:type="pct"/>
                  <w:vAlign w:val="center"/>
                </w:tcPr>
                <w:p w14:paraId="7BDBA2E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896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051EB4A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1,1,2,2-四氯乙烷</w:t>
                  </w:r>
                </w:p>
              </w:tc>
              <w:tc>
                <w:tcPr>
                  <w:tcW w:w="343" w:type="pct"/>
                  <w:vAlign w:val="center"/>
                </w:tcPr>
                <w:p w14:paraId="282DEAC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4" w:type="pct"/>
                  <w:vAlign w:val="center"/>
                </w:tcPr>
                <w:p w14:paraId="3F20FA5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6" w:type="pct"/>
                  <w:vAlign w:val="center"/>
                </w:tcPr>
                <w:p w14:paraId="19BF291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6F358D3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7F1C801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3D70E6E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01A3585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0C5B3DF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0DA20B4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1FCCCDA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6.8</w:t>
                  </w:r>
                </w:p>
              </w:tc>
              <w:tc>
                <w:tcPr>
                  <w:tcW w:w="397" w:type="pct"/>
                  <w:vAlign w:val="center"/>
                </w:tcPr>
                <w:p w14:paraId="0C7C20B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1BA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1FFB84A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四氯乙烯</w:t>
                  </w:r>
                </w:p>
              </w:tc>
              <w:tc>
                <w:tcPr>
                  <w:tcW w:w="343" w:type="pct"/>
                  <w:vAlign w:val="center"/>
                </w:tcPr>
                <w:p w14:paraId="7489176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9.8</w:t>
                  </w:r>
                </w:p>
              </w:tc>
              <w:tc>
                <w:tcPr>
                  <w:tcW w:w="344" w:type="pct"/>
                  <w:vAlign w:val="center"/>
                </w:tcPr>
                <w:p w14:paraId="5FDBFA4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12.9</w:t>
                  </w:r>
                </w:p>
              </w:tc>
              <w:tc>
                <w:tcPr>
                  <w:tcW w:w="356" w:type="pct"/>
                  <w:vAlign w:val="center"/>
                </w:tcPr>
                <w:p w14:paraId="2008CC6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w:t>
                  </w:r>
                </w:p>
              </w:tc>
              <w:tc>
                <w:tcPr>
                  <w:tcW w:w="346" w:type="pct"/>
                  <w:vAlign w:val="center"/>
                </w:tcPr>
                <w:p w14:paraId="11E4890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346" w:type="pct"/>
                  <w:vAlign w:val="center"/>
                </w:tcPr>
                <w:p w14:paraId="2BF4A8C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w:t>
                  </w:r>
                </w:p>
              </w:tc>
              <w:tc>
                <w:tcPr>
                  <w:tcW w:w="354" w:type="pct"/>
                  <w:vAlign w:val="center"/>
                </w:tcPr>
                <w:p w14:paraId="65A478C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w:t>
                  </w:r>
                </w:p>
              </w:tc>
              <w:tc>
                <w:tcPr>
                  <w:tcW w:w="346" w:type="pct"/>
                  <w:vAlign w:val="center"/>
                </w:tcPr>
                <w:p w14:paraId="436EFD2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17.5</w:t>
                  </w:r>
                </w:p>
              </w:tc>
              <w:tc>
                <w:tcPr>
                  <w:tcW w:w="346" w:type="pct"/>
                  <w:vAlign w:val="center"/>
                </w:tcPr>
                <w:p w14:paraId="7CA2A19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18.8</w:t>
                  </w:r>
                </w:p>
              </w:tc>
              <w:tc>
                <w:tcPr>
                  <w:tcW w:w="357" w:type="pct"/>
                  <w:vAlign w:val="center"/>
                </w:tcPr>
                <w:p w14:paraId="25EE732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7.9</w:t>
                  </w:r>
                </w:p>
              </w:tc>
              <w:tc>
                <w:tcPr>
                  <w:tcW w:w="484" w:type="pct"/>
                  <w:vAlign w:val="center"/>
                </w:tcPr>
                <w:p w14:paraId="2C08B88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w:t>
                  </w:r>
                </w:p>
              </w:tc>
              <w:tc>
                <w:tcPr>
                  <w:tcW w:w="397" w:type="pct"/>
                  <w:vAlign w:val="center"/>
                </w:tcPr>
                <w:p w14:paraId="63EAA85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FC4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078D30C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1,1,1-三氯乙烷</w:t>
                  </w:r>
                </w:p>
              </w:tc>
              <w:tc>
                <w:tcPr>
                  <w:tcW w:w="343" w:type="pct"/>
                  <w:vAlign w:val="center"/>
                </w:tcPr>
                <w:p w14:paraId="587D502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4" w:type="pct"/>
                  <w:vAlign w:val="center"/>
                </w:tcPr>
                <w:p w14:paraId="36DF64A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6" w:type="pct"/>
                  <w:vAlign w:val="center"/>
                </w:tcPr>
                <w:p w14:paraId="67074AD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5ADBB2F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6FD95F7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4" w:type="pct"/>
                  <w:vAlign w:val="center"/>
                </w:tcPr>
                <w:p w14:paraId="2F0D1A1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74A3E6D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46" w:type="pct"/>
                  <w:vAlign w:val="center"/>
                </w:tcPr>
                <w:p w14:paraId="59EEDF7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357" w:type="pct"/>
                  <w:vAlign w:val="center"/>
                </w:tcPr>
                <w:p w14:paraId="0BFCC0E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484" w:type="pct"/>
                  <w:vAlign w:val="center"/>
                </w:tcPr>
                <w:p w14:paraId="09AD703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840</w:t>
                  </w:r>
                </w:p>
              </w:tc>
              <w:tc>
                <w:tcPr>
                  <w:tcW w:w="397" w:type="pct"/>
                  <w:vAlign w:val="center"/>
                </w:tcPr>
                <w:p w14:paraId="7711A34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116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4AE7D52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1,1,2-三氯乙烷</w:t>
                  </w:r>
                </w:p>
              </w:tc>
              <w:tc>
                <w:tcPr>
                  <w:tcW w:w="343" w:type="pct"/>
                  <w:vAlign w:val="center"/>
                </w:tcPr>
                <w:p w14:paraId="0FD645A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4" w:type="pct"/>
                  <w:vAlign w:val="center"/>
                </w:tcPr>
                <w:p w14:paraId="147D027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6" w:type="pct"/>
                  <w:vAlign w:val="center"/>
                </w:tcPr>
                <w:p w14:paraId="3848581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1226593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708BBAF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20C1502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78CE958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2BA5652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24B9ACC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5433D2B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397" w:type="pct"/>
                  <w:vAlign w:val="center"/>
                </w:tcPr>
                <w:p w14:paraId="30E5ED4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D90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2CF0B27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三氯乙烯</w:t>
                  </w:r>
                </w:p>
              </w:tc>
              <w:tc>
                <w:tcPr>
                  <w:tcW w:w="343" w:type="pct"/>
                  <w:vAlign w:val="center"/>
                </w:tcPr>
                <w:p w14:paraId="40DEDEB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4" w:type="pct"/>
                  <w:vAlign w:val="center"/>
                </w:tcPr>
                <w:p w14:paraId="4A808BB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6" w:type="pct"/>
                  <w:vAlign w:val="center"/>
                </w:tcPr>
                <w:p w14:paraId="7EE8F45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721EF0D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2FF17E7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4AC0714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290A5A3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1071FD6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740A40D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380F195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397" w:type="pct"/>
                  <w:vAlign w:val="center"/>
                </w:tcPr>
                <w:p w14:paraId="513AC47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7C0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6A359ED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1,2,3-三氯丙烷</w:t>
                  </w:r>
                </w:p>
              </w:tc>
              <w:tc>
                <w:tcPr>
                  <w:tcW w:w="343" w:type="pct"/>
                  <w:vAlign w:val="center"/>
                </w:tcPr>
                <w:p w14:paraId="3BB3735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4" w:type="pct"/>
                  <w:vAlign w:val="center"/>
                </w:tcPr>
                <w:p w14:paraId="2EE074A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6" w:type="pct"/>
                  <w:vAlign w:val="center"/>
                </w:tcPr>
                <w:p w14:paraId="3D85BDC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26B899D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41C0F35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1200F46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225E569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773CAA7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7619F42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50417C6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w:t>
                  </w:r>
                </w:p>
              </w:tc>
              <w:tc>
                <w:tcPr>
                  <w:tcW w:w="397" w:type="pct"/>
                  <w:vAlign w:val="center"/>
                </w:tcPr>
                <w:p w14:paraId="4C3B50A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F61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0F16C35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氯乙烯</w:t>
                  </w:r>
                </w:p>
              </w:tc>
              <w:tc>
                <w:tcPr>
                  <w:tcW w:w="343" w:type="pct"/>
                  <w:vAlign w:val="center"/>
                </w:tcPr>
                <w:p w14:paraId="42E1953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4" w:type="pct"/>
                  <w:vAlign w:val="center"/>
                </w:tcPr>
                <w:p w14:paraId="1F4E39E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6" w:type="pct"/>
                  <w:vAlign w:val="center"/>
                </w:tcPr>
                <w:p w14:paraId="174498B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6AABECA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383046D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4" w:type="pct"/>
                  <w:vAlign w:val="center"/>
                </w:tcPr>
                <w:p w14:paraId="1C9F464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4326C43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46" w:type="pct"/>
                  <w:vAlign w:val="center"/>
                </w:tcPr>
                <w:p w14:paraId="76F9538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357" w:type="pct"/>
                  <w:vAlign w:val="center"/>
                </w:tcPr>
                <w:p w14:paraId="4235772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484" w:type="pct"/>
                  <w:vAlign w:val="center"/>
                </w:tcPr>
                <w:p w14:paraId="00EF76F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0.43</w:t>
                  </w:r>
                </w:p>
              </w:tc>
              <w:tc>
                <w:tcPr>
                  <w:tcW w:w="397" w:type="pct"/>
                  <w:vAlign w:val="center"/>
                </w:tcPr>
                <w:p w14:paraId="26259F5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80B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76" w:type="pct"/>
                  <w:vAlign w:val="center"/>
                </w:tcPr>
                <w:p w14:paraId="19CC462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w:t>
                  </w:r>
                </w:p>
              </w:tc>
              <w:tc>
                <w:tcPr>
                  <w:tcW w:w="343" w:type="pct"/>
                  <w:vAlign w:val="center"/>
                </w:tcPr>
                <w:p w14:paraId="2875522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344" w:type="pct"/>
                  <w:vAlign w:val="center"/>
                </w:tcPr>
                <w:p w14:paraId="55C9325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356" w:type="pct"/>
                  <w:vAlign w:val="center"/>
                </w:tcPr>
                <w:p w14:paraId="5DFD23E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346" w:type="pct"/>
                  <w:vAlign w:val="center"/>
                </w:tcPr>
                <w:p w14:paraId="7E28D26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346" w:type="pct"/>
                  <w:vAlign w:val="center"/>
                </w:tcPr>
                <w:p w14:paraId="6731F19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354" w:type="pct"/>
                  <w:vAlign w:val="center"/>
                </w:tcPr>
                <w:p w14:paraId="5B2C27F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346" w:type="pct"/>
                  <w:vAlign w:val="center"/>
                </w:tcPr>
                <w:p w14:paraId="658CF19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346" w:type="pct"/>
                  <w:vAlign w:val="center"/>
                </w:tcPr>
                <w:p w14:paraId="50CF113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357" w:type="pct"/>
                  <w:vAlign w:val="center"/>
                </w:tcPr>
                <w:p w14:paraId="0A6E055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484" w:type="pct"/>
                  <w:vAlign w:val="center"/>
                </w:tcPr>
                <w:p w14:paraId="51147B6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397" w:type="pct"/>
                  <w:vAlign w:val="center"/>
                </w:tcPr>
                <w:p w14:paraId="02875AA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A76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19B74A5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氯苯</w:t>
                  </w:r>
                </w:p>
              </w:tc>
              <w:tc>
                <w:tcPr>
                  <w:tcW w:w="343" w:type="pct"/>
                  <w:vAlign w:val="center"/>
                </w:tcPr>
                <w:p w14:paraId="6105C8D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4" w:type="pct"/>
                  <w:vAlign w:val="center"/>
                </w:tcPr>
                <w:p w14:paraId="1189A2D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6" w:type="pct"/>
                  <w:vAlign w:val="center"/>
                </w:tcPr>
                <w:p w14:paraId="77FFB1A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40840FA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2555EEB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5778C36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499F16D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7645D92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4C27013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14C736C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270</w:t>
                  </w:r>
                </w:p>
              </w:tc>
              <w:tc>
                <w:tcPr>
                  <w:tcW w:w="397" w:type="pct"/>
                  <w:vAlign w:val="center"/>
                </w:tcPr>
                <w:p w14:paraId="5663408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D04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37AA405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1,2-二氯苯</w:t>
                  </w:r>
                </w:p>
              </w:tc>
              <w:tc>
                <w:tcPr>
                  <w:tcW w:w="343" w:type="pct"/>
                  <w:vAlign w:val="center"/>
                </w:tcPr>
                <w:p w14:paraId="37F3140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w:t>
                  </w:r>
                </w:p>
              </w:tc>
              <w:tc>
                <w:tcPr>
                  <w:tcW w:w="344" w:type="pct"/>
                  <w:vAlign w:val="center"/>
                </w:tcPr>
                <w:p w14:paraId="666A893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56" w:type="pct"/>
                  <w:vAlign w:val="center"/>
                </w:tcPr>
                <w:p w14:paraId="56FEAF9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0271DD3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0953C43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54" w:type="pct"/>
                  <w:vAlign w:val="center"/>
                </w:tcPr>
                <w:p w14:paraId="2E54C6C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7B856CB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0F6C8EC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57" w:type="pct"/>
                  <w:vAlign w:val="center"/>
                </w:tcPr>
                <w:p w14:paraId="5002721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484" w:type="pct"/>
                  <w:vAlign w:val="center"/>
                </w:tcPr>
                <w:p w14:paraId="556EA8B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560</w:t>
                  </w:r>
                </w:p>
              </w:tc>
              <w:tc>
                <w:tcPr>
                  <w:tcW w:w="397" w:type="pct"/>
                  <w:vAlign w:val="center"/>
                </w:tcPr>
                <w:p w14:paraId="39DD0A3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582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7F1EF37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1,4-二氯苯</w:t>
                  </w:r>
                </w:p>
              </w:tc>
              <w:tc>
                <w:tcPr>
                  <w:tcW w:w="343" w:type="pct"/>
                  <w:vAlign w:val="center"/>
                </w:tcPr>
                <w:p w14:paraId="7840D28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p>
              </w:tc>
              <w:tc>
                <w:tcPr>
                  <w:tcW w:w="344" w:type="pct"/>
                  <w:vAlign w:val="center"/>
                </w:tcPr>
                <w:p w14:paraId="54C4D46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356" w:type="pct"/>
                  <w:vAlign w:val="center"/>
                </w:tcPr>
                <w:p w14:paraId="2BABBDF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7765F00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2EFE7B5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54" w:type="pct"/>
                  <w:vAlign w:val="center"/>
                </w:tcPr>
                <w:p w14:paraId="24C67A5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769DD24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46" w:type="pct"/>
                  <w:vAlign w:val="center"/>
                </w:tcPr>
                <w:p w14:paraId="67C0A6D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357" w:type="pct"/>
                  <w:vAlign w:val="center"/>
                </w:tcPr>
                <w:p w14:paraId="390F567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484" w:type="pct"/>
                  <w:vAlign w:val="center"/>
                </w:tcPr>
                <w:p w14:paraId="04832BC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397" w:type="pct"/>
                  <w:vAlign w:val="center"/>
                </w:tcPr>
                <w:p w14:paraId="79297B6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453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03A5312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乙苯</w:t>
                  </w:r>
                </w:p>
              </w:tc>
              <w:tc>
                <w:tcPr>
                  <w:tcW w:w="343" w:type="pct"/>
                  <w:vAlign w:val="center"/>
                </w:tcPr>
                <w:p w14:paraId="4B2C5ED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4" w:type="pct"/>
                  <w:vAlign w:val="center"/>
                </w:tcPr>
                <w:p w14:paraId="228F101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6" w:type="pct"/>
                  <w:vAlign w:val="center"/>
                </w:tcPr>
                <w:p w14:paraId="4A47313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02EB493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0E7DF6C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6AFC3B5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098D36A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6182631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44AAE44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3F56E62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397" w:type="pct"/>
                  <w:vAlign w:val="center"/>
                </w:tcPr>
                <w:p w14:paraId="238B247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7C5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6FB1306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苯乙烯</w:t>
                  </w:r>
                </w:p>
              </w:tc>
              <w:tc>
                <w:tcPr>
                  <w:tcW w:w="343" w:type="pct"/>
                  <w:vAlign w:val="center"/>
                </w:tcPr>
                <w:p w14:paraId="26DEB03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4" w:type="pct"/>
                  <w:vAlign w:val="center"/>
                </w:tcPr>
                <w:p w14:paraId="7D72FDD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56" w:type="pct"/>
                  <w:vAlign w:val="center"/>
                </w:tcPr>
                <w:p w14:paraId="7AFB9B9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330C1B8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66B129F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54" w:type="pct"/>
                  <w:vAlign w:val="center"/>
                </w:tcPr>
                <w:p w14:paraId="43AC9FE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58368A2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46" w:type="pct"/>
                  <w:vAlign w:val="center"/>
                </w:tcPr>
                <w:p w14:paraId="4666B91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357" w:type="pct"/>
                  <w:vAlign w:val="center"/>
                </w:tcPr>
                <w:p w14:paraId="1F9DFC3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484" w:type="pct"/>
                  <w:vAlign w:val="center"/>
                </w:tcPr>
                <w:p w14:paraId="59E03E0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1290</w:t>
                  </w:r>
                </w:p>
              </w:tc>
              <w:tc>
                <w:tcPr>
                  <w:tcW w:w="397" w:type="pct"/>
                  <w:vAlign w:val="center"/>
                </w:tcPr>
                <w:p w14:paraId="61620F0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123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38AC759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甲苯</w:t>
                  </w:r>
                </w:p>
              </w:tc>
              <w:tc>
                <w:tcPr>
                  <w:tcW w:w="343" w:type="pct"/>
                  <w:vAlign w:val="center"/>
                </w:tcPr>
                <w:p w14:paraId="723CCA7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344" w:type="pct"/>
                  <w:vAlign w:val="center"/>
                </w:tcPr>
                <w:p w14:paraId="1D2379E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2.7</w:t>
                  </w:r>
                </w:p>
              </w:tc>
              <w:tc>
                <w:tcPr>
                  <w:tcW w:w="356" w:type="pct"/>
                  <w:vAlign w:val="center"/>
                </w:tcPr>
                <w:p w14:paraId="0AAFCB9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c>
                <w:tcPr>
                  <w:tcW w:w="346" w:type="pct"/>
                  <w:vAlign w:val="center"/>
                </w:tcPr>
                <w:p w14:paraId="0DBF19A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c>
                <w:tcPr>
                  <w:tcW w:w="346" w:type="pct"/>
                  <w:vAlign w:val="center"/>
                </w:tcPr>
                <w:p w14:paraId="29B56B9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w:t>
                  </w:r>
                </w:p>
              </w:tc>
              <w:tc>
                <w:tcPr>
                  <w:tcW w:w="354" w:type="pct"/>
                  <w:vAlign w:val="center"/>
                </w:tcPr>
                <w:p w14:paraId="09ADDF8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w:t>
                  </w:r>
                </w:p>
              </w:tc>
              <w:tc>
                <w:tcPr>
                  <w:tcW w:w="346" w:type="pct"/>
                  <w:vAlign w:val="center"/>
                </w:tcPr>
                <w:p w14:paraId="50915D6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346" w:type="pct"/>
                  <w:vAlign w:val="center"/>
                </w:tcPr>
                <w:p w14:paraId="66C6C2A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w:t>
                  </w:r>
                </w:p>
              </w:tc>
              <w:tc>
                <w:tcPr>
                  <w:tcW w:w="357" w:type="pct"/>
                  <w:vAlign w:val="center"/>
                </w:tcPr>
                <w:p w14:paraId="53B4B85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w:t>
                  </w:r>
                </w:p>
              </w:tc>
              <w:tc>
                <w:tcPr>
                  <w:tcW w:w="484" w:type="pct"/>
                  <w:vAlign w:val="center"/>
                </w:tcPr>
                <w:p w14:paraId="695AD1B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1200</w:t>
                  </w:r>
                </w:p>
              </w:tc>
              <w:tc>
                <w:tcPr>
                  <w:tcW w:w="397" w:type="pct"/>
                  <w:vAlign w:val="center"/>
                </w:tcPr>
                <w:p w14:paraId="4DF92CD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BB1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6106519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间，对-二甲苯</w:t>
                  </w:r>
                </w:p>
              </w:tc>
              <w:tc>
                <w:tcPr>
                  <w:tcW w:w="343" w:type="pct"/>
                  <w:vAlign w:val="center"/>
                </w:tcPr>
                <w:p w14:paraId="31AEF89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4" w:type="pct"/>
                  <w:vAlign w:val="center"/>
                </w:tcPr>
                <w:p w14:paraId="4384ED2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6" w:type="pct"/>
                  <w:vAlign w:val="center"/>
                </w:tcPr>
                <w:p w14:paraId="270BF32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7A7C52B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71B4DB6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0490904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34315D2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36BA442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5E87E33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1A59870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570</w:t>
                  </w:r>
                </w:p>
              </w:tc>
              <w:tc>
                <w:tcPr>
                  <w:tcW w:w="397" w:type="pct"/>
                  <w:vAlign w:val="center"/>
                </w:tcPr>
                <w:p w14:paraId="1F10967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662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5D3D4E4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邻二甲苯</w:t>
                  </w:r>
                </w:p>
              </w:tc>
              <w:tc>
                <w:tcPr>
                  <w:tcW w:w="343" w:type="pct"/>
                  <w:vAlign w:val="center"/>
                </w:tcPr>
                <w:p w14:paraId="1D0DD57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4" w:type="pct"/>
                  <w:vAlign w:val="center"/>
                </w:tcPr>
                <w:p w14:paraId="36A840F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6" w:type="pct"/>
                  <w:vAlign w:val="center"/>
                </w:tcPr>
                <w:p w14:paraId="42D2CC4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148A041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73E3C71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4" w:type="pct"/>
                  <w:vAlign w:val="center"/>
                </w:tcPr>
                <w:p w14:paraId="2F08F60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3E9D79B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46" w:type="pct"/>
                  <w:vAlign w:val="center"/>
                </w:tcPr>
                <w:p w14:paraId="5E08B6A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357" w:type="pct"/>
                  <w:vAlign w:val="center"/>
                </w:tcPr>
                <w:p w14:paraId="652580D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484" w:type="pct"/>
                  <w:vAlign w:val="center"/>
                </w:tcPr>
                <w:p w14:paraId="14600D2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640</w:t>
                  </w:r>
                </w:p>
              </w:tc>
              <w:tc>
                <w:tcPr>
                  <w:tcW w:w="397" w:type="pct"/>
                  <w:vAlign w:val="center"/>
                </w:tcPr>
                <w:p w14:paraId="671DCE7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5DA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335916D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硝基苯</w:t>
                  </w:r>
                </w:p>
              </w:tc>
              <w:tc>
                <w:tcPr>
                  <w:tcW w:w="343" w:type="pct"/>
                  <w:vAlign w:val="center"/>
                </w:tcPr>
                <w:p w14:paraId="730188D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4" w:type="pct"/>
                  <w:vAlign w:val="center"/>
                </w:tcPr>
                <w:p w14:paraId="70C9B5B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56" w:type="pct"/>
                  <w:vAlign w:val="center"/>
                </w:tcPr>
                <w:p w14:paraId="0340843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6" w:type="pct"/>
                  <w:vAlign w:val="center"/>
                </w:tcPr>
                <w:p w14:paraId="081C3DD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6" w:type="pct"/>
                  <w:vAlign w:val="center"/>
                </w:tcPr>
                <w:p w14:paraId="431062F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54" w:type="pct"/>
                  <w:vAlign w:val="center"/>
                </w:tcPr>
                <w:p w14:paraId="2300EA8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6" w:type="pct"/>
                  <w:vAlign w:val="center"/>
                </w:tcPr>
                <w:p w14:paraId="7807ACC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6" w:type="pct"/>
                  <w:vAlign w:val="center"/>
                </w:tcPr>
                <w:p w14:paraId="6875A46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57" w:type="pct"/>
                  <w:vAlign w:val="center"/>
                </w:tcPr>
                <w:p w14:paraId="1B26352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484" w:type="pct"/>
                  <w:vAlign w:val="center"/>
                </w:tcPr>
                <w:p w14:paraId="626B9D6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w:t>
                  </w:r>
                </w:p>
              </w:tc>
              <w:tc>
                <w:tcPr>
                  <w:tcW w:w="397" w:type="pct"/>
                  <w:vAlign w:val="center"/>
                </w:tcPr>
                <w:p w14:paraId="61C90A7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DD5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79D2BD8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苯胺</w:t>
                  </w:r>
                </w:p>
              </w:tc>
              <w:tc>
                <w:tcPr>
                  <w:tcW w:w="343" w:type="pct"/>
                  <w:vAlign w:val="center"/>
                </w:tcPr>
                <w:p w14:paraId="0B8F1B6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344" w:type="pct"/>
                  <w:vAlign w:val="center"/>
                </w:tcPr>
                <w:p w14:paraId="470F8C1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356" w:type="pct"/>
                  <w:vAlign w:val="center"/>
                </w:tcPr>
                <w:p w14:paraId="444FCE8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346" w:type="pct"/>
                  <w:vAlign w:val="center"/>
                </w:tcPr>
                <w:p w14:paraId="77018BA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346" w:type="pct"/>
                  <w:vAlign w:val="center"/>
                </w:tcPr>
                <w:p w14:paraId="2D2F06B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354" w:type="pct"/>
                  <w:vAlign w:val="center"/>
                </w:tcPr>
                <w:p w14:paraId="684CD30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346" w:type="pct"/>
                  <w:vAlign w:val="center"/>
                </w:tcPr>
                <w:p w14:paraId="75DDA6C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346" w:type="pct"/>
                  <w:vAlign w:val="center"/>
                </w:tcPr>
                <w:p w14:paraId="554D101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357" w:type="pct"/>
                  <w:vAlign w:val="center"/>
                </w:tcPr>
                <w:p w14:paraId="0267616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484" w:type="pct"/>
                  <w:vAlign w:val="center"/>
                </w:tcPr>
                <w:p w14:paraId="0C081AE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260</w:t>
                  </w:r>
                </w:p>
              </w:tc>
              <w:tc>
                <w:tcPr>
                  <w:tcW w:w="397" w:type="pct"/>
                  <w:vAlign w:val="center"/>
                </w:tcPr>
                <w:p w14:paraId="785F416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0BC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0141EDD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2-氯酚</w:t>
                  </w:r>
                </w:p>
              </w:tc>
              <w:tc>
                <w:tcPr>
                  <w:tcW w:w="343" w:type="pct"/>
                  <w:vAlign w:val="center"/>
                </w:tcPr>
                <w:p w14:paraId="2FC02EB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344" w:type="pct"/>
                  <w:vAlign w:val="center"/>
                </w:tcPr>
                <w:p w14:paraId="47EE8B2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356" w:type="pct"/>
                  <w:vAlign w:val="center"/>
                </w:tcPr>
                <w:p w14:paraId="5C2912E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346" w:type="pct"/>
                  <w:vAlign w:val="center"/>
                </w:tcPr>
                <w:p w14:paraId="60FD1D5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346" w:type="pct"/>
                  <w:vAlign w:val="center"/>
                </w:tcPr>
                <w:p w14:paraId="3950BE9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354" w:type="pct"/>
                  <w:vAlign w:val="center"/>
                </w:tcPr>
                <w:p w14:paraId="7FDF31D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346" w:type="pct"/>
                  <w:vAlign w:val="center"/>
                </w:tcPr>
                <w:p w14:paraId="161DFC4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346" w:type="pct"/>
                  <w:vAlign w:val="center"/>
                </w:tcPr>
                <w:p w14:paraId="7C8AD3E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357" w:type="pct"/>
                  <w:vAlign w:val="center"/>
                </w:tcPr>
                <w:p w14:paraId="23796F5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484" w:type="pct"/>
                  <w:vAlign w:val="center"/>
                </w:tcPr>
                <w:p w14:paraId="28DC57A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2256</w:t>
                  </w:r>
                </w:p>
              </w:tc>
              <w:tc>
                <w:tcPr>
                  <w:tcW w:w="397" w:type="pct"/>
                  <w:vAlign w:val="center"/>
                </w:tcPr>
                <w:p w14:paraId="352E6B1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245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44E03BA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苯并（a）蒽</w:t>
                  </w:r>
                </w:p>
              </w:tc>
              <w:tc>
                <w:tcPr>
                  <w:tcW w:w="343" w:type="pct"/>
                  <w:vAlign w:val="center"/>
                </w:tcPr>
                <w:p w14:paraId="5B29F51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4" w:type="pct"/>
                  <w:vAlign w:val="center"/>
                </w:tcPr>
                <w:p w14:paraId="72F148C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6" w:type="pct"/>
                  <w:vAlign w:val="center"/>
                </w:tcPr>
                <w:p w14:paraId="78AEDF6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32DFEDB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22FF384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4" w:type="pct"/>
                  <w:vAlign w:val="center"/>
                </w:tcPr>
                <w:p w14:paraId="35D81CD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18CF3CF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37D1538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7" w:type="pct"/>
                  <w:vAlign w:val="center"/>
                </w:tcPr>
                <w:p w14:paraId="2FBDC10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484" w:type="pct"/>
                  <w:vAlign w:val="center"/>
                </w:tcPr>
                <w:p w14:paraId="17D0CEC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397" w:type="pct"/>
                  <w:vAlign w:val="center"/>
                </w:tcPr>
                <w:p w14:paraId="285A600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3E7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6DB8903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苯并（a）芘</w:t>
                  </w:r>
                </w:p>
              </w:tc>
              <w:tc>
                <w:tcPr>
                  <w:tcW w:w="343" w:type="pct"/>
                  <w:vAlign w:val="center"/>
                </w:tcPr>
                <w:p w14:paraId="1BB9A45C">
                  <w:pPr>
                    <w:autoSpaceDN w:val="0"/>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0.1L</w:t>
                  </w:r>
                </w:p>
              </w:tc>
              <w:tc>
                <w:tcPr>
                  <w:tcW w:w="344" w:type="pct"/>
                  <w:vAlign w:val="center"/>
                </w:tcPr>
                <w:p w14:paraId="35FA30ED">
                  <w:pPr>
                    <w:autoSpaceDN w:val="0"/>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0.1L</w:t>
                  </w:r>
                </w:p>
              </w:tc>
              <w:tc>
                <w:tcPr>
                  <w:tcW w:w="356" w:type="pct"/>
                  <w:vAlign w:val="center"/>
                </w:tcPr>
                <w:p w14:paraId="1B38FB77">
                  <w:pPr>
                    <w:autoSpaceDN w:val="0"/>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198A0A1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7112743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4" w:type="pct"/>
                  <w:vAlign w:val="center"/>
                </w:tcPr>
                <w:p w14:paraId="6E60BFA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57CF3EB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255EED2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7" w:type="pct"/>
                  <w:vAlign w:val="center"/>
                </w:tcPr>
                <w:p w14:paraId="287003D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484" w:type="pct"/>
                  <w:vAlign w:val="center"/>
                </w:tcPr>
                <w:p w14:paraId="7B63852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397" w:type="pct"/>
                  <w:vAlign w:val="center"/>
                </w:tcPr>
                <w:p w14:paraId="39B9F55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5E7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549070E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苯并（b）荧蒽</w:t>
                  </w:r>
                </w:p>
              </w:tc>
              <w:tc>
                <w:tcPr>
                  <w:tcW w:w="343" w:type="pct"/>
                  <w:vAlign w:val="center"/>
                </w:tcPr>
                <w:p w14:paraId="4617A502">
                  <w:pPr>
                    <w:autoSpaceDN w:val="0"/>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0.2L</w:t>
                  </w:r>
                </w:p>
              </w:tc>
              <w:tc>
                <w:tcPr>
                  <w:tcW w:w="344" w:type="pct"/>
                  <w:vAlign w:val="center"/>
                </w:tcPr>
                <w:p w14:paraId="5D57EA86">
                  <w:pPr>
                    <w:autoSpaceDN w:val="0"/>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0.2L</w:t>
                  </w:r>
                </w:p>
              </w:tc>
              <w:tc>
                <w:tcPr>
                  <w:tcW w:w="356" w:type="pct"/>
                  <w:vAlign w:val="center"/>
                </w:tcPr>
                <w:p w14:paraId="6C3C71D5">
                  <w:pPr>
                    <w:autoSpaceDN w:val="0"/>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0.2L</w:t>
                  </w:r>
                </w:p>
              </w:tc>
              <w:tc>
                <w:tcPr>
                  <w:tcW w:w="346" w:type="pct"/>
                  <w:vAlign w:val="center"/>
                </w:tcPr>
                <w:p w14:paraId="224E971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0.2L</w:t>
                  </w:r>
                </w:p>
              </w:tc>
              <w:tc>
                <w:tcPr>
                  <w:tcW w:w="346" w:type="pct"/>
                  <w:vAlign w:val="center"/>
                </w:tcPr>
                <w:p w14:paraId="187DC08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0.2L</w:t>
                  </w:r>
                </w:p>
              </w:tc>
              <w:tc>
                <w:tcPr>
                  <w:tcW w:w="354" w:type="pct"/>
                  <w:vAlign w:val="center"/>
                </w:tcPr>
                <w:p w14:paraId="5053372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0.2L</w:t>
                  </w:r>
                </w:p>
              </w:tc>
              <w:tc>
                <w:tcPr>
                  <w:tcW w:w="346" w:type="pct"/>
                  <w:vAlign w:val="center"/>
                </w:tcPr>
                <w:p w14:paraId="628F066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0.2L</w:t>
                  </w:r>
                </w:p>
              </w:tc>
              <w:tc>
                <w:tcPr>
                  <w:tcW w:w="346" w:type="pct"/>
                  <w:vAlign w:val="center"/>
                </w:tcPr>
                <w:p w14:paraId="245156E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0.2L</w:t>
                  </w:r>
                </w:p>
              </w:tc>
              <w:tc>
                <w:tcPr>
                  <w:tcW w:w="357" w:type="pct"/>
                  <w:vAlign w:val="center"/>
                </w:tcPr>
                <w:p w14:paraId="37B8C5A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0.2L</w:t>
                  </w:r>
                </w:p>
              </w:tc>
              <w:tc>
                <w:tcPr>
                  <w:tcW w:w="484" w:type="pct"/>
                  <w:vAlign w:val="center"/>
                </w:tcPr>
                <w:p w14:paraId="1762417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397" w:type="pct"/>
                  <w:vAlign w:val="center"/>
                </w:tcPr>
                <w:p w14:paraId="4E0815C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DBF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0058BAD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苯并（k）荧蒽</w:t>
                  </w:r>
                </w:p>
              </w:tc>
              <w:tc>
                <w:tcPr>
                  <w:tcW w:w="343" w:type="pct"/>
                  <w:vAlign w:val="center"/>
                </w:tcPr>
                <w:p w14:paraId="7D1CA936">
                  <w:pPr>
                    <w:autoSpaceDN w:val="0"/>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0.1L</w:t>
                  </w:r>
                </w:p>
              </w:tc>
              <w:tc>
                <w:tcPr>
                  <w:tcW w:w="344" w:type="pct"/>
                  <w:vAlign w:val="center"/>
                </w:tcPr>
                <w:p w14:paraId="69D7655E">
                  <w:pPr>
                    <w:autoSpaceDN w:val="0"/>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0.1L</w:t>
                  </w:r>
                </w:p>
              </w:tc>
              <w:tc>
                <w:tcPr>
                  <w:tcW w:w="356" w:type="pct"/>
                  <w:vAlign w:val="center"/>
                </w:tcPr>
                <w:p w14:paraId="221DA70C">
                  <w:pPr>
                    <w:autoSpaceDN w:val="0"/>
                    <w:adjustRightInd w:val="0"/>
                    <w:snapToGrid w:val="0"/>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5DD873F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5B2F629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4" w:type="pct"/>
                  <w:vAlign w:val="center"/>
                </w:tcPr>
                <w:p w14:paraId="23C0E71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27DFB83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5075366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7" w:type="pct"/>
                  <w:vAlign w:val="center"/>
                </w:tcPr>
                <w:p w14:paraId="35C4032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484" w:type="pct"/>
                  <w:vAlign w:val="center"/>
                </w:tcPr>
                <w:p w14:paraId="134FBE5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151</w:t>
                  </w:r>
                </w:p>
              </w:tc>
              <w:tc>
                <w:tcPr>
                  <w:tcW w:w="397" w:type="pct"/>
                  <w:vAlign w:val="center"/>
                </w:tcPr>
                <w:p w14:paraId="1C1EEED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CAB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34E85FA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䓛</w:t>
                  </w:r>
                </w:p>
              </w:tc>
              <w:tc>
                <w:tcPr>
                  <w:tcW w:w="343" w:type="pct"/>
                  <w:vAlign w:val="center"/>
                </w:tcPr>
                <w:p w14:paraId="4D8EC40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4" w:type="pct"/>
                  <w:vAlign w:val="center"/>
                </w:tcPr>
                <w:p w14:paraId="34DFA64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6" w:type="pct"/>
                  <w:vAlign w:val="center"/>
                </w:tcPr>
                <w:p w14:paraId="4649490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2FC3C34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669EA8D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4" w:type="pct"/>
                  <w:vAlign w:val="center"/>
                </w:tcPr>
                <w:p w14:paraId="0DBC1AA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545AA93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3D9E135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7" w:type="pct"/>
                  <w:vAlign w:val="center"/>
                </w:tcPr>
                <w:p w14:paraId="4928505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484" w:type="pct"/>
                  <w:vAlign w:val="center"/>
                </w:tcPr>
                <w:p w14:paraId="5C9B3E7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1293</w:t>
                  </w:r>
                </w:p>
              </w:tc>
              <w:tc>
                <w:tcPr>
                  <w:tcW w:w="397" w:type="pct"/>
                  <w:vAlign w:val="center"/>
                </w:tcPr>
                <w:p w14:paraId="5C59B74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E22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1055331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二苯并[a,h]蒽</w:t>
                  </w:r>
                </w:p>
              </w:tc>
              <w:tc>
                <w:tcPr>
                  <w:tcW w:w="343" w:type="pct"/>
                  <w:vAlign w:val="center"/>
                </w:tcPr>
                <w:p w14:paraId="63AE2CA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4" w:type="pct"/>
                  <w:vAlign w:val="center"/>
                </w:tcPr>
                <w:p w14:paraId="2BCD2F2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6" w:type="pct"/>
                  <w:vAlign w:val="center"/>
                </w:tcPr>
                <w:p w14:paraId="5B3A105C">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651B1F7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1466A19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4" w:type="pct"/>
                  <w:vAlign w:val="center"/>
                </w:tcPr>
                <w:p w14:paraId="4D972C5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75F1A03D">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399513A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7" w:type="pct"/>
                  <w:vAlign w:val="center"/>
                </w:tcPr>
                <w:p w14:paraId="2F5467E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484" w:type="pct"/>
                  <w:vAlign w:val="center"/>
                </w:tcPr>
                <w:p w14:paraId="6060A4F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397" w:type="pct"/>
                  <w:vAlign w:val="center"/>
                </w:tcPr>
                <w:p w14:paraId="487CBB2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B42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2CB932B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茚并[1,2,3-cd]芘</w:t>
                  </w:r>
                </w:p>
              </w:tc>
              <w:tc>
                <w:tcPr>
                  <w:tcW w:w="343" w:type="pct"/>
                  <w:vAlign w:val="center"/>
                </w:tcPr>
                <w:p w14:paraId="05B58E4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4" w:type="pct"/>
                  <w:vAlign w:val="center"/>
                </w:tcPr>
                <w:p w14:paraId="48E815F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6" w:type="pct"/>
                  <w:vAlign w:val="center"/>
                </w:tcPr>
                <w:p w14:paraId="0680C88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7A10221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00F851D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4" w:type="pct"/>
                  <w:vAlign w:val="center"/>
                </w:tcPr>
                <w:p w14:paraId="18FD33E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504F03D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46" w:type="pct"/>
                  <w:vAlign w:val="center"/>
                </w:tcPr>
                <w:p w14:paraId="7F36D31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357" w:type="pct"/>
                  <w:vAlign w:val="center"/>
                </w:tcPr>
                <w:p w14:paraId="78A05A7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484" w:type="pct"/>
                  <w:vAlign w:val="center"/>
                </w:tcPr>
                <w:p w14:paraId="23FB42F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397" w:type="pct"/>
                  <w:vAlign w:val="center"/>
                </w:tcPr>
                <w:p w14:paraId="20DEE2B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A9F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54D7DA6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萘</w:t>
                  </w:r>
                </w:p>
              </w:tc>
              <w:tc>
                <w:tcPr>
                  <w:tcW w:w="343" w:type="pct"/>
                  <w:vAlign w:val="center"/>
                </w:tcPr>
                <w:p w14:paraId="55205B8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4" w:type="pct"/>
                  <w:vAlign w:val="center"/>
                </w:tcPr>
                <w:p w14:paraId="632B86B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56" w:type="pct"/>
                  <w:vAlign w:val="center"/>
                </w:tcPr>
                <w:p w14:paraId="0DE0130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6" w:type="pct"/>
                  <w:vAlign w:val="center"/>
                </w:tcPr>
                <w:p w14:paraId="71D9EEC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6" w:type="pct"/>
                  <w:vAlign w:val="center"/>
                </w:tcPr>
                <w:p w14:paraId="0AD4D6A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54" w:type="pct"/>
                  <w:vAlign w:val="center"/>
                </w:tcPr>
                <w:p w14:paraId="5636F2A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6" w:type="pct"/>
                  <w:vAlign w:val="center"/>
                </w:tcPr>
                <w:p w14:paraId="7742F27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46" w:type="pct"/>
                  <w:vAlign w:val="center"/>
                </w:tcPr>
                <w:p w14:paraId="10BF0EF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357" w:type="pct"/>
                  <w:vAlign w:val="center"/>
                </w:tcPr>
                <w:p w14:paraId="18503EF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484" w:type="pct"/>
                  <w:vAlign w:val="center"/>
                </w:tcPr>
                <w:p w14:paraId="11CDA47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397" w:type="pct"/>
                  <w:vAlign w:val="center"/>
                </w:tcPr>
                <w:p w14:paraId="5511067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D4A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vAlign w:val="center"/>
                </w:tcPr>
                <w:p w14:paraId="664395B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石油总烃</w:t>
                  </w:r>
                </w:p>
              </w:tc>
              <w:tc>
                <w:tcPr>
                  <w:tcW w:w="343" w:type="pct"/>
                  <w:vAlign w:val="center"/>
                </w:tcPr>
                <w:p w14:paraId="5B484AE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344" w:type="pct"/>
                  <w:vAlign w:val="center"/>
                </w:tcPr>
                <w:p w14:paraId="6BE89CA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w:t>
                  </w:r>
                </w:p>
              </w:tc>
              <w:tc>
                <w:tcPr>
                  <w:tcW w:w="356" w:type="pct"/>
                  <w:vAlign w:val="center"/>
                </w:tcPr>
                <w:p w14:paraId="3EB9594C">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17</w:t>
                  </w:r>
                </w:p>
              </w:tc>
              <w:tc>
                <w:tcPr>
                  <w:tcW w:w="346" w:type="pct"/>
                  <w:vAlign w:val="center"/>
                </w:tcPr>
                <w:p w14:paraId="275BAA74">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35</w:t>
                  </w:r>
                </w:p>
              </w:tc>
              <w:tc>
                <w:tcPr>
                  <w:tcW w:w="346" w:type="pct"/>
                  <w:vAlign w:val="center"/>
                </w:tcPr>
                <w:p w14:paraId="1A97450F">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6L</w:t>
                  </w:r>
                </w:p>
              </w:tc>
              <w:tc>
                <w:tcPr>
                  <w:tcW w:w="354" w:type="pct"/>
                  <w:vAlign w:val="center"/>
                </w:tcPr>
                <w:p w14:paraId="72C25823">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6L</w:t>
                  </w:r>
                </w:p>
              </w:tc>
              <w:tc>
                <w:tcPr>
                  <w:tcW w:w="346" w:type="pct"/>
                  <w:vAlign w:val="center"/>
                </w:tcPr>
                <w:p w14:paraId="0E6A037D">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22</w:t>
                  </w:r>
                </w:p>
              </w:tc>
              <w:tc>
                <w:tcPr>
                  <w:tcW w:w="346" w:type="pct"/>
                  <w:vAlign w:val="center"/>
                </w:tcPr>
                <w:p w14:paraId="5786AC4C">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w:t>
                  </w:r>
                </w:p>
              </w:tc>
              <w:tc>
                <w:tcPr>
                  <w:tcW w:w="357" w:type="pct"/>
                  <w:vAlign w:val="center"/>
                </w:tcPr>
                <w:p w14:paraId="2CD94AE5">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14</w:t>
                  </w:r>
                </w:p>
              </w:tc>
              <w:tc>
                <w:tcPr>
                  <w:tcW w:w="484" w:type="pct"/>
                  <w:vAlign w:val="center"/>
                </w:tcPr>
                <w:p w14:paraId="2568E06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4500</w:t>
                  </w:r>
                </w:p>
              </w:tc>
              <w:tc>
                <w:tcPr>
                  <w:tcW w:w="397" w:type="pct"/>
                  <w:vAlign w:val="center"/>
                </w:tcPr>
                <w:p w14:paraId="1A9246D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31B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vAlign w:val="center"/>
                </w:tcPr>
                <w:p w14:paraId="05CEA5EF">
                  <w:pPr>
                    <w:pStyle w:val="69"/>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注：1.“检出限+L”表示检测结果低于分析方法检出限；</w:t>
                  </w:r>
                </w:p>
                <w:p w14:paraId="177B02CD">
                  <w:pPr>
                    <w:pStyle w:val="69"/>
                    <w:ind w:firstLine="420" w:firstLineChars="200"/>
                    <w:jc w:val="left"/>
                    <w:rPr>
                      <w:rFonts w:hint="default" w:ascii="Times New Roman" w:hAnsi="Times New Roman" w:cs="Times New Roman"/>
                      <w:b/>
                      <w:bCs/>
                      <w:color w:val="auto"/>
                      <w:szCs w:val="21"/>
                      <w:highlight w:val="none"/>
                    </w:rPr>
                  </w:pPr>
                  <w:r>
                    <w:rPr>
                      <w:rFonts w:hint="default" w:ascii="Times New Roman" w:hAnsi="Times New Roman" w:eastAsia="宋体" w:cs="Times New Roman"/>
                      <w:color w:val="auto"/>
                      <w:sz w:val="21"/>
                      <w:szCs w:val="21"/>
                      <w:highlight w:val="none"/>
                      <w:lang w:eastAsia="zh-CN"/>
                    </w:rPr>
                    <w:t>2.执行标准为</w:t>
                  </w:r>
                  <w:r>
                    <w:rPr>
                      <w:rFonts w:hint="default" w:ascii="Times New Roman" w:hAnsi="Times New Roman" w:eastAsia="宋体" w:cs="Times New Roman"/>
                      <w:color w:val="auto"/>
                      <w:sz w:val="21"/>
                      <w:szCs w:val="21"/>
                      <w:highlight w:val="none"/>
                      <w:lang w:val="zh-CN" w:eastAsia="zh-CN"/>
                    </w:rPr>
                    <w:t>《土壤环境质量建设用地土壤污染风险管控标准（试行）》（GB36600-2018）表1建设用地土壤污染风险筛选值第二类用地标准</w:t>
                  </w:r>
                  <w:r>
                    <w:rPr>
                      <w:rFonts w:hint="default" w:ascii="Times New Roman" w:hAnsi="Times New Roman" w:eastAsia="宋体" w:cs="Times New Roman"/>
                      <w:color w:val="auto"/>
                      <w:sz w:val="21"/>
                      <w:szCs w:val="21"/>
                      <w:highlight w:val="none"/>
                      <w:lang w:eastAsia="zh-CN"/>
                    </w:rPr>
                    <w:t>。</w:t>
                  </w:r>
                </w:p>
              </w:tc>
            </w:tr>
          </w:tbl>
          <w:p w14:paraId="07E38149">
            <w:pPr>
              <w:pStyle w:val="5"/>
              <w:ind w:firstLine="0" w:firstLineChars="0"/>
              <w:jc w:val="center"/>
              <w:rPr>
                <w:rFonts w:hint="default" w:ascii="Times New Roman" w:hAnsi="Times New Roman" w:cs="Times New Roman"/>
                <w:b/>
                <w:color w:val="auto"/>
                <w:sz w:val="21"/>
                <w:highlight w:val="none"/>
              </w:rPr>
            </w:pPr>
          </w:p>
          <w:p w14:paraId="44B4F124">
            <w:pPr>
              <w:pStyle w:val="5"/>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表</w:t>
            </w:r>
            <w:r>
              <w:rPr>
                <w:rFonts w:hint="eastAsia" w:cs="Times New Roman"/>
                <w:b/>
                <w:color w:val="auto"/>
                <w:sz w:val="21"/>
                <w:highlight w:val="none"/>
                <w:lang w:val="en-US" w:eastAsia="zh-CN"/>
              </w:rPr>
              <w:t xml:space="preserve">3-8 </w:t>
            </w:r>
            <w:r>
              <w:rPr>
                <w:rFonts w:hint="default" w:ascii="Times New Roman" w:hAnsi="Times New Roman" w:cs="Times New Roman"/>
                <w:b/>
                <w:color w:val="auto"/>
                <w:sz w:val="21"/>
                <w:highlight w:val="none"/>
                <w:lang w:val="en-US" w:eastAsia="zh-CN"/>
              </w:rPr>
              <w:t xml:space="preserve">  </w:t>
            </w:r>
            <w:r>
              <w:rPr>
                <w:rFonts w:hint="default" w:ascii="Times New Roman" w:hAnsi="Times New Roman" w:cs="Times New Roman"/>
                <w:b/>
                <w:color w:val="auto"/>
                <w:sz w:val="21"/>
                <w:highlight w:val="none"/>
              </w:rPr>
              <w:t>表层样</w:t>
            </w:r>
            <w:r>
              <w:rPr>
                <w:rFonts w:hint="default" w:ascii="Times New Roman" w:hAnsi="Times New Roman" w:cs="Times New Roman"/>
                <w:b/>
                <w:bCs/>
                <w:color w:val="auto"/>
                <w:highlight w:val="none"/>
              </w:rPr>
              <w:t>土壤环境质量现状监测结果</w:t>
            </w:r>
            <w:r>
              <w:rPr>
                <w:rFonts w:hint="eastAsia" w:cs="Times New Roman"/>
                <w:b/>
                <w:bCs/>
                <w:color w:val="auto"/>
                <w:highlight w:val="none"/>
                <w:lang w:val="en-US" w:eastAsia="zh-CN"/>
              </w:rPr>
              <w:t xml:space="preserve">   </w:t>
            </w:r>
            <w:r>
              <w:rPr>
                <w:rFonts w:hint="default" w:ascii="Times New Roman" w:hAnsi="Times New Roman" w:cs="Times New Roman"/>
                <w:b/>
                <w:color w:val="auto"/>
                <w:sz w:val="21"/>
                <w:highlight w:val="none"/>
              </w:rPr>
              <w:t>单位：mg/kg</w:t>
            </w:r>
          </w:p>
          <w:tbl>
            <w:tblPr>
              <w:tblStyle w:val="25"/>
              <w:tblW w:w="44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1636"/>
              <w:gridCol w:w="2573"/>
              <w:gridCol w:w="874"/>
            </w:tblGrid>
            <w:tr w14:paraId="15C1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09" w:type="pct"/>
                  <w:vMerge w:val="restart"/>
                  <w:vAlign w:val="center"/>
                </w:tcPr>
                <w:p w14:paraId="05C8F87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1091" w:type="pct"/>
                  <w:vAlign w:val="center"/>
                </w:tcPr>
                <w:p w14:paraId="7788A6EB">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表层样</w:t>
                  </w:r>
                  <w:r>
                    <w:rPr>
                      <w:rFonts w:hint="default" w:ascii="Times New Roman" w:hAnsi="Times New Roman" w:cs="Times New Roman"/>
                      <w:color w:val="auto"/>
                      <w:szCs w:val="21"/>
                      <w:highlight w:val="none"/>
                    </w:rPr>
                    <w:t>1#</w:t>
                  </w:r>
                </w:p>
              </w:tc>
              <w:tc>
                <w:tcPr>
                  <w:tcW w:w="1716" w:type="pct"/>
                  <w:vAlign w:val="center"/>
                </w:tcPr>
                <w:p w14:paraId="35EAC9C5">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标准值</w:t>
                  </w:r>
                </w:p>
              </w:tc>
              <w:tc>
                <w:tcPr>
                  <w:tcW w:w="582" w:type="pct"/>
                  <w:vMerge w:val="restart"/>
                  <w:vAlign w:val="center"/>
                </w:tcPr>
                <w:p w14:paraId="4DE84743">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达标情况</w:t>
                  </w:r>
                </w:p>
              </w:tc>
            </w:tr>
            <w:tr w14:paraId="29A2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09" w:type="pct"/>
                  <w:vMerge w:val="continue"/>
                  <w:vAlign w:val="center"/>
                </w:tcPr>
                <w:p w14:paraId="5D780D1D">
                  <w:pPr>
                    <w:adjustRightInd w:val="0"/>
                    <w:snapToGrid w:val="0"/>
                    <w:jc w:val="center"/>
                    <w:rPr>
                      <w:rFonts w:hint="default" w:ascii="Times New Roman" w:hAnsi="Times New Roman" w:cs="Times New Roman"/>
                      <w:b/>
                      <w:bCs/>
                      <w:color w:val="auto"/>
                      <w:szCs w:val="21"/>
                      <w:highlight w:val="none"/>
                    </w:rPr>
                  </w:pPr>
                </w:p>
              </w:tc>
              <w:tc>
                <w:tcPr>
                  <w:tcW w:w="1091" w:type="pct"/>
                  <w:vAlign w:val="center"/>
                </w:tcPr>
                <w:p w14:paraId="33477EE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0~0.2m</w:t>
                  </w:r>
                </w:p>
              </w:tc>
              <w:tc>
                <w:tcPr>
                  <w:tcW w:w="1716" w:type="pct"/>
                  <w:vAlign w:val="center"/>
                </w:tcPr>
                <w:p w14:paraId="2ED2DA11">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GB36600-2018中二类用地筛选值</w:t>
                  </w:r>
                </w:p>
              </w:tc>
              <w:tc>
                <w:tcPr>
                  <w:tcW w:w="582" w:type="pct"/>
                  <w:vMerge w:val="continue"/>
                  <w:vAlign w:val="center"/>
                </w:tcPr>
                <w:p w14:paraId="7FCE49BC">
                  <w:pPr>
                    <w:adjustRightInd w:val="0"/>
                    <w:snapToGrid w:val="0"/>
                    <w:jc w:val="center"/>
                    <w:rPr>
                      <w:rFonts w:hint="default" w:ascii="Times New Roman" w:hAnsi="Times New Roman" w:cs="Times New Roman"/>
                      <w:b/>
                      <w:bCs/>
                      <w:color w:val="auto"/>
                      <w:szCs w:val="21"/>
                      <w:highlight w:val="none"/>
                    </w:rPr>
                  </w:pPr>
                </w:p>
              </w:tc>
            </w:tr>
            <w:tr w14:paraId="4D12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27A457E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砷</w:t>
                  </w:r>
                </w:p>
              </w:tc>
              <w:tc>
                <w:tcPr>
                  <w:tcW w:w="1091" w:type="pct"/>
                  <w:vAlign w:val="center"/>
                </w:tcPr>
                <w:p w14:paraId="2B2A787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w:t>
                  </w:r>
                </w:p>
              </w:tc>
              <w:tc>
                <w:tcPr>
                  <w:tcW w:w="1716" w:type="pct"/>
                  <w:vAlign w:val="center"/>
                </w:tcPr>
                <w:p w14:paraId="26E89A3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582" w:type="pct"/>
                  <w:vAlign w:val="center"/>
                </w:tcPr>
                <w:p w14:paraId="34617FF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7A6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2F4FA5A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镉</w:t>
                  </w:r>
                </w:p>
              </w:tc>
              <w:tc>
                <w:tcPr>
                  <w:tcW w:w="1091" w:type="pct"/>
                  <w:vAlign w:val="center"/>
                </w:tcPr>
                <w:p w14:paraId="7FC2624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0.07</w:t>
                  </w:r>
                </w:p>
              </w:tc>
              <w:tc>
                <w:tcPr>
                  <w:tcW w:w="1716" w:type="pct"/>
                  <w:vAlign w:val="center"/>
                </w:tcPr>
                <w:p w14:paraId="61D0608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w:t>
                  </w:r>
                </w:p>
              </w:tc>
              <w:tc>
                <w:tcPr>
                  <w:tcW w:w="582" w:type="pct"/>
                  <w:vAlign w:val="center"/>
                </w:tcPr>
                <w:p w14:paraId="1A6F795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16F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693D63A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铜</w:t>
                  </w:r>
                </w:p>
              </w:tc>
              <w:tc>
                <w:tcPr>
                  <w:tcW w:w="1091" w:type="pct"/>
                  <w:vAlign w:val="center"/>
                </w:tcPr>
                <w:p w14:paraId="00B9BD2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348</w:t>
                  </w:r>
                </w:p>
              </w:tc>
              <w:tc>
                <w:tcPr>
                  <w:tcW w:w="1716" w:type="pct"/>
                  <w:vAlign w:val="center"/>
                </w:tcPr>
                <w:p w14:paraId="7D23905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18000</w:t>
                  </w:r>
                </w:p>
              </w:tc>
              <w:tc>
                <w:tcPr>
                  <w:tcW w:w="582" w:type="pct"/>
                  <w:vAlign w:val="center"/>
                </w:tcPr>
                <w:p w14:paraId="523180A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7C6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7CF52213">
                  <w:pPr>
                    <w:widowControl/>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铅</w:t>
                  </w:r>
                </w:p>
              </w:tc>
              <w:tc>
                <w:tcPr>
                  <w:tcW w:w="1091" w:type="pct"/>
                  <w:vAlign w:val="center"/>
                </w:tcPr>
                <w:p w14:paraId="313B61C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1716" w:type="pct"/>
                  <w:vAlign w:val="center"/>
                </w:tcPr>
                <w:p w14:paraId="2EE860C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800</w:t>
                  </w:r>
                </w:p>
              </w:tc>
              <w:tc>
                <w:tcPr>
                  <w:tcW w:w="582" w:type="pct"/>
                  <w:vAlign w:val="center"/>
                </w:tcPr>
                <w:p w14:paraId="3586A49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EE1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9" w:type="pct"/>
                  <w:vAlign w:val="center"/>
                </w:tcPr>
                <w:p w14:paraId="16466C5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汞</w:t>
                  </w:r>
                </w:p>
              </w:tc>
              <w:tc>
                <w:tcPr>
                  <w:tcW w:w="1091" w:type="pct"/>
                  <w:vAlign w:val="center"/>
                </w:tcPr>
                <w:p w14:paraId="49F10C7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0.051</w:t>
                  </w:r>
                </w:p>
              </w:tc>
              <w:tc>
                <w:tcPr>
                  <w:tcW w:w="1716" w:type="pct"/>
                  <w:vAlign w:val="center"/>
                </w:tcPr>
                <w:p w14:paraId="6476584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38</w:t>
                  </w:r>
                </w:p>
              </w:tc>
              <w:tc>
                <w:tcPr>
                  <w:tcW w:w="582" w:type="pct"/>
                  <w:vAlign w:val="center"/>
                </w:tcPr>
                <w:p w14:paraId="2D7B305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89D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01B88F4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镍</w:t>
                  </w:r>
                </w:p>
              </w:tc>
              <w:tc>
                <w:tcPr>
                  <w:tcW w:w="1091" w:type="pct"/>
                  <w:vAlign w:val="center"/>
                </w:tcPr>
                <w:p w14:paraId="5A4FAB7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162</w:t>
                  </w:r>
                </w:p>
              </w:tc>
              <w:tc>
                <w:tcPr>
                  <w:tcW w:w="1716" w:type="pct"/>
                  <w:vAlign w:val="center"/>
                </w:tcPr>
                <w:p w14:paraId="4308D3C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900</w:t>
                  </w:r>
                </w:p>
              </w:tc>
              <w:tc>
                <w:tcPr>
                  <w:tcW w:w="582" w:type="pct"/>
                  <w:vAlign w:val="center"/>
                </w:tcPr>
                <w:p w14:paraId="49D331C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135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50B3B10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氟化物</w:t>
                  </w:r>
                </w:p>
              </w:tc>
              <w:tc>
                <w:tcPr>
                  <w:tcW w:w="1091" w:type="pct"/>
                  <w:vAlign w:val="center"/>
                </w:tcPr>
                <w:p w14:paraId="5209C01F">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25.7</w:t>
                  </w:r>
                </w:p>
              </w:tc>
              <w:tc>
                <w:tcPr>
                  <w:tcW w:w="1716" w:type="pct"/>
                  <w:vAlign w:val="center"/>
                </w:tcPr>
                <w:p w14:paraId="7F7CAC5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82" w:type="pct"/>
                  <w:vAlign w:val="center"/>
                </w:tcPr>
                <w:p w14:paraId="32D1EA5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967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9" w:type="pct"/>
                  <w:vAlign w:val="center"/>
                </w:tcPr>
                <w:p w14:paraId="45F7D2F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六价铬</w:t>
                  </w:r>
                </w:p>
              </w:tc>
              <w:tc>
                <w:tcPr>
                  <w:tcW w:w="1091" w:type="pct"/>
                  <w:vAlign w:val="center"/>
                </w:tcPr>
                <w:p w14:paraId="6B76CEE8">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0.5L</w:t>
                  </w:r>
                </w:p>
              </w:tc>
              <w:tc>
                <w:tcPr>
                  <w:tcW w:w="1716" w:type="pct"/>
                  <w:vAlign w:val="center"/>
                </w:tcPr>
                <w:p w14:paraId="7EFDD16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w:t>
                  </w:r>
                </w:p>
              </w:tc>
              <w:tc>
                <w:tcPr>
                  <w:tcW w:w="582" w:type="pct"/>
                  <w:vAlign w:val="center"/>
                </w:tcPr>
                <w:p w14:paraId="111B3AE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E21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52BA3AC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四氯化碳</w:t>
                  </w:r>
                </w:p>
              </w:tc>
              <w:tc>
                <w:tcPr>
                  <w:tcW w:w="1091" w:type="pct"/>
                  <w:vAlign w:val="center"/>
                </w:tcPr>
                <w:p w14:paraId="6D13207D">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6.1</w:t>
                  </w:r>
                </w:p>
              </w:tc>
              <w:tc>
                <w:tcPr>
                  <w:tcW w:w="1716" w:type="pct"/>
                  <w:vAlign w:val="center"/>
                </w:tcPr>
                <w:p w14:paraId="74C1B26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582" w:type="pct"/>
                  <w:vAlign w:val="center"/>
                </w:tcPr>
                <w:p w14:paraId="3630DDF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954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4917547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氯仿</w:t>
                  </w:r>
                </w:p>
              </w:tc>
              <w:tc>
                <w:tcPr>
                  <w:tcW w:w="1091" w:type="pct"/>
                  <w:vAlign w:val="center"/>
                </w:tcPr>
                <w:p w14:paraId="0AC629D5">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1.1L</w:t>
                  </w:r>
                </w:p>
              </w:tc>
              <w:tc>
                <w:tcPr>
                  <w:tcW w:w="1716" w:type="pct"/>
                  <w:vAlign w:val="center"/>
                </w:tcPr>
                <w:p w14:paraId="2219B62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582" w:type="pct"/>
                  <w:vAlign w:val="center"/>
                </w:tcPr>
                <w:p w14:paraId="2356D08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B1F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0F67C18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氯甲烷</w:t>
                  </w:r>
                </w:p>
              </w:tc>
              <w:tc>
                <w:tcPr>
                  <w:tcW w:w="1091" w:type="pct"/>
                  <w:vAlign w:val="center"/>
                </w:tcPr>
                <w:p w14:paraId="7C139DC0">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1.0L</w:t>
                  </w:r>
                </w:p>
              </w:tc>
              <w:tc>
                <w:tcPr>
                  <w:tcW w:w="1716" w:type="pct"/>
                  <w:vAlign w:val="center"/>
                </w:tcPr>
                <w:p w14:paraId="73F9EB3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w:t>
                  </w:r>
                </w:p>
              </w:tc>
              <w:tc>
                <w:tcPr>
                  <w:tcW w:w="582" w:type="pct"/>
                  <w:vAlign w:val="center"/>
                </w:tcPr>
                <w:p w14:paraId="4D8C39F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EBC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609" w:type="pct"/>
                  <w:vAlign w:val="center"/>
                </w:tcPr>
                <w:p w14:paraId="4A9A68A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1,1-二氯乙烷</w:t>
                  </w:r>
                </w:p>
              </w:tc>
              <w:tc>
                <w:tcPr>
                  <w:tcW w:w="1091" w:type="pct"/>
                  <w:vAlign w:val="center"/>
                </w:tcPr>
                <w:p w14:paraId="593A4D9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1716" w:type="pct"/>
                  <w:vAlign w:val="center"/>
                </w:tcPr>
                <w:p w14:paraId="730353B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582" w:type="pct"/>
                  <w:vAlign w:val="center"/>
                </w:tcPr>
                <w:p w14:paraId="783E6A5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966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609" w:type="pct"/>
                  <w:vAlign w:val="center"/>
                </w:tcPr>
                <w:p w14:paraId="4408676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1,2-二氯乙烷</w:t>
                  </w:r>
                </w:p>
              </w:tc>
              <w:tc>
                <w:tcPr>
                  <w:tcW w:w="1091" w:type="pct"/>
                  <w:vAlign w:val="center"/>
                </w:tcPr>
                <w:p w14:paraId="6000CE10">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w:t>
                  </w:r>
                </w:p>
              </w:tc>
              <w:tc>
                <w:tcPr>
                  <w:tcW w:w="1716" w:type="pct"/>
                  <w:vAlign w:val="center"/>
                </w:tcPr>
                <w:p w14:paraId="707E7DC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582" w:type="pct"/>
                  <w:vAlign w:val="center"/>
                </w:tcPr>
                <w:p w14:paraId="3A14B98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D19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5D34814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1,1-二氯乙烯</w:t>
                  </w:r>
                </w:p>
              </w:tc>
              <w:tc>
                <w:tcPr>
                  <w:tcW w:w="1091" w:type="pct"/>
                  <w:vAlign w:val="center"/>
                </w:tcPr>
                <w:p w14:paraId="2C259EE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1716" w:type="pct"/>
                  <w:vAlign w:val="center"/>
                </w:tcPr>
                <w:p w14:paraId="693C4B6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66</w:t>
                  </w:r>
                </w:p>
              </w:tc>
              <w:tc>
                <w:tcPr>
                  <w:tcW w:w="582" w:type="pct"/>
                  <w:vAlign w:val="center"/>
                </w:tcPr>
                <w:p w14:paraId="438DE22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36F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03F72FD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顺式-1,2-二氯乙烯</w:t>
                  </w:r>
                </w:p>
              </w:tc>
              <w:tc>
                <w:tcPr>
                  <w:tcW w:w="1091" w:type="pct"/>
                  <w:vAlign w:val="center"/>
                </w:tcPr>
                <w:p w14:paraId="2208C71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1716" w:type="pct"/>
                  <w:vAlign w:val="center"/>
                </w:tcPr>
                <w:p w14:paraId="7C1C44F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596</w:t>
                  </w:r>
                </w:p>
              </w:tc>
              <w:tc>
                <w:tcPr>
                  <w:tcW w:w="582" w:type="pct"/>
                  <w:vAlign w:val="center"/>
                </w:tcPr>
                <w:p w14:paraId="36BE5C3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19A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09" w:type="pct"/>
                  <w:vAlign w:val="center"/>
                </w:tcPr>
                <w:p w14:paraId="6975BD6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反式-1,2-二氯乙烯</w:t>
                  </w:r>
                </w:p>
              </w:tc>
              <w:tc>
                <w:tcPr>
                  <w:tcW w:w="1091" w:type="pct"/>
                  <w:vAlign w:val="center"/>
                </w:tcPr>
                <w:p w14:paraId="1FB8A326">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1.4L</w:t>
                  </w:r>
                </w:p>
              </w:tc>
              <w:tc>
                <w:tcPr>
                  <w:tcW w:w="1716" w:type="pct"/>
                  <w:vAlign w:val="center"/>
                </w:tcPr>
                <w:p w14:paraId="6F8A6D2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w:t>
                  </w:r>
                </w:p>
              </w:tc>
              <w:tc>
                <w:tcPr>
                  <w:tcW w:w="582" w:type="pct"/>
                  <w:vAlign w:val="center"/>
                </w:tcPr>
                <w:p w14:paraId="1D7C2A14">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达标</w:t>
                  </w:r>
                </w:p>
              </w:tc>
            </w:tr>
            <w:tr w14:paraId="5577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7E21E4E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二氯甲烷</w:t>
                  </w:r>
                </w:p>
              </w:tc>
              <w:tc>
                <w:tcPr>
                  <w:tcW w:w="1091" w:type="pct"/>
                  <w:vAlign w:val="center"/>
                </w:tcPr>
                <w:p w14:paraId="4D14A463">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1.5L</w:t>
                  </w:r>
                </w:p>
              </w:tc>
              <w:tc>
                <w:tcPr>
                  <w:tcW w:w="1716" w:type="pct"/>
                  <w:vAlign w:val="center"/>
                </w:tcPr>
                <w:p w14:paraId="0F32699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616</w:t>
                  </w:r>
                </w:p>
              </w:tc>
              <w:tc>
                <w:tcPr>
                  <w:tcW w:w="582" w:type="pct"/>
                  <w:vAlign w:val="center"/>
                </w:tcPr>
                <w:p w14:paraId="0CC467BA">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达标</w:t>
                  </w:r>
                </w:p>
              </w:tc>
            </w:tr>
            <w:tr w14:paraId="4E40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006C970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1,2-二氯丙烷</w:t>
                  </w:r>
                </w:p>
              </w:tc>
              <w:tc>
                <w:tcPr>
                  <w:tcW w:w="1091" w:type="pct"/>
                  <w:vAlign w:val="center"/>
                </w:tcPr>
                <w:p w14:paraId="2174FA00">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1.1L</w:t>
                  </w:r>
                </w:p>
              </w:tc>
              <w:tc>
                <w:tcPr>
                  <w:tcW w:w="1716" w:type="pct"/>
                  <w:vAlign w:val="center"/>
                </w:tcPr>
                <w:p w14:paraId="0069E86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582" w:type="pct"/>
                  <w:vAlign w:val="center"/>
                </w:tcPr>
                <w:p w14:paraId="25A920F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达标</w:t>
                  </w:r>
                </w:p>
              </w:tc>
            </w:tr>
            <w:tr w14:paraId="4654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699DC81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1,1,1,2-四氯乙烷</w:t>
                  </w:r>
                </w:p>
              </w:tc>
              <w:tc>
                <w:tcPr>
                  <w:tcW w:w="1091" w:type="pct"/>
                  <w:vAlign w:val="center"/>
                </w:tcPr>
                <w:p w14:paraId="24B8E5E0">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1.2L</w:t>
                  </w:r>
                </w:p>
              </w:tc>
              <w:tc>
                <w:tcPr>
                  <w:tcW w:w="1716" w:type="pct"/>
                  <w:vAlign w:val="center"/>
                </w:tcPr>
                <w:p w14:paraId="1F559D6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582" w:type="pct"/>
                  <w:vAlign w:val="center"/>
                </w:tcPr>
                <w:p w14:paraId="29E1CA5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达标</w:t>
                  </w:r>
                </w:p>
              </w:tc>
            </w:tr>
            <w:tr w14:paraId="2C29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6637A0A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1,1,2,2-四氯乙烷</w:t>
                  </w:r>
                </w:p>
              </w:tc>
              <w:tc>
                <w:tcPr>
                  <w:tcW w:w="1091" w:type="pct"/>
                  <w:vAlign w:val="center"/>
                </w:tcPr>
                <w:p w14:paraId="3C321CD9">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5.8</w:t>
                  </w:r>
                </w:p>
              </w:tc>
              <w:tc>
                <w:tcPr>
                  <w:tcW w:w="1716" w:type="pct"/>
                  <w:vAlign w:val="center"/>
                </w:tcPr>
                <w:p w14:paraId="6A1DF5D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6.8</w:t>
                  </w:r>
                </w:p>
              </w:tc>
              <w:tc>
                <w:tcPr>
                  <w:tcW w:w="582" w:type="pct"/>
                  <w:vAlign w:val="center"/>
                </w:tcPr>
                <w:p w14:paraId="3D3A2C4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达标</w:t>
                  </w:r>
                </w:p>
              </w:tc>
            </w:tr>
            <w:tr w14:paraId="1A1B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6F947CC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四氯乙烯</w:t>
                  </w:r>
                </w:p>
              </w:tc>
              <w:tc>
                <w:tcPr>
                  <w:tcW w:w="1091" w:type="pct"/>
                  <w:vAlign w:val="center"/>
                </w:tcPr>
                <w:p w14:paraId="35A52B6C">
                  <w:pPr>
                    <w:autoSpaceDN w:val="0"/>
                    <w:adjustRightInd w:val="0"/>
                    <w:snapToGrid w:val="0"/>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10.5</w:t>
                  </w:r>
                </w:p>
              </w:tc>
              <w:tc>
                <w:tcPr>
                  <w:tcW w:w="1716" w:type="pct"/>
                  <w:vAlign w:val="center"/>
                </w:tcPr>
                <w:p w14:paraId="68C6A06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w:t>
                  </w:r>
                </w:p>
              </w:tc>
              <w:tc>
                <w:tcPr>
                  <w:tcW w:w="582" w:type="pct"/>
                  <w:vAlign w:val="center"/>
                </w:tcPr>
                <w:p w14:paraId="1D09986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达标</w:t>
                  </w:r>
                </w:p>
              </w:tc>
            </w:tr>
            <w:tr w14:paraId="5370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1502B67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1,1,1-三氯乙烷</w:t>
                  </w:r>
                </w:p>
              </w:tc>
              <w:tc>
                <w:tcPr>
                  <w:tcW w:w="1091" w:type="pct"/>
                  <w:vAlign w:val="center"/>
                </w:tcPr>
                <w:p w14:paraId="6317879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1.3L</w:t>
                  </w:r>
                </w:p>
              </w:tc>
              <w:tc>
                <w:tcPr>
                  <w:tcW w:w="1716" w:type="pct"/>
                  <w:vAlign w:val="center"/>
                </w:tcPr>
                <w:p w14:paraId="53B8D30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840</w:t>
                  </w:r>
                </w:p>
              </w:tc>
              <w:tc>
                <w:tcPr>
                  <w:tcW w:w="582" w:type="pct"/>
                  <w:vAlign w:val="center"/>
                </w:tcPr>
                <w:p w14:paraId="4D979DB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2D1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3BE337C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1,1,2-三氯乙烷</w:t>
                  </w:r>
                </w:p>
              </w:tc>
              <w:tc>
                <w:tcPr>
                  <w:tcW w:w="1091" w:type="pct"/>
                  <w:vAlign w:val="center"/>
                </w:tcPr>
                <w:p w14:paraId="0167D895">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1716" w:type="pct"/>
                  <w:vAlign w:val="center"/>
                </w:tcPr>
                <w:p w14:paraId="7323190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582" w:type="pct"/>
                  <w:vAlign w:val="center"/>
                </w:tcPr>
                <w:p w14:paraId="17C5D04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FFB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6D28E5E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三氯乙烯</w:t>
                  </w:r>
                </w:p>
              </w:tc>
              <w:tc>
                <w:tcPr>
                  <w:tcW w:w="1091" w:type="pct"/>
                  <w:vAlign w:val="center"/>
                </w:tcPr>
                <w:p w14:paraId="134070D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1716" w:type="pct"/>
                  <w:vAlign w:val="center"/>
                </w:tcPr>
                <w:p w14:paraId="1553266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582" w:type="pct"/>
                  <w:vAlign w:val="center"/>
                </w:tcPr>
                <w:p w14:paraId="7E4EA54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1CC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09" w:type="pct"/>
                  <w:vAlign w:val="center"/>
                </w:tcPr>
                <w:p w14:paraId="612165E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1,2,3-三氯丙烷</w:t>
                  </w:r>
                </w:p>
              </w:tc>
              <w:tc>
                <w:tcPr>
                  <w:tcW w:w="1091" w:type="pct"/>
                  <w:vAlign w:val="center"/>
                </w:tcPr>
                <w:p w14:paraId="2B6CCB2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1716" w:type="pct"/>
                  <w:vAlign w:val="center"/>
                </w:tcPr>
                <w:p w14:paraId="478D128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w:t>
                  </w:r>
                </w:p>
              </w:tc>
              <w:tc>
                <w:tcPr>
                  <w:tcW w:w="582" w:type="pct"/>
                  <w:vAlign w:val="center"/>
                </w:tcPr>
                <w:p w14:paraId="323C13B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78C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0BA6BDA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氯乙烯</w:t>
                  </w:r>
                </w:p>
              </w:tc>
              <w:tc>
                <w:tcPr>
                  <w:tcW w:w="1091" w:type="pct"/>
                  <w:vAlign w:val="center"/>
                </w:tcPr>
                <w:p w14:paraId="46D79F9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1.0L</w:t>
                  </w:r>
                </w:p>
              </w:tc>
              <w:tc>
                <w:tcPr>
                  <w:tcW w:w="1716" w:type="pct"/>
                  <w:vAlign w:val="center"/>
                </w:tcPr>
                <w:p w14:paraId="7A696A3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0.43</w:t>
                  </w:r>
                </w:p>
              </w:tc>
              <w:tc>
                <w:tcPr>
                  <w:tcW w:w="582" w:type="pct"/>
                  <w:vAlign w:val="center"/>
                </w:tcPr>
                <w:p w14:paraId="6E3A00F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1B1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09" w:type="pct"/>
                  <w:vAlign w:val="center"/>
                </w:tcPr>
                <w:p w14:paraId="054A960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w:t>
                  </w:r>
                </w:p>
              </w:tc>
              <w:tc>
                <w:tcPr>
                  <w:tcW w:w="1091" w:type="pct"/>
                  <w:vAlign w:val="center"/>
                </w:tcPr>
                <w:p w14:paraId="08B03B2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1.9L</w:t>
                  </w:r>
                </w:p>
              </w:tc>
              <w:tc>
                <w:tcPr>
                  <w:tcW w:w="1716" w:type="pct"/>
                  <w:vAlign w:val="center"/>
                </w:tcPr>
                <w:p w14:paraId="7F06CD5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582" w:type="pct"/>
                  <w:vAlign w:val="center"/>
                </w:tcPr>
                <w:p w14:paraId="078CFB4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814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3BFEB85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氯苯</w:t>
                  </w:r>
                </w:p>
              </w:tc>
              <w:tc>
                <w:tcPr>
                  <w:tcW w:w="1091" w:type="pct"/>
                  <w:vAlign w:val="center"/>
                </w:tcPr>
                <w:p w14:paraId="59DD453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1716" w:type="pct"/>
                  <w:vAlign w:val="center"/>
                </w:tcPr>
                <w:p w14:paraId="7BE4A7B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270</w:t>
                  </w:r>
                </w:p>
              </w:tc>
              <w:tc>
                <w:tcPr>
                  <w:tcW w:w="582" w:type="pct"/>
                  <w:vAlign w:val="center"/>
                </w:tcPr>
                <w:p w14:paraId="1941D56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ABF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7012554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1,2-二氯苯</w:t>
                  </w:r>
                </w:p>
              </w:tc>
              <w:tc>
                <w:tcPr>
                  <w:tcW w:w="1091" w:type="pct"/>
                  <w:vAlign w:val="center"/>
                </w:tcPr>
                <w:p w14:paraId="6AED0B9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1716" w:type="pct"/>
                  <w:vAlign w:val="center"/>
                </w:tcPr>
                <w:p w14:paraId="1A0BEA8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560</w:t>
                  </w:r>
                </w:p>
              </w:tc>
              <w:tc>
                <w:tcPr>
                  <w:tcW w:w="582" w:type="pct"/>
                  <w:vAlign w:val="center"/>
                </w:tcPr>
                <w:p w14:paraId="78860B8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464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13D3780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1,4-二氯苯</w:t>
                  </w:r>
                </w:p>
              </w:tc>
              <w:tc>
                <w:tcPr>
                  <w:tcW w:w="1091" w:type="pct"/>
                  <w:vAlign w:val="center"/>
                </w:tcPr>
                <w:p w14:paraId="76861E18">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1.5L</w:t>
                  </w:r>
                </w:p>
              </w:tc>
              <w:tc>
                <w:tcPr>
                  <w:tcW w:w="1716" w:type="pct"/>
                  <w:vAlign w:val="center"/>
                </w:tcPr>
                <w:p w14:paraId="183078A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582" w:type="pct"/>
                  <w:vAlign w:val="center"/>
                </w:tcPr>
                <w:p w14:paraId="406A6DF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5B2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609" w:type="pct"/>
                  <w:vAlign w:val="center"/>
                </w:tcPr>
                <w:p w14:paraId="305F565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乙苯</w:t>
                  </w:r>
                </w:p>
              </w:tc>
              <w:tc>
                <w:tcPr>
                  <w:tcW w:w="1091" w:type="pct"/>
                  <w:vAlign w:val="center"/>
                </w:tcPr>
                <w:p w14:paraId="589F2C07">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1716" w:type="pct"/>
                  <w:vAlign w:val="center"/>
                </w:tcPr>
                <w:p w14:paraId="3BB1729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582" w:type="pct"/>
                  <w:vAlign w:val="center"/>
                </w:tcPr>
                <w:p w14:paraId="47E6FB3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533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2190747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苯乙烯</w:t>
                  </w:r>
                </w:p>
              </w:tc>
              <w:tc>
                <w:tcPr>
                  <w:tcW w:w="1091" w:type="pct"/>
                  <w:vAlign w:val="center"/>
                </w:tcPr>
                <w:p w14:paraId="06CC9424">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1.1L</w:t>
                  </w:r>
                </w:p>
              </w:tc>
              <w:tc>
                <w:tcPr>
                  <w:tcW w:w="1716" w:type="pct"/>
                  <w:vAlign w:val="center"/>
                </w:tcPr>
                <w:p w14:paraId="20ED906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1290</w:t>
                  </w:r>
                </w:p>
              </w:tc>
              <w:tc>
                <w:tcPr>
                  <w:tcW w:w="582" w:type="pct"/>
                  <w:vAlign w:val="center"/>
                </w:tcPr>
                <w:p w14:paraId="0A2CEB7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6A6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0B6C61C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甲苯</w:t>
                  </w:r>
                </w:p>
              </w:tc>
              <w:tc>
                <w:tcPr>
                  <w:tcW w:w="1091" w:type="pct"/>
                  <w:vAlign w:val="center"/>
                </w:tcPr>
                <w:p w14:paraId="39C7AFD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2.7</w:t>
                  </w:r>
                </w:p>
              </w:tc>
              <w:tc>
                <w:tcPr>
                  <w:tcW w:w="1716" w:type="pct"/>
                  <w:vAlign w:val="center"/>
                </w:tcPr>
                <w:p w14:paraId="42C2CA9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1200</w:t>
                  </w:r>
                </w:p>
              </w:tc>
              <w:tc>
                <w:tcPr>
                  <w:tcW w:w="582" w:type="pct"/>
                  <w:vAlign w:val="center"/>
                </w:tcPr>
                <w:p w14:paraId="3DBAE3C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99B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32DACE0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间，对-二甲苯</w:t>
                  </w:r>
                </w:p>
              </w:tc>
              <w:tc>
                <w:tcPr>
                  <w:tcW w:w="1091" w:type="pct"/>
                  <w:vAlign w:val="center"/>
                </w:tcPr>
                <w:p w14:paraId="68B9A359">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1716" w:type="pct"/>
                  <w:vAlign w:val="center"/>
                </w:tcPr>
                <w:p w14:paraId="76098D1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570</w:t>
                  </w:r>
                </w:p>
              </w:tc>
              <w:tc>
                <w:tcPr>
                  <w:tcW w:w="582" w:type="pct"/>
                  <w:vAlign w:val="center"/>
                </w:tcPr>
                <w:p w14:paraId="492EB1E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0E1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6C9DFE0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邻二甲苯</w:t>
                  </w:r>
                </w:p>
              </w:tc>
              <w:tc>
                <w:tcPr>
                  <w:tcW w:w="1091" w:type="pct"/>
                  <w:vAlign w:val="center"/>
                </w:tcPr>
                <w:p w14:paraId="47823FA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1.2L</w:t>
                  </w:r>
                </w:p>
              </w:tc>
              <w:tc>
                <w:tcPr>
                  <w:tcW w:w="1716" w:type="pct"/>
                  <w:vAlign w:val="center"/>
                </w:tcPr>
                <w:p w14:paraId="50F084A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640</w:t>
                  </w:r>
                </w:p>
              </w:tc>
              <w:tc>
                <w:tcPr>
                  <w:tcW w:w="582" w:type="pct"/>
                  <w:vAlign w:val="center"/>
                </w:tcPr>
                <w:p w14:paraId="1B0AAEF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941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176F85A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硝基苯</w:t>
                  </w:r>
                </w:p>
              </w:tc>
              <w:tc>
                <w:tcPr>
                  <w:tcW w:w="1091" w:type="pct"/>
                  <w:vAlign w:val="center"/>
                </w:tcPr>
                <w:p w14:paraId="4628AB0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1716" w:type="pct"/>
                  <w:vAlign w:val="center"/>
                </w:tcPr>
                <w:p w14:paraId="375EB18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w:t>
                  </w:r>
                </w:p>
              </w:tc>
              <w:tc>
                <w:tcPr>
                  <w:tcW w:w="582" w:type="pct"/>
                  <w:vAlign w:val="center"/>
                </w:tcPr>
                <w:p w14:paraId="747020B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F2A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7ED72A9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苯胺</w:t>
                  </w:r>
                </w:p>
              </w:tc>
              <w:tc>
                <w:tcPr>
                  <w:tcW w:w="1091" w:type="pct"/>
                  <w:vAlign w:val="center"/>
                </w:tcPr>
                <w:p w14:paraId="501532B3">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0.017L</w:t>
                  </w:r>
                </w:p>
              </w:tc>
              <w:tc>
                <w:tcPr>
                  <w:tcW w:w="1716" w:type="pct"/>
                  <w:vAlign w:val="center"/>
                </w:tcPr>
                <w:p w14:paraId="57C2667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260</w:t>
                  </w:r>
                </w:p>
              </w:tc>
              <w:tc>
                <w:tcPr>
                  <w:tcW w:w="582" w:type="pct"/>
                  <w:vAlign w:val="center"/>
                </w:tcPr>
                <w:p w14:paraId="6418751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197B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2499B44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2-氯酚</w:t>
                  </w:r>
                </w:p>
              </w:tc>
              <w:tc>
                <w:tcPr>
                  <w:tcW w:w="1091" w:type="pct"/>
                  <w:vAlign w:val="center"/>
                </w:tcPr>
                <w:p w14:paraId="4EB0464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0.06L</w:t>
                  </w:r>
                </w:p>
              </w:tc>
              <w:tc>
                <w:tcPr>
                  <w:tcW w:w="1716" w:type="pct"/>
                  <w:vAlign w:val="center"/>
                </w:tcPr>
                <w:p w14:paraId="24DBBF5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2256</w:t>
                  </w:r>
                </w:p>
              </w:tc>
              <w:tc>
                <w:tcPr>
                  <w:tcW w:w="582" w:type="pct"/>
                  <w:vAlign w:val="center"/>
                </w:tcPr>
                <w:p w14:paraId="6BA392A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AF9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2775E2C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苯并（a）蒽</w:t>
                  </w:r>
                </w:p>
              </w:tc>
              <w:tc>
                <w:tcPr>
                  <w:tcW w:w="1091" w:type="pct"/>
                  <w:vAlign w:val="center"/>
                </w:tcPr>
                <w:p w14:paraId="5568916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1716" w:type="pct"/>
                  <w:vAlign w:val="center"/>
                </w:tcPr>
                <w:p w14:paraId="10A6D30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582" w:type="pct"/>
                  <w:vAlign w:val="center"/>
                </w:tcPr>
                <w:p w14:paraId="0BCC2CB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F40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0834B83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苯并（a）芘</w:t>
                  </w:r>
                </w:p>
              </w:tc>
              <w:tc>
                <w:tcPr>
                  <w:tcW w:w="1091" w:type="pct"/>
                  <w:vAlign w:val="center"/>
                </w:tcPr>
                <w:p w14:paraId="7FDA772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1716" w:type="pct"/>
                  <w:vAlign w:val="center"/>
                </w:tcPr>
                <w:p w14:paraId="0B50B50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582" w:type="pct"/>
                  <w:vAlign w:val="center"/>
                </w:tcPr>
                <w:p w14:paraId="2BC55AD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743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353DC2E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苯并（b）荧蒽</w:t>
                  </w:r>
                </w:p>
              </w:tc>
              <w:tc>
                <w:tcPr>
                  <w:tcW w:w="1091" w:type="pct"/>
                  <w:vAlign w:val="center"/>
                </w:tcPr>
                <w:p w14:paraId="2FD3FADB">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0.2L</w:t>
                  </w:r>
                </w:p>
              </w:tc>
              <w:tc>
                <w:tcPr>
                  <w:tcW w:w="1716" w:type="pct"/>
                  <w:vAlign w:val="center"/>
                </w:tcPr>
                <w:p w14:paraId="2F6E852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582" w:type="pct"/>
                  <w:vAlign w:val="center"/>
                </w:tcPr>
                <w:p w14:paraId="49C2D2C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752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09" w:type="pct"/>
                  <w:vAlign w:val="center"/>
                </w:tcPr>
                <w:p w14:paraId="0DB5D58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苯并（k）荧蒽</w:t>
                  </w:r>
                </w:p>
              </w:tc>
              <w:tc>
                <w:tcPr>
                  <w:tcW w:w="1091" w:type="pct"/>
                  <w:vAlign w:val="center"/>
                </w:tcPr>
                <w:p w14:paraId="310CDAD6">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1716" w:type="pct"/>
                  <w:vAlign w:val="center"/>
                </w:tcPr>
                <w:p w14:paraId="279CB97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151</w:t>
                  </w:r>
                </w:p>
              </w:tc>
              <w:tc>
                <w:tcPr>
                  <w:tcW w:w="582" w:type="pct"/>
                  <w:vAlign w:val="center"/>
                </w:tcPr>
                <w:p w14:paraId="62A76EA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82D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39E3987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䓛</w:t>
                  </w:r>
                </w:p>
              </w:tc>
              <w:tc>
                <w:tcPr>
                  <w:tcW w:w="1091" w:type="pct"/>
                  <w:vAlign w:val="center"/>
                </w:tcPr>
                <w:p w14:paraId="5DEB2462">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1716" w:type="pct"/>
                  <w:vAlign w:val="center"/>
                </w:tcPr>
                <w:p w14:paraId="02D1FCE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1293</w:t>
                  </w:r>
                </w:p>
              </w:tc>
              <w:tc>
                <w:tcPr>
                  <w:tcW w:w="582" w:type="pct"/>
                  <w:vAlign w:val="center"/>
                </w:tcPr>
                <w:p w14:paraId="0EC9EB3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60C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6945A4E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二苯并[a,h]蒽</w:t>
                  </w:r>
                </w:p>
              </w:tc>
              <w:tc>
                <w:tcPr>
                  <w:tcW w:w="1091" w:type="pct"/>
                  <w:vAlign w:val="center"/>
                </w:tcPr>
                <w:p w14:paraId="0759C861">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1716" w:type="pct"/>
                  <w:vAlign w:val="center"/>
                </w:tcPr>
                <w:p w14:paraId="0AEA14A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582" w:type="pct"/>
                  <w:vAlign w:val="center"/>
                </w:tcPr>
                <w:p w14:paraId="2E9C93B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1A6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157BC31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茚并[1,2,3-cd]芘</w:t>
                  </w:r>
                </w:p>
              </w:tc>
              <w:tc>
                <w:tcPr>
                  <w:tcW w:w="1091" w:type="pct"/>
                  <w:vAlign w:val="center"/>
                </w:tcPr>
                <w:p w14:paraId="7A68C71A">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0.1L</w:t>
                  </w:r>
                </w:p>
              </w:tc>
              <w:tc>
                <w:tcPr>
                  <w:tcW w:w="1716" w:type="pct"/>
                  <w:vAlign w:val="center"/>
                </w:tcPr>
                <w:p w14:paraId="2DA619A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582" w:type="pct"/>
                  <w:vAlign w:val="center"/>
                </w:tcPr>
                <w:p w14:paraId="0DDD681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831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7F0816F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萘</w:t>
                  </w:r>
                </w:p>
              </w:tc>
              <w:tc>
                <w:tcPr>
                  <w:tcW w:w="1091" w:type="pct"/>
                  <w:vAlign w:val="center"/>
                </w:tcPr>
                <w:p w14:paraId="310B773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0.09L</w:t>
                  </w:r>
                </w:p>
              </w:tc>
              <w:tc>
                <w:tcPr>
                  <w:tcW w:w="1716" w:type="pct"/>
                  <w:vAlign w:val="center"/>
                </w:tcPr>
                <w:p w14:paraId="3BC7D75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582" w:type="pct"/>
                  <w:vAlign w:val="center"/>
                </w:tcPr>
                <w:p w14:paraId="53BC86C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0AE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14:paraId="6518491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石油总烃</w:t>
                  </w:r>
                </w:p>
              </w:tc>
              <w:tc>
                <w:tcPr>
                  <w:tcW w:w="1091" w:type="pct"/>
                  <w:vAlign w:val="center"/>
                </w:tcPr>
                <w:p w14:paraId="134D5E8E">
                  <w:pPr>
                    <w:autoSpaceDN w:val="0"/>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1716" w:type="pct"/>
                  <w:vAlign w:val="center"/>
                </w:tcPr>
                <w:p w14:paraId="44E84F3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4500</w:t>
                  </w:r>
                </w:p>
              </w:tc>
              <w:tc>
                <w:tcPr>
                  <w:tcW w:w="582" w:type="pct"/>
                  <w:vAlign w:val="center"/>
                </w:tcPr>
                <w:p w14:paraId="2E6C918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6F6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2FE69359">
                  <w:pPr>
                    <w:adjustRightInd w:val="0"/>
                    <w:snapToGrid w:val="0"/>
                    <w:jc w:val="left"/>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rPr>
                    <w:t>注</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1.“检出限+L”表示检测结果低于分析方法检出限</w:t>
                  </w:r>
                  <w:r>
                    <w:rPr>
                      <w:rFonts w:hint="eastAsia" w:cs="Times New Roman"/>
                      <w:b w:val="0"/>
                      <w:bCs w:val="0"/>
                      <w:color w:val="auto"/>
                      <w:sz w:val="21"/>
                      <w:szCs w:val="21"/>
                      <w:highlight w:val="none"/>
                      <w:lang w:eastAsia="zh-CN"/>
                    </w:rPr>
                    <w:t>；</w:t>
                  </w:r>
                </w:p>
                <w:p w14:paraId="76C9900E">
                  <w:pPr>
                    <w:adjustRightInd w:val="0"/>
                    <w:snapToGrid w:val="0"/>
                    <w:ind w:firstLine="420" w:firstLineChars="200"/>
                    <w:jc w:val="left"/>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21"/>
                      <w:szCs w:val="21"/>
                      <w:highlight w:val="none"/>
                      <w:lang w:eastAsia="zh-CN"/>
                    </w:rPr>
                    <w:t>2.表层样执行标准为</w:t>
                  </w:r>
                  <w:r>
                    <w:rPr>
                      <w:rFonts w:hint="default" w:ascii="Times New Roman" w:hAnsi="Times New Roman" w:cs="Times New Roman"/>
                      <w:b w:val="0"/>
                      <w:bCs w:val="0"/>
                      <w:color w:val="auto"/>
                      <w:kern w:val="2"/>
                      <w:sz w:val="21"/>
                      <w:szCs w:val="21"/>
                      <w:highlight w:val="none"/>
                      <w:lang w:val="zh-CN" w:eastAsia="zh-CN"/>
                    </w:rPr>
                    <w:t>《土壤环境质量建设用地土壤污染风险管控标准（试行）》（GB36600-2018）表1建设用地土壤污染风险筛选值第</w:t>
                  </w:r>
                  <w:r>
                    <w:rPr>
                      <w:rFonts w:hint="default" w:ascii="Times New Roman" w:hAnsi="Times New Roman" w:cs="Times New Roman"/>
                      <w:b w:val="0"/>
                      <w:bCs w:val="0"/>
                      <w:color w:val="auto"/>
                      <w:kern w:val="2"/>
                      <w:sz w:val="21"/>
                      <w:szCs w:val="21"/>
                      <w:highlight w:val="none"/>
                      <w:lang w:eastAsia="zh-CN"/>
                    </w:rPr>
                    <w:t>二</w:t>
                  </w:r>
                  <w:r>
                    <w:rPr>
                      <w:rFonts w:hint="default" w:ascii="Times New Roman" w:hAnsi="Times New Roman" w:cs="Times New Roman"/>
                      <w:b w:val="0"/>
                      <w:bCs w:val="0"/>
                      <w:color w:val="auto"/>
                      <w:kern w:val="2"/>
                      <w:sz w:val="21"/>
                      <w:szCs w:val="21"/>
                      <w:highlight w:val="none"/>
                      <w:lang w:val="zh-CN" w:eastAsia="zh-CN"/>
                    </w:rPr>
                    <w:t>类用地标准。</w:t>
                  </w:r>
                </w:p>
              </w:tc>
            </w:tr>
          </w:tbl>
          <w:p w14:paraId="57C88FFD">
            <w:pPr>
              <w:pStyle w:val="5"/>
              <w:spacing w:line="360" w:lineRule="auto"/>
              <w:ind w:firstLine="480"/>
              <w:rPr>
                <w:rFonts w:hint="default" w:ascii="Times New Roman" w:hAnsi="Times New Roman" w:cs="Times New Roman"/>
                <w:color w:val="auto"/>
                <w:kern w:val="2"/>
                <w:sz w:val="24"/>
                <w:szCs w:val="24"/>
                <w:highlight w:val="none"/>
                <w:lang w:val="zh-CN"/>
              </w:rPr>
            </w:pPr>
            <w:r>
              <w:rPr>
                <w:rFonts w:hint="default" w:ascii="Times New Roman" w:hAnsi="Times New Roman" w:cs="Times New Roman"/>
                <w:color w:val="auto"/>
                <w:kern w:val="2"/>
                <w:sz w:val="24"/>
                <w:szCs w:val="24"/>
                <w:highlight w:val="none"/>
                <w:lang w:val="zh-CN"/>
              </w:rPr>
              <w:t>根据监测结果</w:t>
            </w:r>
            <w:r>
              <w:rPr>
                <w:rFonts w:hint="eastAsia" w:cs="Times New Roman"/>
                <w:color w:val="auto"/>
                <w:kern w:val="2"/>
                <w:sz w:val="24"/>
                <w:szCs w:val="24"/>
                <w:highlight w:val="none"/>
                <w:lang w:val="zh-CN"/>
              </w:rPr>
              <w:t>可知</w:t>
            </w:r>
            <w:r>
              <w:rPr>
                <w:rFonts w:hint="default" w:ascii="Times New Roman" w:hAnsi="Times New Roman" w:cs="Times New Roman"/>
                <w:color w:val="auto"/>
                <w:kern w:val="2"/>
                <w:sz w:val="24"/>
                <w:szCs w:val="24"/>
                <w:highlight w:val="none"/>
                <w:lang w:val="zh-CN"/>
              </w:rPr>
              <w:t>，</w:t>
            </w:r>
            <w:r>
              <w:rPr>
                <w:rFonts w:hint="eastAsia" w:cs="Times New Roman"/>
                <w:color w:val="auto"/>
                <w:kern w:val="2"/>
                <w:sz w:val="24"/>
                <w:szCs w:val="24"/>
                <w:highlight w:val="none"/>
                <w:lang w:val="zh-CN"/>
              </w:rPr>
              <w:t>土壤</w:t>
            </w:r>
            <w:r>
              <w:rPr>
                <w:rFonts w:hint="default" w:ascii="Times New Roman" w:hAnsi="Times New Roman" w:cs="Times New Roman"/>
                <w:color w:val="auto"/>
                <w:kern w:val="2"/>
                <w:sz w:val="24"/>
                <w:szCs w:val="24"/>
                <w:highlight w:val="none"/>
                <w:lang w:val="zh-CN"/>
              </w:rPr>
              <w:t>监测点位监测值均满足《土壤环境质量建设用地土壤污染风险管控标准（试行）》（GB36600-2018）表1建设用地土壤污染风险筛选值第二类用地标准。</w:t>
            </w:r>
          </w:p>
          <w:p w14:paraId="62A31A9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生态环境质量现状</w:t>
            </w:r>
          </w:p>
          <w:p w14:paraId="793D9F1D">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zh-CN"/>
              </w:rPr>
              <w:t>项目所在区域</w:t>
            </w:r>
            <w:r>
              <w:rPr>
                <w:rFonts w:hint="default" w:ascii="Times New Roman" w:hAnsi="Times New Roman" w:eastAsia="宋体" w:cs="Times New Roman"/>
                <w:color w:val="auto"/>
                <w:sz w:val="24"/>
                <w:szCs w:val="24"/>
                <w:highlight w:val="none"/>
                <w:lang w:val="en-US" w:eastAsia="zh-CN"/>
              </w:rPr>
              <w:t>为规划的工业园区，区域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w:t>
            </w:r>
            <w:r>
              <w:rPr>
                <w:rFonts w:hint="eastAsia" w:ascii="Times New Roman" w:hAnsi="Times New Roman" w:cs="Times New Roman"/>
                <w:color w:val="auto"/>
                <w:sz w:val="24"/>
                <w:szCs w:val="24"/>
                <w:highlight w:val="none"/>
                <w:lang w:val="zh-CN"/>
              </w:rPr>
              <w:t>珍稀濒危</w:t>
            </w:r>
            <w:r>
              <w:rPr>
                <w:rFonts w:hint="default" w:ascii="Times New Roman" w:hAnsi="Times New Roman" w:eastAsia="宋体" w:cs="Times New Roman"/>
                <w:color w:val="auto"/>
                <w:sz w:val="24"/>
                <w:szCs w:val="24"/>
                <w:highlight w:val="none"/>
                <w:lang w:val="zh-CN"/>
              </w:rPr>
              <w:t>保护物种、国家重点保护野生植物和云南省级重点野生保护动物，也没有特有种类存在</w:t>
            </w:r>
            <w:r>
              <w:rPr>
                <w:rFonts w:hint="eastAsia"/>
                <w:color w:val="auto"/>
                <w:sz w:val="24"/>
                <w:szCs w:val="24"/>
                <w:highlight w:val="none"/>
                <w:lang w:val="en-US" w:eastAsia="zh-CN"/>
              </w:rPr>
              <w:t>。</w:t>
            </w:r>
          </w:p>
        </w:tc>
      </w:tr>
      <w:tr w14:paraId="0FB9C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19" w:type="dxa"/>
            <w:vAlign w:val="center"/>
          </w:tcPr>
          <w:p w14:paraId="71B6AD4F">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0132B31C">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14:paraId="48609668">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42" w:type="dxa"/>
            <w:vAlign w:val="center"/>
          </w:tcPr>
          <w:p w14:paraId="7B37900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t>根据现场调查，区域内无自然保护区、水源保护区、文教敏感区、国家和地方级文物古迹、珍稀动植物保护物种等。</w:t>
            </w:r>
          </w:p>
          <w:p w14:paraId="1ADE0CC8">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1、大气</w:t>
            </w:r>
            <w:r>
              <w:rPr>
                <w:rFonts w:hint="default" w:ascii="Times New Roman" w:hAnsi="Times New Roman" w:eastAsia="宋体" w:cs="Times New Roman"/>
                <w:b/>
                <w:bCs/>
                <w:color w:val="auto"/>
                <w:sz w:val="24"/>
                <w:szCs w:val="24"/>
                <w:highlight w:val="none"/>
                <w:lang w:val="en-US" w:eastAsia="zh-CN"/>
              </w:rPr>
              <w:t>环境</w:t>
            </w:r>
          </w:p>
          <w:p w14:paraId="48556E15">
            <w:pPr>
              <w:pStyle w:val="62"/>
              <w:keepNext w:val="0"/>
              <w:keepLines w:val="0"/>
              <w:pageBreakBefore w:val="0"/>
              <w:numPr>
                <w:ilvl w:val="0"/>
                <w:numId w:val="0"/>
              </w:numPr>
              <w:kinsoku/>
              <w:wordWrap/>
              <w:overflowPunct/>
              <w:topLinePunct w:val="0"/>
              <w:bidi w:val="0"/>
              <w:adjustRightInd w:val="0"/>
              <w:snapToGrid w:val="0"/>
              <w:spacing w:before="0" w:after="0" w:line="360" w:lineRule="auto"/>
              <w:ind w:firstLine="480" w:firstLineChars="200"/>
              <w:rPr>
                <w:rFonts w:hint="eastAsia" w:cs="Times New Roman"/>
                <w:color w:val="auto"/>
                <w:sz w:val="24"/>
                <w:szCs w:val="24"/>
                <w:highlight w:val="none"/>
                <w:lang w:val="en-US" w:eastAsia="zh-CN"/>
              </w:rPr>
            </w:pPr>
            <w:r>
              <w:rPr>
                <w:rFonts w:hint="eastAsia" w:eastAsia="宋体"/>
                <w:color w:val="auto"/>
                <w:szCs w:val="24"/>
                <w:highlight w:val="none"/>
                <w:lang w:eastAsia="zh-CN"/>
              </w:rPr>
              <w:t>本项目</w:t>
            </w:r>
            <w:r>
              <w:rPr>
                <w:rFonts w:hint="eastAsia" w:cs="Times New Roman"/>
                <w:color w:val="auto"/>
                <w:sz w:val="24"/>
                <w:szCs w:val="24"/>
                <w:highlight w:val="none"/>
                <w:lang w:eastAsia="zh-CN"/>
              </w:rPr>
              <w:t>环境空气保护目标为</w:t>
            </w:r>
            <w:r>
              <w:rPr>
                <w:rFonts w:hint="eastAsia" w:ascii="Times New Roman" w:hAnsi="Times New Roman" w:eastAsia="宋体" w:cs="Times New Roman"/>
                <w:color w:val="auto"/>
                <w:sz w:val="24"/>
                <w:szCs w:val="24"/>
                <w:highlight w:val="none"/>
                <w:lang w:val="en-US" w:eastAsia="zh-CN"/>
              </w:rPr>
              <w:t>厂界外5</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0m范围内的</w:t>
            </w:r>
            <w:r>
              <w:rPr>
                <w:rFonts w:hint="eastAsia" w:cs="Times New Roman"/>
                <w:color w:val="auto"/>
                <w:sz w:val="24"/>
                <w:szCs w:val="24"/>
                <w:highlight w:val="none"/>
                <w:lang w:val="en-US" w:eastAsia="zh-CN"/>
              </w:rPr>
              <w:t>居住区，按</w:t>
            </w:r>
            <w:r>
              <w:rPr>
                <w:rFonts w:hint="eastAsia" w:cs="Times New Roman"/>
                <w:color w:val="auto"/>
                <w:sz w:val="24"/>
                <w:szCs w:val="24"/>
                <w:highlight w:val="none"/>
                <w:lang w:eastAsia="zh-CN"/>
              </w:rPr>
              <w:t>《环境空气质量标准》（GB3095-2012）</w:t>
            </w:r>
            <w:r>
              <w:rPr>
                <w:rFonts w:hint="default" w:ascii="Times New Roman" w:hAnsi="Times New Roman" w:eastAsia="宋体" w:cs="Times New Roman"/>
                <w:color w:val="auto"/>
                <w:sz w:val="24"/>
                <w:szCs w:val="24"/>
                <w:highlight w:val="none"/>
                <w:lang w:val="zh-CN"/>
              </w:rPr>
              <w:t>二级标准</w:t>
            </w:r>
            <w:r>
              <w:rPr>
                <w:rFonts w:hint="eastAsia" w:ascii="Times New Roman" w:hAnsi="Times New Roman" w:eastAsia="宋体" w:cs="Times New Roman"/>
                <w:color w:val="auto"/>
                <w:sz w:val="24"/>
                <w:szCs w:val="24"/>
                <w:highlight w:val="none"/>
                <w:lang w:val="en-US" w:eastAsia="zh-CN"/>
              </w:rPr>
              <w:t>保护</w:t>
            </w:r>
            <w:r>
              <w:rPr>
                <w:rFonts w:hint="eastAsia" w:cs="Times New Roman"/>
                <w:color w:val="auto"/>
                <w:sz w:val="24"/>
                <w:szCs w:val="24"/>
                <w:highlight w:val="none"/>
                <w:lang w:eastAsia="zh-CN"/>
              </w:rPr>
              <w:t>。</w:t>
            </w:r>
          </w:p>
          <w:p w14:paraId="3BFDDD90">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、声环境</w:t>
            </w:r>
          </w:p>
          <w:p w14:paraId="40788A3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eastAsia"/>
                <w:color w:val="auto"/>
                <w:sz w:val="24"/>
                <w:szCs w:val="24"/>
                <w:highlight w:val="none"/>
                <w:lang w:val="en-US" w:eastAsia="zh-CN"/>
              </w:rPr>
              <w:t>。</w:t>
            </w:r>
          </w:p>
          <w:p w14:paraId="7B6D2E0D">
            <w:pPr>
              <w:pStyle w:val="15"/>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14:paraId="79A1361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根据《环境影响评价技术导则</w:t>
            </w:r>
            <w:r>
              <w:rPr>
                <w:rFonts w:hint="default" w:ascii="Times New Roman" w:hAnsi="Times New Roman" w:eastAsia="宋体" w:cs="Times New Roman"/>
                <w:color w:val="auto"/>
                <w:sz w:val="24"/>
                <w:highlight w:val="none"/>
              </w:rPr>
              <w:t xml:space="preserve"> 地表水环境</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HJ2.3-2018</w:t>
            </w:r>
            <w:r>
              <w:rPr>
                <w:rFonts w:hint="default" w:ascii="Times New Roman" w:hAnsi="Times New Roman" w:eastAsia="宋体" w:cs="Times New Roman"/>
                <w:color w:val="auto"/>
                <w:sz w:val="24"/>
                <w:highlight w:val="none"/>
                <w:lang w:val="zh-CN"/>
              </w:rPr>
              <w:t>），地表水环境保护目标为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default" w:ascii="Times New Roman" w:hAnsi="Times New Roman" w:eastAsia="宋体" w:cs="Times New Roman"/>
                <w:color w:val="auto"/>
                <w:kern w:val="0"/>
                <w:sz w:val="24"/>
                <w:highlight w:val="none"/>
                <w:lang w:val="zh-CN"/>
              </w:rPr>
              <w:t>项目距离最近的地表水体为</w:t>
            </w:r>
            <w:r>
              <w:rPr>
                <w:rFonts w:hint="eastAsia" w:ascii="Times New Roman" w:hAnsi="Times New Roman" w:eastAsia="宋体" w:cs="Times New Roman"/>
                <w:color w:val="auto"/>
                <w:kern w:val="0"/>
                <w:sz w:val="24"/>
                <w:highlight w:val="none"/>
                <w:lang w:val="en-US" w:eastAsia="zh-CN"/>
              </w:rPr>
              <w:t>西侧1.8km</w:t>
            </w:r>
            <w:r>
              <w:rPr>
                <w:rFonts w:hint="default" w:ascii="Times New Roman" w:hAnsi="Times New Roman" w:eastAsia="宋体" w:cs="Times New Roman"/>
                <w:color w:val="auto"/>
                <w:kern w:val="0"/>
                <w:sz w:val="24"/>
                <w:highlight w:val="none"/>
              </w:rPr>
              <w:t>处的</w:t>
            </w:r>
            <w:r>
              <w:rPr>
                <w:rFonts w:hint="eastAsia" w:ascii="Times New Roman" w:hAnsi="Times New Roman" w:eastAsia="宋体" w:cs="Times New Roman"/>
                <w:color w:val="auto"/>
                <w:kern w:val="0"/>
                <w:sz w:val="24"/>
                <w:highlight w:val="none"/>
                <w:lang w:val="en-US" w:eastAsia="zh-CN"/>
              </w:rPr>
              <w:t>羊街河（果马河）</w:t>
            </w:r>
            <w:r>
              <w:rPr>
                <w:rFonts w:hint="default" w:ascii="Times New Roman" w:hAnsi="Times New Roman" w:eastAsia="宋体" w:cs="Times New Roman"/>
                <w:color w:val="auto"/>
                <w:kern w:val="0"/>
                <w:sz w:val="24"/>
                <w:highlight w:val="none"/>
                <w:lang w:val="zh-CN"/>
              </w:rPr>
              <w:t>，</w:t>
            </w:r>
            <w:r>
              <w:rPr>
                <w:rFonts w:hint="default" w:ascii="Times New Roman" w:hAnsi="Times New Roman" w:eastAsia="宋体" w:cs="Times New Roman"/>
                <w:bCs/>
                <w:color w:val="auto"/>
                <w:sz w:val="24"/>
                <w:highlight w:val="none"/>
                <w:lang w:val="zh-CN"/>
              </w:rPr>
              <w:t>不涉及上述地表</w:t>
            </w:r>
            <w:r>
              <w:rPr>
                <w:rFonts w:hint="default" w:ascii="Times New Roman" w:hAnsi="Times New Roman" w:eastAsia="宋体" w:cs="Times New Roman"/>
                <w:color w:val="auto"/>
                <w:sz w:val="24"/>
                <w:highlight w:val="none"/>
              </w:rPr>
              <w:t>水环境保护目标，且本项目无废水外排，</w:t>
            </w:r>
            <w:r>
              <w:rPr>
                <w:rFonts w:hint="default" w:ascii="Times New Roman" w:hAnsi="Times New Roman" w:eastAsia="宋体" w:cs="Times New Roman"/>
                <w:bCs/>
                <w:color w:val="auto"/>
                <w:sz w:val="24"/>
                <w:highlight w:val="none"/>
                <w:lang w:val="zh-CN"/>
              </w:rPr>
              <w:t>因此</w:t>
            </w:r>
            <w:r>
              <w:rPr>
                <w:rFonts w:hint="eastAsia" w:ascii="Times New Roman" w:hAnsi="Times New Roman" w:eastAsia="宋体" w:cs="Times New Roman"/>
                <w:color w:val="auto"/>
                <w:kern w:val="0"/>
                <w:sz w:val="24"/>
                <w:highlight w:val="none"/>
                <w:lang w:val="en-US" w:eastAsia="zh-CN"/>
              </w:rPr>
              <w:t>羊街河（果马河）</w:t>
            </w:r>
            <w:r>
              <w:rPr>
                <w:rFonts w:hint="default" w:ascii="Times New Roman" w:hAnsi="Times New Roman" w:eastAsia="宋体" w:cs="Times New Roman"/>
                <w:bCs/>
                <w:color w:val="auto"/>
                <w:sz w:val="24"/>
                <w:highlight w:val="none"/>
                <w:lang w:val="zh-CN"/>
              </w:rPr>
              <w:t>不列为地表水环境保护目标。</w:t>
            </w:r>
          </w:p>
          <w:p w14:paraId="54C8C21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4、地下水</w:t>
            </w:r>
          </w:p>
          <w:p w14:paraId="5595E8A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eastAsia"/>
                <w:color w:val="auto"/>
                <w:sz w:val="24"/>
                <w:szCs w:val="24"/>
                <w:highlight w:val="none"/>
                <w:lang w:val="en-US" w:eastAsia="zh-CN"/>
              </w:rPr>
              <w:t>本项目</w:t>
            </w:r>
            <w:r>
              <w:rPr>
                <w:rFonts w:hint="default"/>
                <w:color w:val="auto"/>
                <w:sz w:val="24"/>
                <w:szCs w:val="24"/>
                <w:highlight w:val="none"/>
                <w:lang w:val="en-US" w:eastAsia="zh-CN"/>
              </w:rPr>
              <w:t>厂界外500米范围内无地下水集中式饮用水水源和热水、矿泉水、温泉等特殊地下水资源。</w:t>
            </w:r>
          </w:p>
          <w:p w14:paraId="1CECAE6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5、生态环境</w:t>
            </w:r>
          </w:p>
          <w:p w14:paraId="4E7E4208">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寻甸县寻甸特色产业园区</w:t>
            </w:r>
            <w:r>
              <w:rPr>
                <w:rFonts w:hint="eastAsia" w:ascii="Times New Roman" w:hAnsi="Times New Roman" w:eastAsia="宋体" w:cs="Times New Roman"/>
                <w:color w:val="auto"/>
                <w:sz w:val="24"/>
                <w:szCs w:val="24"/>
                <w:highlight w:val="none"/>
                <w:u w:val="none"/>
                <w:lang w:val="en-US" w:eastAsia="zh-CN"/>
              </w:rPr>
              <w:t>羊街</w:t>
            </w:r>
            <w:r>
              <w:rPr>
                <w:rFonts w:hint="default" w:ascii="Times New Roman" w:hAnsi="Times New Roman" w:eastAsia="宋体" w:cs="Times New Roman"/>
                <w:color w:val="auto"/>
                <w:sz w:val="24"/>
                <w:szCs w:val="24"/>
                <w:highlight w:val="none"/>
                <w:u w:val="none"/>
                <w:lang w:val="en-US" w:eastAsia="zh-CN"/>
              </w:rPr>
              <w:t>片区</w:t>
            </w:r>
            <w:r>
              <w:rPr>
                <w:rFonts w:hint="default" w:ascii="Times New Roman" w:hAnsi="Times New Roman" w:eastAsia="宋体" w:cs="Times New Roman"/>
                <w:color w:val="auto"/>
                <w:sz w:val="24"/>
                <w:szCs w:val="24"/>
                <w:highlight w:val="none"/>
                <w:lang w:val="en-US" w:eastAsia="zh-CN"/>
              </w:rPr>
              <w:t>，属于规划的工业园区，不涉及园区外用地，</w:t>
            </w:r>
            <w:r>
              <w:rPr>
                <w:rFonts w:hint="default" w:ascii="Times New Roman" w:hAnsi="Times New Roman" w:eastAsia="宋体" w:cs="Times New Roman"/>
                <w:color w:val="auto"/>
                <w:sz w:val="24"/>
                <w:szCs w:val="24"/>
                <w:highlight w:val="none"/>
              </w:rPr>
              <w:t>不涉及生态保护目标</w:t>
            </w:r>
            <w:r>
              <w:rPr>
                <w:rFonts w:hint="eastAsia" w:ascii="Times New Roman" w:hAnsi="Times New Roman" w:eastAsia="宋体" w:cs="Times New Roman"/>
                <w:color w:val="auto"/>
                <w:sz w:val="24"/>
                <w:szCs w:val="24"/>
                <w:highlight w:val="none"/>
                <w:lang w:eastAsia="zh-CN"/>
              </w:rPr>
              <w:t>。</w:t>
            </w:r>
          </w:p>
          <w:p w14:paraId="32ED46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bCs/>
                <w:snapToGrid w:val="0"/>
                <w:color w:val="auto"/>
                <w:kern w:val="0"/>
                <w:szCs w:val="21"/>
                <w:highlight w:val="none"/>
              </w:rPr>
            </w:pPr>
            <w:r>
              <w:rPr>
                <w:rFonts w:hint="default" w:ascii="Times New Roman" w:hAnsi="Times New Roman" w:eastAsia="宋体" w:cs="Times New Roman"/>
                <w:color w:val="auto"/>
                <w:kern w:val="0"/>
                <w:sz w:val="24"/>
                <w:szCs w:val="24"/>
                <w:highlight w:val="none"/>
                <w:lang w:val="en-US" w:eastAsia="zh-CN" w:bidi="ar"/>
              </w:rPr>
              <w:t>项目环境保护目标见表3-</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见附图</w:t>
            </w:r>
            <w:r>
              <w:rPr>
                <w:rFonts w:hint="eastAsia" w:cs="Times New Roman"/>
                <w:bCs/>
                <w:color w:val="auto"/>
                <w:sz w:val="24"/>
                <w:highlight w:val="none"/>
                <w:lang w:val="en-US" w:eastAsia="zh-CN"/>
              </w:rPr>
              <w:t>5</w:t>
            </w:r>
            <w:r>
              <w:rPr>
                <w:rFonts w:hint="default" w:ascii="Times New Roman" w:hAnsi="Times New Roman" w:eastAsia="宋体" w:cs="Times New Roman"/>
                <w:bCs/>
                <w:color w:val="auto"/>
                <w:sz w:val="24"/>
                <w:highlight w:val="none"/>
              </w:rPr>
              <w:t>。</w:t>
            </w:r>
          </w:p>
          <w:p w14:paraId="37C5B47D">
            <w:pPr>
              <w:keepNext w:val="0"/>
              <w:keepLines w:val="0"/>
              <w:suppressLineNumbers w:val="0"/>
              <w:spacing w:before="0" w:beforeAutospacing="0" w:after="0" w:afterAutospacing="0"/>
              <w:ind w:left="0" w:right="0"/>
              <w:jc w:val="center"/>
              <w:rPr>
                <w:rFonts w:hint="default"/>
                <w:b/>
                <w:bCs/>
                <w:snapToGrid w:val="0"/>
                <w:color w:val="auto"/>
                <w:kern w:val="0"/>
                <w:szCs w:val="21"/>
                <w:highlight w:val="none"/>
              </w:rPr>
            </w:pPr>
            <w:r>
              <w:rPr>
                <w:rFonts w:hint="default"/>
                <w:b/>
                <w:bCs/>
                <w:snapToGrid w:val="0"/>
                <w:color w:val="auto"/>
                <w:kern w:val="0"/>
                <w:szCs w:val="21"/>
                <w:highlight w:val="none"/>
              </w:rPr>
              <w:t>表3-</w:t>
            </w:r>
            <w:r>
              <w:rPr>
                <w:rFonts w:hint="eastAsia"/>
                <w:b/>
                <w:bCs/>
                <w:snapToGrid w:val="0"/>
                <w:color w:val="auto"/>
                <w:kern w:val="0"/>
                <w:szCs w:val="21"/>
                <w:highlight w:val="none"/>
                <w:lang w:val="en-US" w:eastAsia="zh-CN"/>
              </w:rPr>
              <w:t>9</w:t>
            </w:r>
            <w:r>
              <w:rPr>
                <w:rFonts w:hint="default"/>
                <w:b/>
                <w:bCs/>
                <w:snapToGrid w:val="0"/>
                <w:color w:val="auto"/>
                <w:kern w:val="0"/>
                <w:szCs w:val="21"/>
                <w:highlight w:val="none"/>
              </w:rPr>
              <w:t xml:space="preserve">   项目主要保护目标一览表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36"/>
              <w:gridCol w:w="1013"/>
              <w:gridCol w:w="1011"/>
              <w:gridCol w:w="994"/>
              <w:gridCol w:w="1240"/>
              <w:gridCol w:w="2607"/>
            </w:tblGrid>
            <w:tr w14:paraId="3C83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1" w:type="pct"/>
                  <w:vMerge w:val="restart"/>
                  <w:noWrap w:val="0"/>
                  <w:vAlign w:val="center"/>
                </w:tcPr>
                <w:p w14:paraId="26D094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sz w:val="21"/>
                      <w:szCs w:val="21"/>
                      <w:highlight w:val="none"/>
                    </w:rPr>
                    <w:t>保护类别</w:t>
                  </w:r>
                </w:p>
              </w:tc>
              <w:tc>
                <w:tcPr>
                  <w:tcW w:w="497" w:type="pct"/>
                  <w:vMerge w:val="restart"/>
                  <w:noWrap w:val="0"/>
                  <w:vAlign w:val="center"/>
                </w:tcPr>
                <w:p w14:paraId="35D26A6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sz w:val="21"/>
                      <w:szCs w:val="21"/>
                      <w:highlight w:val="none"/>
                    </w:rPr>
                    <w:t>保护目标</w:t>
                  </w:r>
                </w:p>
              </w:tc>
              <w:tc>
                <w:tcPr>
                  <w:tcW w:w="1203" w:type="pct"/>
                  <w:gridSpan w:val="2"/>
                  <w:noWrap w:val="0"/>
                  <w:vAlign w:val="center"/>
                </w:tcPr>
                <w:p w14:paraId="43A2AD5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sz w:val="21"/>
                      <w:szCs w:val="21"/>
                      <w:highlight w:val="none"/>
                    </w:rPr>
                    <w:t>坐标</w:t>
                  </w:r>
                </w:p>
              </w:tc>
              <w:tc>
                <w:tcPr>
                  <w:tcW w:w="590" w:type="pct"/>
                  <w:vMerge w:val="restart"/>
                  <w:noWrap w:val="0"/>
                  <w:vAlign w:val="center"/>
                </w:tcPr>
                <w:p w14:paraId="60C286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sz w:val="21"/>
                      <w:szCs w:val="21"/>
                      <w:highlight w:val="none"/>
                    </w:rPr>
                    <w:t>受影响人数</w:t>
                  </w:r>
                </w:p>
              </w:tc>
              <w:tc>
                <w:tcPr>
                  <w:tcW w:w="737" w:type="pct"/>
                  <w:vMerge w:val="restart"/>
                  <w:noWrap w:val="0"/>
                  <w:vAlign w:val="center"/>
                </w:tcPr>
                <w:p w14:paraId="3E6AD5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sz w:val="21"/>
                      <w:szCs w:val="21"/>
                      <w:highlight w:val="none"/>
                    </w:rPr>
                    <w:t>与项目区位置关系</w:t>
                  </w:r>
                </w:p>
              </w:tc>
              <w:tc>
                <w:tcPr>
                  <w:tcW w:w="1549" w:type="pct"/>
                  <w:vMerge w:val="restart"/>
                  <w:noWrap w:val="0"/>
                  <w:vAlign w:val="center"/>
                </w:tcPr>
                <w:p w14:paraId="3C2562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sz w:val="21"/>
                      <w:szCs w:val="21"/>
                      <w:highlight w:val="none"/>
                    </w:rPr>
                    <w:t>环境功能</w:t>
                  </w:r>
                </w:p>
              </w:tc>
            </w:tr>
            <w:tr w14:paraId="16B8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1" w:type="pct"/>
                  <w:vMerge w:val="continue"/>
                  <w:noWrap w:val="0"/>
                  <w:vAlign w:val="center"/>
                </w:tcPr>
                <w:p w14:paraId="35513E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97" w:type="pct"/>
                  <w:vMerge w:val="continue"/>
                  <w:noWrap w:val="0"/>
                  <w:vAlign w:val="center"/>
                </w:tcPr>
                <w:p w14:paraId="5C7488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02" w:type="pct"/>
                  <w:noWrap w:val="0"/>
                  <w:vAlign w:val="center"/>
                </w:tcPr>
                <w:p w14:paraId="1F53B0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sz w:val="21"/>
                      <w:szCs w:val="21"/>
                      <w:highlight w:val="none"/>
                    </w:rPr>
                    <w:t>经度</w:t>
                  </w:r>
                </w:p>
              </w:tc>
              <w:tc>
                <w:tcPr>
                  <w:tcW w:w="601" w:type="pct"/>
                  <w:noWrap w:val="0"/>
                  <w:vAlign w:val="center"/>
                </w:tcPr>
                <w:p w14:paraId="1FB83F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sz w:val="21"/>
                      <w:szCs w:val="21"/>
                      <w:highlight w:val="none"/>
                    </w:rPr>
                    <w:t>纬度</w:t>
                  </w:r>
                </w:p>
              </w:tc>
              <w:tc>
                <w:tcPr>
                  <w:tcW w:w="590" w:type="pct"/>
                  <w:vMerge w:val="continue"/>
                  <w:noWrap w:val="0"/>
                  <w:vAlign w:val="center"/>
                </w:tcPr>
                <w:p w14:paraId="0EC51A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vertAlign w:val="baseline"/>
                      <w:lang w:eastAsia="zh-CN"/>
                    </w:rPr>
                  </w:pPr>
                </w:p>
              </w:tc>
              <w:tc>
                <w:tcPr>
                  <w:tcW w:w="737" w:type="pct"/>
                  <w:vMerge w:val="continue"/>
                  <w:noWrap w:val="0"/>
                  <w:vAlign w:val="center"/>
                </w:tcPr>
                <w:p w14:paraId="667406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vertAlign w:val="baseline"/>
                      <w:lang w:eastAsia="zh-CN"/>
                    </w:rPr>
                  </w:pPr>
                </w:p>
              </w:tc>
              <w:tc>
                <w:tcPr>
                  <w:tcW w:w="1549" w:type="pct"/>
                  <w:vMerge w:val="continue"/>
                  <w:noWrap w:val="0"/>
                  <w:vAlign w:val="center"/>
                </w:tcPr>
                <w:p w14:paraId="71E8DEC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vertAlign w:val="baseline"/>
                      <w:lang w:eastAsia="zh-CN"/>
                    </w:rPr>
                  </w:pPr>
                </w:p>
              </w:tc>
            </w:tr>
            <w:tr w14:paraId="2F32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center"/>
                </w:tcPr>
                <w:p w14:paraId="55054F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环境空气</w:t>
                  </w:r>
                </w:p>
              </w:tc>
              <w:tc>
                <w:tcPr>
                  <w:tcW w:w="497" w:type="pct"/>
                  <w:noWrap w:val="0"/>
                  <w:vAlign w:val="center"/>
                </w:tcPr>
                <w:p w14:paraId="706BAD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深 沟</w:t>
                  </w:r>
                </w:p>
                <w:p w14:paraId="07BEF3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村</w:t>
                  </w:r>
                </w:p>
              </w:tc>
              <w:tc>
                <w:tcPr>
                  <w:tcW w:w="602" w:type="pct"/>
                  <w:noWrap w:val="0"/>
                  <w:vAlign w:val="center"/>
                </w:tcPr>
                <w:p w14:paraId="0132B92A">
                  <w:pPr>
                    <w:pStyle w:val="88"/>
                    <w:spacing w:afterLines="0" w:line="240" w:lineRule="auto"/>
                    <w:ind w:firstLine="0" w:firstLineChars="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cs="Times New Roman"/>
                      <w:color w:val="auto"/>
                      <w:spacing w:val="-4"/>
                      <w:sz w:val="21"/>
                      <w:szCs w:val="21"/>
                      <w:highlight w:val="none"/>
                    </w:rPr>
                    <w:t>103.159832°</w:t>
                  </w:r>
                </w:p>
              </w:tc>
              <w:tc>
                <w:tcPr>
                  <w:tcW w:w="601" w:type="pct"/>
                  <w:noWrap w:val="0"/>
                  <w:vAlign w:val="center"/>
                </w:tcPr>
                <w:p w14:paraId="26970ECB">
                  <w:pPr>
                    <w:pStyle w:val="88"/>
                    <w:spacing w:afterLines="0" w:line="240" w:lineRule="auto"/>
                    <w:ind w:firstLine="0" w:firstLineChars="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cs="Times New Roman"/>
                      <w:color w:val="auto"/>
                      <w:spacing w:val="-4"/>
                      <w:sz w:val="21"/>
                      <w:szCs w:val="21"/>
                      <w:highlight w:val="none"/>
                    </w:rPr>
                    <w:t>25.458055°</w:t>
                  </w:r>
                </w:p>
              </w:tc>
              <w:tc>
                <w:tcPr>
                  <w:tcW w:w="590" w:type="pct"/>
                  <w:noWrap w:val="0"/>
                  <w:vAlign w:val="center"/>
                </w:tcPr>
                <w:p w14:paraId="7FAF2E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sz w:val="21"/>
                      <w:szCs w:val="21"/>
                      <w:highlight w:val="none"/>
                      <w:lang w:val="en-US" w:eastAsia="zh-CN"/>
                    </w:rPr>
                    <w:t>约300人</w:t>
                  </w:r>
                </w:p>
              </w:tc>
              <w:tc>
                <w:tcPr>
                  <w:tcW w:w="737" w:type="pct"/>
                  <w:noWrap w:val="0"/>
                  <w:vAlign w:val="center"/>
                </w:tcPr>
                <w:p w14:paraId="2DD093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vertAlign w:val="baseline"/>
                      <w:lang w:eastAsia="zh-CN"/>
                    </w:rPr>
                  </w:pPr>
                  <w:r>
                    <w:rPr>
                      <w:rFonts w:hint="eastAsia" w:cs="Times New Roman"/>
                      <w:color w:val="auto"/>
                      <w:sz w:val="21"/>
                      <w:szCs w:val="21"/>
                      <w:highlight w:val="none"/>
                      <w:lang w:val="en-US" w:eastAsia="zh-CN"/>
                    </w:rPr>
                    <w:t>东南侧320</w:t>
                  </w:r>
                  <w:r>
                    <w:rPr>
                      <w:rFonts w:hint="default" w:ascii="Times New Roman" w:hAnsi="Times New Roman" w:eastAsia="宋体" w:cs="Times New Roman"/>
                      <w:color w:val="auto"/>
                      <w:sz w:val="21"/>
                      <w:szCs w:val="21"/>
                      <w:highlight w:val="none"/>
                      <w:lang w:val="en-US" w:eastAsia="zh-CN"/>
                    </w:rPr>
                    <w:t>m</w:t>
                  </w:r>
                </w:p>
              </w:tc>
              <w:tc>
                <w:tcPr>
                  <w:tcW w:w="1549" w:type="pct"/>
                  <w:noWrap w:val="0"/>
                  <w:vAlign w:val="center"/>
                </w:tcPr>
                <w:p w14:paraId="0BB72B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vertAlign w:val="baseline"/>
                      <w:lang w:eastAsia="zh-CN"/>
                    </w:rPr>
                  </w:pPr>
                  <w:r>
                    <w:rPr>
                      <w:rFonts w:hint="default" w:ascii="Times New Roman" w:hAnsi="Times New Roman" w:eastAsia="宋体" w:cs="Times New Roman"/>
                      <w:color w:val="auto"/>
                      <w:spacing w:val="0"/>
                      <w:sz w:val="21"/>
                      <w:szCs w:val="21"/>
                      <w:highlight w:val="none"/>
                    </w:rPr>
                    <w:t>《环境空气质量标准》（GB3095-2012）二级标准</w:t>
                  </w:r>
                </w:p>
              </w:tc>
            </w:tr>
          </w:tbl>
          <w:p w14:paraId="463AA3AE">
            <w:pPr>
              <w:pStyle w:val="7"/>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0"/>
                <w:szCs w:val="21"/>
                <w:highlight w:val="none"/>
                <w:lang w:val="en-US" w:eastAsia="zh-CN"/>
              </w:rPr>
            </w:pPr>
          </w:p>
        </w:tc>
      </w:tr>
      <w:tr w14:paraId="65B27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0" w:hRule="atLeast"/>
          <w:jc w:val="center"/>
        </w:trPr>
        <w:tc>
          <w:tcPr>
            <w:tcW w:w="419" w:type="dxa"/>
            <w:tcMar>
              <w:left w:w="28" w:type="dxa"/>
              <w:right w:w="28" w:type="dxa"/>
            </w:tcMar>
            <w:vAlign w:val="center"/>
          </w:tcPr>
          <w:p w14:paraId="599C20DB">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14:paraId="559A27ED">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14:paraId="352556EE">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14:paraId="48CECACF">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14:paraId="417E94D8">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42" w:type="dxa"/>
            <w:vAlign w:val="center"/>
          </w:tcPr>
          <w:p w14:paraId="2AB5C3E8">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、废气</w:t>
            </w:r>
          </w:p>
          <w:p w14:paraId="63E82C5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t>（1）施工期</w:t>
            </w:r>
          </w:p>
          <w:p w14:paraId="1DABD27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auto"/>
                <w:sz w:val="24"/>
                <w:szCs w:val="24"/>
                <w:highlight w:val="none"/>
                <w:lang w:val="en-US" w:eastAsia="zh-CN"/>
              </w:rPr>
            </w:pPr>
            <w:r>
              <w:rPr>
                <w:rFonts w:hint="default" w:ascii="Times New Roman" w:hAnsi="Times New Roman" w:eastAsia="宋体" w:cs="Times New Roman"/>
                <w:color w:val="auto"/>
                <w:sz w:val="24"/>
                <w:szCs w:val="24"/>
                <w:highlight w:val="none"/>
              </w:rPr>
              <w:t>施工期无组织粉尘</w:t>
            </w:r>
            <w:r>
              <w:rPr>
                <w:rFonts w:hint="eastAsia" w:cs="Times New Roman"/>
                <w:color w:val="auto"/>
                <w:sz w:val="24"/>
                <w:szCs w:val="24"/>
                <w:highlight w:val="none"/>
                <w:lang w:eastAsia="zh-CN"/>
              </w:rPr>
              <w:t>排放</w:t>
            </w:r>
            <w:r>
              <w:rPr>
                <w:rFonts w:hint="default" w:ascii="Times New Roman" w:hAnsi="Times New Roman" w:eastAsia="宋体" w:cs="Times New Roman"/>
                <w:color w:val="auto"/>
                <w:sz w:val="24"/>
                <w:szCs w:val="24"/>
                <w:highlight w:val="none"/>
              </w:rPr>
              <w:t>执行</w:t>
            </w:r>
            <w:r>
              <w:rPr>
                <w:rFonts w:hint="default"/>
                <w:color w:val="auto"/>
                <w:sz w:val="24"/>
                <w:szCs w:val="24"/>
                <w:highlight w:val="none"/>
                <w:lang w:val="en-US" w:eastAsia="zh-CN"/>
              </w:rPr>
              <w:t>《大气污染物综合排放标准》（GB16297-1996）表2中的无组织排放监控浓度限值。污染物排放标准见表</w:t>
            </w:r>
            <w:r>
              <w:rPr>
                <w:rFonts w:hint="eastAsia"/>
                <w:color w:val="auto"/>
                <w:sz w:val="24"/>
                <w:szCs w:val="24"/>
                <w:highlight w:val="none"/>
                <w:lang w:val="en-US" w:eastAsia="zh-CN"/>
              </w:rPr>
              <w:t>3</w:t>
            </w:r>
            <w:r>
              <w:rPr>
                <w:rFonts w:hint="default"/>
                <w:color w:val="auto"/>
                <w:sz w:val="24"/>
                <w:szCs w:val="24"/>
                <w:highlight w:val="none"/>
                <w:lang w:val="en-US" w:eastAsia="zh-CN"/>
              </w:rPr>
              <w:t>-</w:t>
            </w:r>
            <w:r>
              <w:rPr>
                <w:rFonts w:hint="eastAsia"/>
                <w:color w:val="auto"/>
                <w:sz w:val="24"/>
                <w:szCs w:val="24"/>
                <w:highlight w:val="none"/>
                <w:lang w:val="en-US" w:eastAsia="zh-CN"/>
              </w:rPr>
              <w:t>10</w:t>
            </w:r>
            <w:r>
              <w:rPr>
                <w:rFonts w:hint="default"/>
                <w:color w:val="auto"/>
                <w:sz w:val="24"/>
                <w:szCs w:val="24"/>
                <w:highlight w:val="none"/>
                <w:lang w:val="en-US" w:eastAsia="zh-CN"/>
              </w:rPr>
              <w:t>。</w:t>
            </w:r>
          </w:p>
          <w:p w14:paraId="2B6491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表3-</w:t>
            </w:r>
            <w:r>
              <w:rPr>
                <w:rFonts w:hint="eastAsia"/>
                <w:b/>
                <w:bCs/>
                <w:color w:val="auto"/>
                <w:sz w:val="21"/>
                <w:szCs w:val="21"/>
                <w:highlight w:val="none"/>
                <w:lang w:val="en-US" w:eastAsia="zh-CN"/>
              </w:rPr>
              <w:t>10</w:t>
            </w:r>
            <w:r>
              <w:rPr>
                <w:rFonts w:hint="eastAsia" w:ascii="Times New Roman" w:hAnsi="Times New Roman" w:eastAsia="宋体"/>
                <w:b/>
                <w:bCs/>
                <w:color w:val="auto"/>
                <w:sz w:val="21"/>
                <w:szCs w:val="21"/>
                <w:highlight w:val="none"/>
                <w:lang w:val="en-US" w:eastAsia="zh-CN"/>
              </w:rPr>
              <w:t xml:space="preserve">  颗粒物大气污染物排放浓度限值</w:t>
            </w:r>
          </w:p>
          <w:tbl>
            <w:tblPr>
              <w:tblStyle w:val="25"/>
              <w:tblW w:w="83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51"/>
              <w:gridCol w:w="2751"/>
              <w:gridCol w:w="2824"/>
            </w:tblGrid>
            <w:tr w14:paraId="799E4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 w:hRule="atLeast"/>
                <w:jc w:val="center"/>
              </w:trPr>
              <w:tc>
                <w:tcPr>
                  <w:tcW w:w="2751" w:type="dxa"/>
                  <w:vMerge w:val="restart"/>
                  <w:vAlign w:val="center"/>
                </w:tcPr>
                <w:p w14:paraId="25FE3F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 w:val="21"/>
                      <w:szCs w:val="21"/>
                      <w:highlight w:val="none"/>
                    </w:rPr>
                  </w:pPr>
                  <w:r>
                    <w:rPr>
                      <w:rFonts w:hint="default" w:ascii="Times New Roman" w:hAnsi="Times New Roman"/>
                      <w:b/>
                      <w:bCs w:val="0"/>
                      <w:color w:val="auto"/>
                      <w:sz w:val="21"/>
                      <w:szCs w:val="21"/>
                      <w:highlight w:val="none"/>
                    </w:rPr>
                    <w:t>污染物</w:t>
                  </w:r>
                </w:p>
              </w:tc>
              <w:tc>
                <w:tcPr>
                  <w:tcW w:w="5575" w:type="dxa"/>
                  <w:gridSpan w:val="2"/>
                  <w:vAlign w:val="center"/>
                </w:tcPr>
                <w:p w14:paraId="26ACEE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 w:val="21"/>
                      <w:szCs w:val="21"/>
                      <w:highlight w:val="none"/>
                    </w:rPr>
                  </w:pPr>
                  <w:r>
                    <w:rPr>
                      <w:rFonts w:hint="default" w:ascii="Times New Roman" w:hAnsi="Times New Roman"/>
                      <w:b/>
                      <w:bCs w:val="0"/>
                      <w:color w:val="auto"/>
                      <w:sz w:val="21"/>
                      <w:szCs w:val="21"/>
                      <w:highlight w:val="none"/>
                    </w:rPr>
                    <w:t>无组织排放浓度监控限值</w:t>
                  </w:r>
                </w:p>
              </w:tc>
            </w:tr>
            <w:tr w14:paraId="4FA17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2751" w:type="dxa"/>
                  <w:vMerge w:val="continue"/>
                  <w:vAlign w:val="center"/>
                </w:tcPr>
                <w:p w14:paraId="27159D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 w:val="21"/>
                      <w:szCs w:val="21"/>
                      <w:highlight w:val="none"/>
                    </w:rPr>
                  </w:pPr>
                </w:p>
              </w:tc>
              <w:tc>
                <w:tcPr>
                  <w:tcW w:w="2751" w:type="dxa"/>
                  <w:vAlign w:val="center"/>
                </w:tcPr>
                <w:p w14:paraId="6D689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 w:val="21"/>
                      <w:szCs w:val="21"/>
                      <w:highlight w:val="none"/>
                    </w:rPr>
                  </w:pPr>
                  <w:r>
                    <w:rPr>
                      <w:rFonts w:hint="default" w:ascii="Times New Roman" w:hAnsi="Times New Roman"/>
                      <w:b/>
                      <w:bCs w:val="0"/>
                      <w:color w:val="auto"/>
                      <w:sz w:val="21"/>
                      <w:szCs w:val="21"/>
                      <w:highlight w:val="none"/>
                    </w:rPr>
                    <w:t>监控点</w:t>
                  </w:r>
                </w:p>
              </w:tc>
              <w:tc>
                <w:tcPr>
                  <w:tcW w:w="2824" w:type="dxa"/>
                  <w:vAlign w:val="center"/>
                </w:tcPr>
                <w:p w14:paraId="2346A7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 w:val="21"/>
                      <w:szCs w:val="21"/>
                      <w:highlight w:val="none"/>
                    </w:rPr>
                  </w:pPr>
                  <w:r>
                    <w:rPr>
                      <w:rFonts w:hint="default" w:ascii="Times New Roman" w:hAnsi="Times New Roman"/>
                      <w:b/>
                      <w:bCs w:val="0"/>
                      <w:color w:val="auto"/>
                      <w:sz w:val="21"/>
                      <w:szCs w:val="21"/>
                      <w:highlight w:val="none"/>
                    </w:rPr>
                    <w:t>浓度限值（mg/m</w:t>
                  </w:r>
                  <w:r>
                    <w:rPr>
                      <w:rFonts w:hint="default" w:ascii="Times New Roman" w:hAnsi="Times New Roman"/>
                      <w:b/>
                      <w:bCs w:val="0"/>
                      <w:color w:val="auto"/>
                      <w:sz w:val="21"/>
                      <w:szCs w:val="21"/>
                      <w:highlight w:val="none"/>
                      <w:vertAlign w:val="superscript"/>
                    </w:rPr>
                    <w:t>3</w:t>
                  </w:r>
                  <w:r>
                    <w:rPr>
                      <w:rFonts w:hint="default" w:ascii="Times New Roman" w:hAnsi="Times New Roman"/>
                      <w:b/>
                      <w:bCs w:val="0"/>
                      <w:color w:val="auto"/>
                      <w:sz w:val="21"/>
                      <w:szCs w:val="21"/>
                      <w:highlight w:val="none"/>
                    </w:rPr>
                    <w:t>）</w:t>
                  </w:r>
                </w:p>
              </w:tc>
            </w:tr>
            <w:tr w14:paraId="56589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751" w:type="dxa"/>
                  <w:vAlign w:val="center"/>
                </w:tcPr>
                <w:p w14:paraId="310A9B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default" w:ascii="Times New Roman" w:hAnsi="Times New Roman"/>
                      <w:color w:val="auto"/>
                      <w:sz w:val="21"/>
                      <w:szCs w:val="21"/>
                      <w:highlight w:val="none"/>
                    </w:rPr>
                  </w:pPr>
                  <w:r>
                    <w:rPr>
                      <w:rFonts w:hint="default" w:ascii="Times New Roman" w:hAnsi="Times New Roman"/>
                      <w:color w:val="auto"/>
                      <w:sz w:val="21"/>
                      <w:szCs w:val="21"/>
                      <w:highlight w:val="none"/>
                    </w:rPr>
                    <w:t>颗粒物</w:t>
                  </w:r>
                </w:p>
              </w:tc>
              <w:tc>
                <w:tcPr>
                  <w:tcW w:w="2751" w:type="dxa"/>
                  <w:vAlign w:val="center"/>
                </w:tcPr>
                <w:p w14:paraId="4F08F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default" w:ascii="Times New Roman" w:hAnsi="Times New Roman"/>
                      <w:color w:val="auto"/>
                      <w:sz w:val="21"/>
                      <w:szCs w:val="21"/>
                      <w:highlight w:val="none"/>
                    </w:rPr>
                  </w:pPr>
                  <w:r>
                    <w:rPr>
                      <w:rFonts w:hint="default" w:ascii="Times New Roman" w:hAnsi="Times New Roman"/>
                      <w:color w:val="auto"/>
                      <w:sz w:val="21"/>
                      <w:szCs w:val="21"/>
                      <w:highlight w:val="none"/>
                    </w:rPr>
                    <w:t>周界外浓度最高点</w:t>
                  </w:r>
                </w:p>
              </w:tc>
              <w:tc>
                <w:tcPr>
                  <w:tcW w:w="2824" w:type="dxa"/>
                  <w:vAlign w:val="center"/>
                </w:tcPr>
                <w:p w14:paraId="763A03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default" w:ascii="Times New Roman" w:hAnsi="Times New Roman"/>
                      <w:color w:val="auto"/>
                      <w:sz w:val="21"/>
                      <w:szCs w:val="21"/>
                      <w:highlight w:val="none"/>
                    </w:rPr>
                  </w:pPr>
                  <w:r>
                    <w:rPr>
                      <w:rFonts w:hint="default" w:ascii="Times New Roman" w:hAnsi="Times New Roman"/>
                      <w:color w:val="auto"/>
                      <w:sz w:val="21"/>
                      <w:szCs w:val="21"/>
                      <w:highlight w:val="none"/>
                    </w:rPr>
                    <w:t>1.0</w:t>
                  </w:r>
                </w:p>
              </w:tc>
            </w:tr>
          </w:tbl>
          <w:p w14:paraId="621DCC7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（2）运营期</w:t>
            </w:r>
          </w:p>
          <w:p w14:paraId="23294E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default" w:ascii="Times New Roman" w:hAnsi="Times New Roman" w:eastAsia="宋体" w:cs="Times New Roman"/>
                <w:color w:val="auto"/>
                <w:sz w:val="24"/>
                <w:szCs w:val="24"/>
                <w:highlight w:val="none"/>
              </w:rPr>
              <w:t>①</w:t>
            </w:r>
            <w:r>
              <w:rPr>
                <w:rFonts w:ascii="Times New Roman" w:hAnsi="Times New Roman"/>
                <w:bCs/>
                <w:color w:val="auto"/>
                <w:sz w:val="24"/>
                <w:highlight w:val="none"/>
              </w:rPr>
              <w:t>项目运营过程中会有</w:t>
            </w:r>
            <w:r>
              <w:rPr>
                <w:rFonts w:hint="eastAsia" w:cs="Times New Roman"/>
                <w:color w:val="auto"/>
                <w:sz w:val="24"/>
                <w:highlight w:val="none"/>
                <w:lang w:val="zh-CN"/>
              </w:rPr>
              <w:t>颗粒物、氟化物、</w:t>
            </w:r>
            <w:r>
              <w:rPr>
                <w:rFonts w:hint="eastAsia" w:cs="Times New Roman"/>
                <w:color w:val="auto"/>
                <w:sz w:val="24"/>
                <w:highlight w:val="none"/>
                <w:lang w:val="zh-CN" w:eastAsia="zh-CN"/>
              </w:rPr>
              <w:t>氯化氢和</w:t>
            </w:r>
            <w:r>
              <w:rPr>
                <w:rFonts w:hint="eastAsia" w:cs="Times New Roman"/>
                <w:color w:val="auto"/>
                <w:sz w:val="24"/>
                <w:highlight w:val="none"/>
                <w:lang w:val="zh-CN"/>
              </w:rPr>
              <w:t>硫酸雾</w:t>
            </w:r>
            <w:r>
              <w:rPr>
                <w:rFonts w:ascii="Times New Roman" w:hAnsi="Times New Roman"/>
                <w:bCs/>
                <w:color w:val="auto"/>
                <w:sz w:val="24"/>
                <w:highlight w:val="none"/>
              </w:rPr>
              <w:t>产生，</w:t>
            </w:r>
            <w:r>
              <w:rPr>
                <w:rFonts w:ascii="Times New Roman" w:hAnsi="Times New Roman"/>
                <w:color w:val="auto"/>
                <w:sz w:val="24"/>
                <w:highlight w:val="none"/>
              </w:rPr>
              <w:t>废气</w:t>
            </w:r>
            <w:r>
              <w:rPr>
                <w:rFonts w:hint="eastAsia"/>
                <w:color w:val="auto"/>
                <w:sz w:val="24"/>
                <w:highlight w:val="none"/>
                <w:lang w:eastAsia="zh-CN"/>
              </w:rPr>
              <w:t>经封闭生产车间</w:t>
            </w:r>
            <w:r>
              <w:rPr>
                <w:rFonts w:hint="eastAsia" w:ascii="Times New Roman" w:hAnsi="Times New Roman"/>
                <w:color w:val="auto"/>
                <w:sz w:val="24"/>
                <w:highlight w:val="none"/>
                <w:lang w:val="zh-CN" w:eastAsia="zh-CN"/>
              </w:rPr>
              <w:t>集气</w:t>
            </w:r>
            <w:r>
              <w:rPr>
                <w:rFonts w:hint="eastAsia"/>
                <w:color w:val="auto"/>
                <w:sz w:val="24"/>
                <w:highlight w:val="none"/>
                <w:lang w:val="zh-CN" w:eastAsia="zh-CN"/>
              </w:rPr>
              <w:t>管道</w:t>
            </w:r>
            <w:r>
              <w:rPr>
                <w:rFonts w:hint="eastAsia" w:ascii="Times New Roman" w:hAnsi="Times New Roman"/>
                <w:color w:val="auto"/>
                <w:sz w:val="24"/>
                <w:highlight w:val="none"/>
                <w:lang w:val="zh-CN" w:eastAsia="zh-CN"/>
              </w:rPr>
              <w:t>收集</w:t>
            </w:r>
            <w:r>
              <w:rPr>
                <w:rFonts w:hint="eastAsia"/>
                <w:color w:val="auto"/>
                <w:sz w:val="24"/>
                <w:highlight w:val="none"/>
                <w:lang w:val="zh-CN" w:eastAsia="zh-CN"/>
              </w:rPr>
              <w:t>后</w:t>
            </w:r>
            <w:r>
              <w:rPr>
                <w:rFonts w:hint="eastAsia" w:ascii="Times New Roman" w:hAnsi="Times New Roman"/>
                <w:color w:val="auto"/>
                <w:sz w:val="24"/>
                <w:highlight w:val="none"/>
                <w:lang w:val="zh-CN" w:eastAsia="zh-CN"/>
              </w:rPr>
              <w:t>进入碱液喷淋洗涤塔处理</w:t>
            </w:r>
            <w:r>
              <w:rPr>
                <w:rFonts w:hint="eastAsia"/>
                <w:color w:val="auto"/>
                <w:sz w:val="24"/>
                <w:highlight w:val="none"/>
                <w:lang w:val="zh-CN" w:eastAsia="zh-CN"/>
              </w:rPr>
              <w:t>，</w:t>
            </w:r>
            <w:r>
              <w:rPr>
                <w:rFonts w:hint="eastAsia" w:ascii="Times New Roman" w:hAnsi="Times New Roman"/>
                <w:color w:val="auto"/>
                <w:sz w:val="24"/>
                <w:highlight w:val="none"/>
                <w:lang w:val="zh-CN" w:eastAsia="zh-CN"/>
              </w:rPr>
              <w:t>后通过</w:t>
            </w:r>
            <w:r>
              <w:rPr>
                <w:rFonts w:hint="eastAsia" w:ascii="Times New Roman" w:hAnsi="Times New Roman"/>
                <w:color w:val="auto"/>
                <w:sz w:val="24"/>
                <w:highlight w:val="none"/>
                <w:lang w:val="en-US" w:eastAsia="zh-CN"/>
              </w:rPr>
              <w:t>1根</w:t>
            </w:r>
            <w:r>
              <w:rPr>
                <w:rFonts w:hint="eastAsia" w:ascii="Times New Roman" w:hAnsi="Times New Roman"/>
                <w:color w:val="auto"/>
                <w:sz w:val="24"/>
                <w:highlight w:val="none"/>
                <w:lang w:val="zh-CN" w:eastAsia="zh-CN"/>
              </w:rPr>
              <w:t>15m高的排气筒（</w:t>
            </w:r>
            <w:r>
              <w:rPr>
                <w:rFonts w:hint="eastAsia" w:ascii="Times New Roman" w:hAnsi="Times New Roman"/>
                <w:color w:val="auto"/>
                <w:sz w:val="24"/>
                <w:highlight w:val="none"/>
                <w:lang w:val="en-US" w:eastAsia="zh-CN"/>
              </w:rPr>
              <w:t>DA002</w:t>
            </w:r>
            <w:r>
              <w:rPr>
                <w:rFonts w:hint="eastAsia" w:ascii="Times New Roman" w:hAnsi="Times New Roman"/>
                <w:color w:val="auto"/>
                <w:sz w:val="24"/>
                <w:highlight w:val="none"/>
                <w:lang w:val="zh-CN" w:eastAsia="zh-CN"/>
              </w:rPr>
              <w:t>）排放</w:t>
            </w:r>
            <w:r>
              <w:rPr>
                <w:rFonts w:ascii="Times New Roman" w:hAnsi="Times New Roman"/>
                <w:color w:val="auto"/>
                <w:sz w:val="24"/>
                <w:highlight w:val="none"/>
              </w:rPr>
              <w:t>。</w:t>
            </w:r>
            <w:r>
              <w:rPr>
                <w:rFonts w:hint="eastAsia"/>
                <w:color w:val="auto"/>
                <w:sz w:val="24"/>
                <w:highlight w:val="none"/>
                <w:lang w:eastAsia="zh-CN"/>
              </w:rPr>
              <w:t>本</w:t>
            </w:r>
            <w:r>
              <w:rPr>
                <w:rFonts w:ascii="Times New Roman" w:hAnsi="Times New Roman"/>
                <w:color w:val="auto"/>
                <w:sz w:val="24"/>
                <w:highlight w:val="none"/>
              </w:rPr>
              <w:t>项目</w:t>
            </w:r>
            <w:r>
              <w:rPr>
                <w:rFonts w:hint="eastAsia"/>
                <w:color w:val="auto"/>
                <w:sz w:val="24"/>
                <w:highlight w:val="none"/>
                <w:lang w:eastAsia="zh-CN"/>
              </w:rPr>
              <w:t>颗粒物、</w:t>
            </w:r>
            <w:r>
              <w:rPr>
                <w:rFonts w:hint="eastAsia" w:cs="Times New Roman"/>
                <w:color w:val="auto"/>
                <w:sz w:val="24"/>
                <w:highlight w:val="none"/>
                <w:lang w:val="zh-CN" w:eastAsia="zh-CN"/>
              </w:rPr>
              <w:t>氯化氢、</w:t>
            </w:r>
            <w:r>
              <w:rPr>
                <w:rFonts w:hint="eastAsia" w:cs="Times New Roman"/>
                <w:color w:val="auto"/>
                <w:sz w:val="24"/>
                <w:highlight w:val="none"/>
                <w:lang w:val="zh-CN"/>
              </w:rPr>
              <w:t>氟化物</w:t>
            </w:r>
            <w:r>
              <w:rPr>
                <w:rFonts w:hint="eastAsia" w:cs="Times New Roman"/>
                <w:color w:val="auto"/>
                <w:sz w:val="24"/>
                <w:highlight w:val="none"/>
                <w:lang w:val="zh-CN" w:eastAsia="zh-CN"/>
              </w:rPr>
              <w:t>有组织</w:t>
            </w:r>
            <w:r>
              <w:rPr>
                <w:rFonts w:ascii="Times New Roman" w:hAnsi="Times New Roman"/>
                <w:color w:val="auto"/>
                <w:sz w:val="24"/>
                <w:highlight w:val="none"/>
              </w:rPr>
              <w:t>排放执行</w:t>
            </w:r>
            <w:r>
              <w:rPr>
                <w:rFonts w:hint="eastAsia"/>
                <w:color w:val="auto"/>
                <w:sz w:val="24"/>
                <w:highlight w:val="none"/>
                <w:lang w:eastAsia="zh-CN"/>
              </w:rPr>
              <w:t>《玻璃工业大气污染物排放标准》（</w:t>
            </w:r>
            <w:r>
              <w:rPr>
                <w:rFonts w:hint="eastAsia"/>
                <w:color w:val="auto"/>
                <w:sz w:val="24"/>
                <w:highlight w:val="none"/>
                <w:lang w:val="en-US" w:eastAsia="zh-CN"/>
              </w:rPr>
              <w:t>GB 26453-2022</w:t>
            </w:r>
            <w:r>
              <w:rPr>
                <w:rFonts w:hint="eastAsia"/>
                <w:color w:val="auto"/>
                <w:sz w:val="24"/>
                <w:highlight w:val="none"/>
                <w:lang w:eastAsia="zh-CN"/>
              </w:rPr>
              <w:t>）表</w:t>
            </w:r>
            <w:r>
              <w:rPr>
                <w:rFonts w:hint="eastAsia"/>
                <w:color w:val="auto"/>
                <w:sz w:val="24"/>
                <w:highlight w:val="none"/>
                <w:lang w:val="en-US" w:eastAsia="zh-CN"/>
              </w:rPr>
              <w:t>1中在线镀膜尾气处理系统排放限值。</w:t>
            </w:r>
            <w:r>
              <w:rPr>
                <w:rFonts w:hint="default" w:ascii="Times New Roman" w:hAnsi="Times New Roman" w:eastAsia="宋体" w:cs="Times New Roman"/>
                <w:color w:val="auto"/>
                <w:sz w:val="24"/>
                <w:szCs w:val="24"/>
                <w:highlight w:val="none"/>
              </w:rPr>
              <w:t>标准</w:t>
            </w:r>
            <w:r>
              <w:rPr>
                <w:rFonts w:hint="eastAsia" w:cs="Times New Roman"/>
                <w:color w:val="auto"/>
                <w:sz w:val="24"/>
                <w:szCs w:val="24"/>
                <w:highlight w:val="none"/>
                <w:lang w:eastAsia="zh-CN"/>
              </w:rPr>
              <w:t>限</w:t>
            </w:r>
            <w:r>
              <w:rPr>
                <w:rFonts w:hint="default" w:ascii="Times New Roman" w:hAnsi="Times New Roman" w:eastAsia="宋体" w:cs="Times New Roman"/>
                <w:color w:val="auto"/>
                <w:sz w:val="24"/>
                <w:szCs w:val="24"/>
                <w:highlight w:val="none"/>
              </w:rPr>
              <w:t>值见表</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w:t>
            </w:r>
          </w:p>
          <w:p w14:paraId="3D7270F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 xml:space="preserve">          </w:t>
            </w:r>
            <w:r>
              <w:rPr>
                <w:rFonts w:hint="default" w:ascii="Times New Roman" w:hAnsi="Times New Roman" w:eastAsia="宋体" w:cs="Times New Roman"/>
                <w:b/>
                <w:bCs/>
                <w:color w:val="auto"/>
                <w:kern w:val="2"/>
                <w:sz w:val="21"/>
                <w:szCs w:val="24"/>
                <w:highlight w:val="none"/>
                <w:lang w:val="en-US" w:eastAsia="zh-CN" w:bidi="ar-SA"/>
              </w:rPr>
              <w:t>表3-</w:t>
            </w:r>
            <w:r>
              <w:rPr>
                <w:rFonts w:hint="eastAsia" w:cs="Times New Roman"/>
                <w:b/>
                <w:bCs/>
                <w:color w:val="auto"/>
                <w:kern w:val="2"/>
                <w:sz w:val="21"/>
                <w:szCs w:val="24"/>
                <w:highlight w:val="none"/>
                <w:lang w:val="en-US" w:eastAsia="zh-CN" w:bidi="ar-SA"/>
              </w:rPr>
              <w:t>11</w:t>
            </w:r>
            <w:r>
              <w:rPr>
                <w:rFonts w:hint="default" w:ascii="Times New Roman" w:hAnsi="Times New Roman" w:eastAsia="宋体" w:cs="Times New Roman"/>
                <w:b/>
                <w:bCs/>
                <w:color w:val="auto"/>
                <w:kern w:val="2"/>
                <w:sz w:val="21"/>
                <w:szCs w:val="24"/>
                <w:highlight w:val="none"/>
                <w:lang w:val="en-US" w:eastAsia="zh-CN" w:bidi="ar-SA"/>
              </w:rPr>
              <w:t xml:space="preserve">   玻璃工业大气污染物</w:t>
            </w:r>
            <w:r>
              <w:rPr>
                <w:rFonts w:hint="eastAsia" w:eastAsia="宋体" w:cs="Times New Roman"/>
                <w:b/>
                <w:bCs/>
                <w:color w:val="auto"/>
                <w:kern w:val="2"/>
                <w:sz w:val="21"/>
                <w:szCs w:val="24"/>
                <w:highlight w:val="none"/>
                <w:lang w:val="en-US" w:eastAsia="zh-CN" w:bidi="ar-SA"/>
              </w:rPr>
              <w:t>有组织</w:t>
            </w:r>
            <w:r>
              <w:rPr>
                <w:rFonts w:hint="default" w:ascii="Times New Roman" w:hAnsi="Times New Roman" w:eastAsia="宋体" w:cs="Times New Roman"/>
                <w:b/>
                <w:bCs/>
                <w:color w:val="auto"/>
                <w:kern w:val="2"/>
                <w:sz w:val="21"/>
                <w:szCs w:val="24"/>
                <w:highlight w:val="none"/>
                <w:lang w:val="en-US" w:eastAsia="zh-CN" w:bidi="ar-SA"/>
              </w:rPr>
              <w:t>排放</w:t>
            </w:r>
            <w:r>
              <w:rPr>
                <w:rFonts w:hint="eastAsia" w:cs="Times New Roman"/>
                <w:b/>
                <w:bCs/>
                <w:color w:val="auto"/>
                <w:kern w:val="2"/>
                <w:sz w:val="21"/>
                <w:szCs w:val="24"/>
                <w:highlight w:val="none"/>
                <w:lang w:val="en-US" w:eastAsia="zh-CN" w:bidi="ar-SA"/>
              </w:rPr>
              <w:t xml:space="preserve">限值      </w:t>
            </w:r>
            <w:r>
              <w:rPr>
                <w:rFonts w:hint="default" w:ascii="Times New Roman" w:hAnsi="Times New Roman" w:eastAsia="宋体" w:cs="Times New Roman"/>
                <w:b/>
                <w:bCs/>
                <w:color w:val="auto"/>
                <w:sz w:val="21"/>
                <w:szCs w:val="21"/>
                <w:highlight w:val="none"/>
                <w:lang w:val="en-US" w:eastAsia="zh-CN"/>
              </w:rPr>
              <w:t>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5"/>
              <w:tblW w:w="47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2759"/>
              <w:gridCol w:w="2834"/>
            </w:tblGrid>
            <w:tr w14:paraId="361F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98" w:type="pct"/>
                  <w:vAlign w:val="center"/>
                </w:tcPr>
                <w:p w14:paraId="7914CB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b/>
                      <w:bCs/>
                      <w:color w:val="auto"/>
                      <w:sz w:val="21"/>
                      <w:szCs w:val="21"/>
                      <w:highlight w:val="none"/>
                      <w:lang w:eastAsia="zh-CN"/>
                    </w:rPr>
                  </w:pPr>
                  <w:r>
                    <w:rPr>
                      <w:rFonts w:hint="eastAsia" w:eastAsia="宋体" w:cs="Times New Roman"/>
                      <w:b/>
                      <w:bCs/>
                      <w:color w:val="auto"/>
                      <w:sz w:val="21"/>
                      <w:szCs w:val="21"/>
                      <w:highlight w:val="none"/>
                      <w:lang w:eastAsia="zh-CN"/>
                    </w:rPr>
                    <w:t>污染物项目</w:t>
                  </w:r>
                </w:p>
              </w:tc>
              <w:tc>
                <w:tcPr>
                  <w:tcW w:w="1727" w:type="pct"/>
                  <w:vAlign w:val="center"/>
                </w:tcPr>
                <w:p w14:paraId="32E665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eastAsia" w:eastAsia="宋体" w:cs="Times New Roman"/>
                      <w:b/>
                      <w:bCs/>
                      <w:color w:val="auto"/>
                      <w:sz w:val="21"/>
                      <w:szCs w:val="21"/>
                      <w:highlight w:val="none"/>
                      <w:lang w:val="en-US" w:eastAsia="zh-CN"/>
                    </w:rPr>
                    <w:t>在</w:t>
                  </w:r>
                  <w:r>
                    <w:rPr>
                      <w:rFonts w:hint="default" w:ascii="Times New Roman" w:hAnsi="Times New Roman" w:eastAsia="宋体" w:cs="Times New Roman"/>
                      <w:b/>
                      <w:bCs/>
                      <w:color w:val="auto"/>
                      <w:sz w:val="21"/>
                      <w:szCs w:val="21"/>
                      <w:highlight w:val="none"/>
                      <w:lang w:val="en-US" w:eastAsia="zh-CN"/>
                    </w:rPr>
                    <w:t>线镀膜尾气处理系统</w:t>
                  </w:r>
                </w:p>
              </w:tc>
              <w:tc>
                <w:tcPr>
                  <w:tcW w:w="1774" w:type="pct"/>
                  <w:vAlign w:val="center"/>
                </w:tcPr>
                <w:p w14:paraId="3378BE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eastAsia="宋体" w:cs="Times New Roman"/>
                      <w:b/>
                      <w:bCs/>
                      <w:color w:val="auto"/>
                      <w:sz w:val="21"/>
                      <w:szCs w:val="21"/>
                      <w:highlight w:val="none"/>
                      <w:lang w:eastAsia="zh-CN"/>
                    </w:rPr>
                    <w:t>污染物排放监控位置</w:t>
                  </w:r>
                </w:p>
              </w:tc>
            </w:tr>
            <w:tr w14:paraId="275D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8" w:type="pct"/>
                  <w:vAlign w:val="center"/>
                </w:tcPr>
                <w:p w14:paraId="47A57A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727" w:type="pct"/>
                  <w:vAlign w:val="center"/>
                </w:tcPr>
                <w:p w14:paraId="1BDA1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1774" w:type="pct"/>
                  <w:vMerge w:val="restart"/>
                  <w:vAlign w:val="center"/>
                </w:tcPr>
                <w:p w14:paraId="0F9790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车间或生产设施排气筒</w:t>
                  </w:r>
                </w:p>
              </w:tc>
            </w:tr>
            <w:tr w14:paraId="0651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98" w:type="pct"/>
                  <w:vAlign w:val="center"/>
                </w:tcPr>
                <w:p w14:paraId="7FA7E84A">
                  <w:pPr>
                    <w:pStyle w:val="1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氯化氢</w:t>
                  </w:r>
                </w:p>
              </w:tc>
              <w:tc>
                <w:tcPr>
                  <w:tcW w:w="1727" w:type="pct"/>
                  <w:vAlign w:val="center"/>
                </w:tcPr>
                <w:p w14:paraId="5F6788A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30</w:t>
                  </w:r>
                </w:p>
              </w:tc>
              <w:tc>
                <w:tcPr>
                  <w:tcW w:w="1774" w:type="pct"/>
                  <w:vMerge w:val="continue"/>
                  <w:vAlign w:val="center"/>
                </w:tcPr>
                <w:p w14:paraId="39E3F0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4EA6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98" w:type="pct"/>
                  <w:vAlign w:val="center"/>
                </w:tcPr>
                <w:p w14:paraId="1C544B46">
                  <w:pPr>
                    <w:pStyle w:val="1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氟化物</w:t>
                  </w:r>
                </w:p>
              </w:tc>
              <w:tc>
                <w:tcPr>
                  <w:tcW w:w="1727" w:type="pct"/>
                  <w:vAlign w:val="center"/>
                </w:tcPr>
                <w:p w14:paraId="68CE7F7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5</w:t>
                  </w:r>
                </w:p>
              </w:tc>
              <w:tc>
                <w:tcPr>
                  <w:tcW w:w="1774" w:type="pct"/>
                  <w:vMerge w:val="continue"/>
                  <w:vAlign w:val="center"/>
                </w:tcPr>
                <w:p w14:paraId="6D31C0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bl>
          <w:p w14:paraId="572AFD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eastAsia="zh-CN"/>
              </w:rPr>
            </w:pPr>
            <w:r>
              <w:rPr>
                <w:rFonts w:hint="eastAsia"/>
                <w:color w:val="auto"/>
                <w:sz w:val="24"/>
                <w:highlight w:val="none"/>
                <w:lang w:val="en-US" w:eastAsia="zh-CN"/>
              </w:rPr>
              <w:t>②本项目</w:t>
            </w:r>
            <w:r>
              <w:rPr>
                <w:rFonts w:hint="eastAsia"/>
                <w:bCs/>
                <w:color w:val="auto"/>
                <w:sz w:val="24"/>
                <w:highlight w:val="none"/>
                <w:lang w:eastAsia="zh-CN"/>
              </w:rPr>
              <w:t>硫酸雾产生于弱酸液配制过程和蒙砂液配制过程，不属于特征工序。</w:t>
            </w:r>
            <w:r>
              <w:rPr>
                <w:rFonts w:hint="eastAsia"/>
                <w:color w:val="auto"/>
                <w:sz w:val="24"/>
                <w:highlight w:val="none"/>
                <w:lang w:val="en-US" w:eastAsia="zh-CN"/>
              </w:rPr>
              <w:t>因</w:t>
            </w:r>
            <w:r>
              <w:rPr>
                <w:rFonts w:hint="eastAsia"/>
                <w:color w:val="auto"/>
                <w:sz w:val="24"/>
                <w:highlight w:val="none"/>
                <w:lang w:eastAsia="zh-CN"/>
              </w:rPr>
              <w:t>《玻璃工业大气污染物排放标准》（</w:t>
            </w:r>
            <w:r>
              <w:rPr>
                <w:rFonts w:hint="eastAsia"/>
                <w:color w:val="auto"/>
                <w:sz w:val="24"/>
                <w:highlight w:val="none"/>
                <w:lang w:val="en-US" w:eastAsia="zh-CN"/>
              </w:rPr>
              <w:t>GB 26453-2022</w:t>
            </w:r>
            <w:r>
              <w:rPr>
                <w:rFonts w:hint="eastAsia"/>
                <w:color w:val="auto"/>
                <w:sz w:val="24"/>
                <w:highlight w:val="none"/>
                <w:lang w:eastAsia="zh-CN"/>
              </w:rPr>
              <w:t>）中没有硫酸雾的排放限值，故</w:t>
            </w:r>
            <w:r>
              <w:rPr>
                <w:rFonts w:hint="eastAsia" w:cs="Times New Roman"/>
                <w:color w:val="auto"/>
                <w:sz w:val="24"/>
                <w:highlight w:val="none"/>
                <w:lang w:val="zh-CN"/>
              </w:rPr>
              <w:t>硫酸雾有组织</w:t>
            </w:r>
            <w:r>
              <w:rPr>
                <w:rFonts w:ascii="Times New Roman" w:hAnsi="Times New Roman"/>
                <w:color w:val="auto"/>
                <w:sz w:val="24"/>
                <w:highlight w:val="none"/>
              </w:rPr>
              <w:t>排放执行《大气污染物综合排放标准》（GB16297-1996）表2二级标准</w:t>
            </w:r>
            <w:r>
              <w:rPr>
                <w:rFonts w:hint="eastAsia"/>
                <w:color w:val="auto"/>
                <w:sz w:val="24"/>
                <w:highlight w:val="none"/>
                <w:lang w:eastAsia="zh-CN"/>
              </w:rPr>
              <w:t>。</w:t>
            </w:r>
          </w:p>
          <w:p w14:paraId="3346BF21">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b/>
                <w:bCs/>
                <w:color w:val="auto"/>
                <w:kern w:val="2"/>
                <w:sz w:val="21"/>
                <w:szCs w:val="24"/>
                <w:highlight w:val="none"/>
                <w:lang w:val="en-US" w:eastAsia="zh-CN" w:bidi="ar-SA"/>
              </w:rPr>
            </w:pPr>
            <w:r>
              <w:rPr>
                <w:rFonts w:hint="default" w:ascii="Times New Roman" w:hAnsi="Times New Roman" w:cs="Times New Roman"/>
                <w:color w:val="auto"/>
                <w:sz w:val="24"/>
                <w:szCs w:val="24"/>
                <w:highlight w:val="none"/>
              </w:rPr>
              <w:t>根据《大气污染物综合排放标准》（GB16297-1996）中“7.1排气筒高度除须遵守表列排放速率值外，还应高出周围200米半径范围的建筑5米以上，不能达到该要求的排气筒，应按其高度对应的表列排放速率标准值严格50%执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本项目排气筒高度无法做到高出</w:t>
            </w:r>
            <w:r>
              <w:rPr>
                <w:rFonts w:hint="default" w:ascii="Times New Roman" w:hAnsi="Times New Roman" w:cs="Times New Roman"/>
                <w:color w:val="auto"/>
                <w:sz w:val="24"/>
                <w:szCs w:val="24"/>
                <w:highlight w:val="none"/>
              </w:rPr>
              <w:t>周围200米半径范围</w:t>
            </w:r>
            <w:r>
              <w:rPr>
                <w:rFonts w:hint="default" w:ascii="Times New Roman" w:hAnsi="Times New Roman" w:cs="Times New Roman"/>
                <w:color w:val="auto"/>
                <w:sz w:val="24"/>
                <w:szCs w:val="24"/>
                <w:highlight w:val="none"/>
                <w:lang w:eastAsia="zh-CN"/>
              </w:rPr>
              <w:t>内的</w:t>
            </w:r>
            <w:r>
              <w:rPr>
                <w:rFonts w:hint="default" w:ascii="Times New Roman" w:hAnsi="Times New Roman" w:cs="Times New Roman"/>
                <w:color w:val="auto"/>
                <w:sz w:val="24"/>
                <w:szCs w:val="24"/>
                <w:highlight w:val="none"/>
              </w:rPr>
              <w:t>建筑</w:t>
            </w:r>
            <w:r>
              <w:rPr>
                <w:rFonts w:hint="default" w:ascii="Times New Roman" w:hAnsi="Times New Roman" w:cs="Times New Roman"/>
                <w:color w:val="auto"/>
                <w:sz w:val="24"/>
                <w:szCs w:val="24"/>
                <w:highlight w:val="none"/>
                <w:lang w:eastAsia="zh-CN"/>
              </w:rPr>
              <w:t>物</w:t>
            </w:r>
            <w:r>
              <w:rPr>
                <w:rFonts w:hint="default" w:ascii="Times New Roman" w:hAnsi="Times New Roman" w:cs="Times New Roman"/>
                <w:color w:val="auto"/>
                <w:sz w:val="24"/>
                <w:szCs w:val="24"/>
                <w:highlight w:val="none"/>
                <w:lang w:val="en-US" w:eastAsia="zh-CN"/>
              </w:rPr>
              <w:t>5米以上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因此</w:t>
            </w:r>
            <w:r>
              <w:rPr>
                <w:rFonts w:hint="eastAsia" w:cs="Times New Roman"/>
                <w:color w:val="auto"/>
                <w:sz w:val="24"/>
                <w:szCs w:val="24"/>
                <w:highlight w:val="none"/>
                <w:lang w:eastAsia="zh-CN"/>
              </w:rPr>
              <w:t>硫酸雾</w:t>
            </w:r>
            <w:r>
              <w:rPr>
                <w:rFonts w:hint="default" w:ascii="Times New Roman" w:hAnsi="Times New Roman" w:cs="Times New Roman"/>
                <w:color w:val="auto"/>
                <w:sz w:val="24"/>
                <w:szCs w:val="24"/>
                <w:highlight w:val="none"/>
              </w:rPr>
              <w:t>排放速率严格50%执行</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硫酸雾排放限</w:t>
            </w:r>
            <w:r>
              <w:rPr>
                <w:rFonts w:hint="default" w:ascii="Times New Roman" w:hAnsi="Times New Roman" w:eastAsia="宋体" w:cs="Times New Roman"/>
                <w:color w:val="auto"/>
                <w:sz w:val="24"/>
                <w:szCs w:val="24"/>
                <w:highlight w:val="none"/>
              </w:rPr>
              <w:t>值见表</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w:t>
            </w:r>
            <w:r>
              <w:rPr>
                <w:rFonts w:hint="eastAsia" w:cs="Times New Roman"/>
                <w:b/>
                <w:bCs/>
                <w:color w:val="auto"/>
                <w:kern w:val="2"/>
                <w:sz w:val="21"/>
                <w:szCs w:val="24"/>
                <w:highlight w:val="none"/>
                <w:lang w:val="en-US" w:eastAsia="zh-CN" w:bidi="ar-SA"/>
              </w:rPr>
              <w:t xml:space="preserve">      </w:t>
            </w:r>
          </w:p>
          <w:p w14:paraId="0DE7AE2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 xml:space="preserve">    </w:t>
            </w:r>
            <w:r>
              <w:rPr>
                <w:rFonts w:hint="default" w:ascii="Times New Roman" w:hAnsi="Times New Roman" w:eastAsia="宋体" w:cs="Times New Roman"/>
                <w:b/>
                <w:bCs/>
                <w:color w:val="auto"/>
                <w:kern w:val="2"/>
                <w:sz w:val="21"/>
                <w:szCs w:val="24"/>
                <w:highlight w:val="none"/>
                <w:lang w:val="en-US" w:eastAsia="zh-CN" w:bidi="ar-SA"/>
              </w:rPr>
              <w:t>表3-</w:t>
            </w:r>
            <w:r>
              <w:rPr>
                <w:rFonts w:hint="eastAsia" w:cs="Times New Roman"/>
                <w:b/>
                <w:bCs/>
                <w:color w:val="auto"/>
                <w:kern w:val="2"/>
                <w:sz w:val="21"/>
                <w:szCs w:val="24"/>
                <w:highlight w:val="none"/>
                <w:lang w:val="en-US" w:eastAsia="zh-CN" w:bidi="ar-SA"/>
              </w:rPr>
              <w:t>12</w:t>
            </w:r>
            <w:r>
              <w:rPr>
                <w:rFonts w:hint="default" w:ascii="Times New Roman" w:hAnsi="Times New Roman" w:eastAsia="宋体" w:cs="Times New Roman"/>
                <w:b/>
                <w:bCs/>
                <w:color w:val="auto"/>
                <w:kern w:val="2"/>
                <w:sz w:val="21"/>
                <w:szCs w:val="24"/>
                <w:highlight w:val="none"/>
                <w:lang w:val="en-US" w:eastAsia="zh-CN" w:bidi="ar-SA"/>
              </w:rPr>
              <w:t xml:space="preserve">   </w:t>
            </w:r>
            <w:r>
              <w:rPr>
                <w:rFonts w:hint="eastAsia" w:cs="Times New Roman"/>
                <w:b/>
                <w:bCs/>
                <w:color w:val="auto"/>
                <w:kern w:val="2"/>
                <w:sz w:val="21"/>
                <w:szCs w:val="24"/>
                <w:highlight w:val="none"/>
                <w:lang w:val="en-US" w:eastAsia="zh-CN" w:bidi="ar-SA"/>
              </w:rPr>
              <w:t>硫酸雾有组织</w:t>
            </w:r>
            <w:r>
              <w:rPr>
                <w:rFonts w:hint="default" w:ascii="Times New Roman" w:hAnsi="Times New Roman" w:eastAsia="宋体" w:cs="Times New Roman"/>
                <w:b/>
                <w:bCs/>
                <w:color w:val="auto"/>
                <w:kern w:val="2"/>
                <w:sz w:val="21"/>
                <w:szCs w:val="24"/>
                <w:highlight w:val="none"/>
                <w:lang w:val="en-US" w:eastAsia="zh-CN" w:bidi="ar-SA"/>
              </w:rPr>
              <w:t>排放</w:t>
            </w:r>
            <w:r>
              <w:rPr>
                <w:rFonts w:hint="eastAsia" w:cs="Times New Roman"/>
                <w:b/>
                <w:bCs/>
                <w:color w:val="auto"/>
                <w:kern w:val="2"/>
                <w:sz w:val="21"/>
                <w:szCs w:val="24"/>
                <w:highlight w:val="none"/>
                <w:lang w:val="en-US" w:eastAsia="zh-CN" w:bidi="ar-SA"/>
              </w:rPr>
              <w:t xml:space="preserve">限值      </w:t>
            </w:r>
            <w:r>
              <w:rPr>
                <w:rFonts w:hint="default" w:ascii="Times New Roman" w:hAnsi="Times New Roman" w:eastAsia="宋体" w:cs="Times New Roman"/>
                <w:b/>
                <w:bCs/>
                <w:color w:val="auto"/>
                <w:sz w:val="21"/>
                <w:szCs w:val="21"/>
                <w:highlight w:val="none"/>
                <w:lang w:val="en-US" w:eastAsia="zh-CN"/>
              </w:rPr>
              <w:t>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5"/>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700"/>
              <w:gridCol w:w="1890"/>
              <w:gridCol w:w="2550"/>
            </w:tblGrid>
            <w:tr w14:paraId="0E71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63" w:type="pct"/>
                  <w:vMerge w:val="restart"/>
                  <w:vAlign w:val="center"/>
                </w:tcPr>
                <w:p w14:paraId="453EDC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4336" w:type="pct"/>
                  <w:gridSpan w:val="3"/>
                  <w:vAlign w:val="center"/>
                </w:tcPr>
                <w:p w14:paraId="575761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有组织排放</w:t>
                  </w:r>
                </w:p>
              </w:tc>
            </w:tr>
            <w:tr w14:paraId="1D54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63" w:type="pct"/>
                  <w:vMerge w:val="continue"/>
                  <w:vAlign w:val="center"/>
                </w:tcPr>
                <w:p w14:paraId="7D1500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p>
              </w:tc>
              <w:tc>
                <w:tcPr>
                  <w:tcW w:w="1639" w:type="pct"/>
                  <w:vAlign w:val="center"/>
                </w:tcPr>
                <w:p w14:paraId="7FF7EA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w:t>
                  </w:r>
                  <w:r>
                    <w:rPr>
                      <w:rFonts w:hint="eastAsia" w:cs="Times New Roman"/>
                      <w:b/>
                      <w:bCs/>
                      <w:color w:val="auto"/>
                      <w:sz w:val="21"/>
                      <w:szCs w:val="21"/>
                      <w:highlight w:val="none"/>
                      <w:lang w:eastAsia="zh-CN"/>
                    </w:rPr>
                    <w:t>限值</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kern w:val="2"/>
                      <w:sz w:val="21"/>
                      <w:szCs w:val="21"/>
                      <w:highlight w:val="none"/>
                      <w:lang w:val="en-US" w:eastAsia="zh-CN" w:bidi="ar-SA"/>
                    </w:rPr>
                    <w:t>mg/m</w:t>
                  </w:r>
                  <w:r>
                    <w:rPr>
                      <w:rFonts w:hint="default" w:ascii="Times New Roman" w:hAnsi="Times New Roman" w:eastAsia="宋体" w:cs="Times New Roman"/>
                      <w:b/>
                      <w:bCs/>
                      <w:color w:val="auto"/>
                      <w:kern w:val="2"/>
                      <w:sz w:val="21"/>
                      <w:szCs w:val="21"/>
                      <w:highlight w:val="none"/>
                      <w:vertAlign w:val="superscript"/>
                      <w:lang w:val="en-US" w:eastAsia="zh-CN" w:bidi="ar-SA"/>
                    </w:rPr>
                    <w:t>3</w:t>
                  </w:r>
                  <w:r>
                    <w:rPr>
                      <w:rFonts w:hint="default" w:ascii="Times New Roman" w:hAnsi="Times New Roman" w:eastAsia="宋体" w:cs="Times New Roman"/>
                      <w:b/>
                      <w:bCs/>
                      <w:color w:val="auto"/>
                      <w:sz w:val="21"/>
                      <w:szCs w:val="21"/>
                      <w:highlight w:val="none"/>
                      <w:lang w:eastAsia="zh-CN"/>
                    </w:rPr>
                    <w:t>）</w:t>
                  </w:r>
                </w:p>
              </w:tc>
              <w:tc>
                <w:tcPr>
                  <w:tcW w:w="1147" w:type="pct"/>
                  <w:vAlign w:val="center"/>
                </w:tcPr>
                <w:p w14:paraId="023D87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排气筒高度（m）</w:t>
                  </w:r>
                </w:p>
              </w:tc>
              <w:tc>
                <w:tcPr>
                  <w:tcW w:w="1548" w:type="pct"/>
                  <w:vAlign w:val="center"/>
                </w:tcPr>
                <w:p w14:paraId="6137A2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最高允许排放速率（kg/h）</w:t>
                  </w:r>
                </w:p>
              </w:tc>
            </w:tr>
            <w:tr w14:paraId="507E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63" w:type="pct"/>
                  <w:vAlign w:val="center"/>
                </w:tcPr>
                <w:p w14:paraId="2E2779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硫酸雾</w:t>
                  </w:r>
                </w:p>
              </w:tc>
              <w:tc>
                <w:tcPr>
                  <w:tcW w:w="1639" w:type="pct"/>
                  <w:vAlign w:val="center"/>
                </w:tcPr>
                <w:p w14:paraId="3FC3E5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45</w:t>
                  </w:r>
                </w:p>
              </w:tc>
              <w:tc>
                <w:tcPr>
                  <w:tcW w:w="1147" w:type="pct"/>
                  <w:vAlign w:val="center"/>
                </w:tcPr>
                <w:p w14:paraId="7FE202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1548" w:type="pct"/>
                  <w:vAlign w:val="center"/>
                </w:tcPr>
                <w:p w14:paraId="57EEA9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0.75</w:t>
                  </w:r>
                </w:p>
              </w:tc>
            </w:tr>
          </w:tbl>
          <w:p w14:paraId="0E6CD3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hint="eastAsia"/>
                <w:color w:val="auto"/>
                <w:sz w:val="24"/>
                <w:highlight w:val="none"/>
                <w:lang w:eastAsia="zh-CN"/>
              </w:rPr>
              <w:t>③</w:t>
            </w:r>
            <w:r>
              <w:rPr>
                <w:rFonts w:hint="eastAsia"/>
                <w:color w:val="auto"/>
                <w:sz w:val="24"/>
                <w:highlight w:val="none"/>
                <w:lang w:val="en-US" w:eastAsia="zh-CN"/>
              </w:rPr>
              <w:t>因</w:t>
            </w:r>
            <w:r>
              <w:rPr>
                <w:rFonts w:hint="eastAsia"/>
                <w:color w:val="auto"/>
                <w:sz w:val="24"/>
                <w:highlight w:val="none"/>
                <w:lang w:eastAsia="zh-CN"/>
              </w:rPr>
              <w:t>《玻璃工业大气污染物排放标准》（</w:t>
            </w:r>
            <w:r>
              <w:rPr>
                <w:rFonts w:hint="eastAsia"/>
                <w:color w:val="auto"/>
                <w:sz w:val="24"/>
                <w:highlight w:val="none"/>
                <w:lang w:val="en-US" w:eastAsia="zh-CN"/>
              </w:rPr>
              <w:t>GB 26453-2022</w:t>
            </w:r>
            <w:r>
              <w:rPr>
                <w:rFonts w:hint="eastAsia"/>
                <w:color w:val="auto"/>
                <w:sz w:val="24"/>
                <w:highlight w:val="none"/>
                <w:lang w:eastAsia="zh-CN"/>
              </w:rPr>
              <w:t>）中没有</w:t>
            </w:r>
            <w:r>
              <w:rPr>
                <w:rFonts w:hint="eastAsia" w:cs="Times New Roman"/>
                <w:color w:val="auto"/>
                <w:sz w:val="24"/>
                <w:highlight w:val="none"/>
                <w:lang w:val="zh-CN"/>
              </w:rPr>
              <w:t>颗粒物、氟化物、</w:t>
            </w:r>
            <w:r>
              <w:rPr>
                <w:rFonts w:hint="eastAsia" w:cs="Times New Roman"/>
                <w:color w:val="auto"/>
                <w:sz w:val="24"/>
                <w:highlight w:val="none"/>
                <w:lang w:val="zh-CN" w:eastAsia="zh-CN"/>
              </w:rPr>
              <w:t>氯化氢和</w:t>
            </w:r>
            <w:r>
              <w:rPr>
                <w:rFonts w:hint="eastAsia" w:cs="Times New Roman"/>
                <w:color w:val="auto"/>
                <w:sz w:val="24"/>
                <w:highlight w:val="none"/>
                <w:lang w:val="zh-CN"/>
              </w:rPr>
              <w:t>硫酸雾的无组织排放监控限值</w:t>
            </w:r>
            <w:r>
              <w:rPr>
                <w:rFonts w:hint="eastAsia"/>
                <w:color w:val="auto"/>
                <w:sz w:val="24"/>
                <w:highlight w:val="none"/>
                <w:lang w:eastAsia="zh-CN"/>
              </w:rPr>
              <w:t>，故本项目</w:t>
            </w:r>
            <w:r>
              <w:rPr>
                <w:rFonts w:hint="eastAsia" w:cs="Times New Roman"/>
                <w:color w:val="auto"/>
                <w:sz w:val="24"/>
                <w:highlight w:val="none"/>
                <w:lang w:val="zh-CN"/>
              </w:rPr>
              <w:t>颗粒物、氟化物、</w:t>
            </w:r>
            <w:r>
              <w:rPr>
                <w:rFonts w:hint="eastAsia" w:cs="Times New Roman"/>
                <w:color w:val="auto"/>
                <w:sz w:val="24"/>
                <w:highlight w:val="none"/>
                <w:lang w:val="zh-CN" w:eastAsia="zh-CN"/>
              </w:rPr>
              <w:t>氯化氢和</w:t>
            </w:r>
            <w:r>
              <w:rPr>
                <w:rFonts w:hint="eastAsia" w:cs="Times New Roman"/>
                <w:color w:val="auto"/>
                <w:sz w:val="24"/>
                <w:highlight w:val="none"/>
                <w:lang w:val="zh-CN"/>
              </w:rPr>
              <w:t>硫酸雾无组织排放</w:t>
            </w:r>
            <w:r>
              <w:rPr>
                <w:rFonts w:ascii="Times New Roman" w:hAnsi="Times New Roman"/>
                <w:color w:val="auto"/>
                <w:sz w:val="24"/>
                <w:highlight w:val="none"/>
              </w:rPr>
              <w:t>执行《大气污染物综合排放标准》（GB16297-1996）表2</w:t>
            </w:r>
            <w:r>
              <w:rPr>
                <w:rFonts w:hint="eastAsia"/>
                <w:color w:val="auto"/>
                <w:sz w:val="24"/>
                <w:highlight w:val="none"/>
                <w:lang w:eastAsia="zh-CN"/>
              </w:rPr>
              <w:t>中</w:t>
            </w:r>
            <w:r>
              <w:rPr>
                <w:color w:val="auto"/>
                <w:sz w:val="24"/>
                <w:highlight w:val="none"/>
              </w:rPr>
              <w:t>无组织排放监控浓度限值</w:t>
            </w:r>
            <w:r>
              <w:rPr>
                <w:bCs/>
                <w:color w:val="auto"/>
                <w:sz w:val="24"/>
                <w:highlight w:val="none"/>
              </w:rPr>
              <w:t>。</w:t>
            </w:r>
            <w:r>
              <w:rPr>
                <w:rFonts w:hint="default" w:ascii="Times New Roman" w:hAnsi="Times New Roman" w:eastAsia="宋体" w:cs="Times New Roman"/>
                <w:color w:val="auto"/>
                <w:sz w:val="24"/>
                <w:szCs w:val="24"/>
                <w:highlight w:val="none"/>
              </w:rPr>
              <w:t>标准</w:t>
            </w:r>
            <w:r>
              <w:rPr>
                <w:rFonts w:hint="eastAsia" w:cs="Times New Roman"/>
                <w:color w:val="auto"/>
                <w:sz w:val="24"/>
                <w:szCs w:val="24"/>
                <w:highlight w:val="none"/>
                <w:lang w:eastAsia="zh-CN"/>
              </w:rPr>
              <w:t>限</w:t>
            </w:r>
            <w:r>
              <w:rPr>
                <w:rFonts w:hint="default" w:ascii="Times New Roman" w:hAnsi="Times New Roman" w:eastAsia="宋体" w:cs="Times New Roman"/>
                <w:color w:val="auto"/>
                <w:sz w:val="24"/>
                <w:szCs w:val="24"/>
                <w:highlight w:val="none"/>
              </w:rPr>
              <w:t>值见表</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p>
          <w:p w14:paraId="622035B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 xml:space="preserve">          </w:t>
            </w:r>
            <w:r>
              <w:rPr>
                <w:rFonts w:hint="default" w:ascii="Times New Roman" w:hAnsi="Times New Roman" w:eastAsia="宋体" w:cs="Times New Roman"/>
                <w:b/>
                <w:bCs/>
                <w:color w:val="auto"/>
                <w:kern w:val="2"/>
                <w:sz w:val="21"/>
                <w:szCs w:val="24"/>
                <w:highlight w:val="none"/>
                <w:lang w:val="en-US" w:eastAsia="zh-CN" w:bidi="ar-SA"/>
              </w:rPr>
              <w:t>表3-</w:t>
            </w:r>
            <w:r>
              <w:rPr>
                <w:rFonts w:hint="eastAsia" w:cs="Times New Roman"/>
                <w:b/>
                <w:bCs/>
                <w:color w:val="auto"/>
                <w:kern w:val="2"/>
                <w:sz w:val="21"/>
                <w:szCs w:val="24"/>
                <w:highlight w:val="none"/>
                <w:lang w:val="en-US" w:eastAsia="zh-CN" w:bidi="ar-SA"/>
              </w:rPr>
              <w:t>13</w:t>
            </w:r>
            <w:r>
              <w:rPr>
                <w:rFonts w:hint="default" w:ascii="Times New Roman" w:hAnsi="Times New Roman" w:eastAsia="宋体" w:cs="Times New Roman"/>
                <w:b/>
                <w:bCs/>
                <w:color w:val="auto"/>
                <w:kern w:val="2"/>
                <w:sz w:val="21"/>
                <w:szCs w:val="24"/>
                <w:highlight w:val="none"/>
                <w:lang w:val="en-US" w:eastAsia="zh-CN" w:bidi="ar-SA"/>
              </w:rPr>
              <w:t xml:space="preserve">   </w:t>
            </w:r>
            <w:r>
              <w:rPr>
                <w:rFonts w:hint="eastAsia" w:eastAsia="宋体" w:cs="Times New Roman"/>
                <w:b/>
                <w:bCs/>
                <w:color w:val="auto"/>
                <w:kern w:val="2"/>
                <w:sz w:val="21"/>
                <w:szCs w:val="24"/>
                <w:highlight w:val="none"/>
                <w:lang w:val="en-US" w:eastAsia="zh-CN" w:bidi="ar-SA"/>
              </w:rPr>
              <w:t>大气污染物</w:t>
            </w:r>
            <w:r>
              <w:rPr>
                <w:rFonts w:hint="eastAsia" w:cs="Times New Roman"/>
                <w:b/>
                <w:bCs/>
                <w:color w:val="auto"/>
                <w:kern w:val="2"/>
                <w:sz w:val="21"/>
                <w:szCs w:val="24"/>
                <w:highlight w:val="none"/>
                <w:lang w:val="en-US" w:eastAsia="zh-CN" w:bidi="ar-SA"/>
              </w:rPr>
              <w:t>无组织</w:t>
            </w:r>
            <w:r>
              <w:rPr>
                <w:rFonts w:hint="default" w:ascii="Times New Roman" w:hAnsi="Times New Roman" w:eastAsia="宋体" w:cs="Times New Roman"/>
                <w:b/>
                <w:bCs/>
                <w:color w:val="auto"/>
                <w:kern w:val="2"/>
                <w:sz w:val="21"/>
                <w:szCs w:val="24"/>
                <w:highlight w:val="none"/>
                <w:lang w:val="en-US" w:eastAsia="zh-CN" w:bidi="ar-SA"/>
              </w:rPr>
              <w:t>排放</w:t>
            </w:r>
            <w:r>
              <w:rPr>
                <w:rFonts w:hint="eastAsia" w:cs="Times New Roman"/>
                <w:b/>
                <w:bCs/>
                <w:color w:val="auto"/>
                <w:kern w:val="2"/>
                <w:sz w:val="21"/>
                <w:szCs w:val="24"/>
                <w:highlight w:val="none"/>
                <w:lang w:val="en-US" w:eastAsia="zh-CN" w:bidi="ar-SA"/>
              </w:rPr>
              <w:t xml:space="preserve">限值      </w:t>
            </w:r>
            <w:r>
              <w:rPr>
                <w:rFonts w:hint="default" w:ascii="Times New Roman" w:hAnsi="Times New Roman" w:eastAsia="宋体" w:cs="Times New Roman"/>
                <w:b/>
                <w:bCs/>
                <w:color w:val="auto"/>
                <w:sz w:val="21"/>
                <w:szCs w:val="21"/>
                <w:highlight w:val="none"/>
                <w:lang w:val="en-US" w:eastAsia="zh-CN"/>
              </w:rPr>
              <w:t>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5"/>
              <w:tblW w:w="76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2923"/>
              <w:gridCol w:w="2449"/>
            </w:tblGrid>
            <w:tr w14:paraId="0009C8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10" w:type="pct"/>
                  <w:vMerge w:val="restart"/>
                  <w:tcBorders>
                    <w:left w:val="single" w:color="auto" w:sz="0" w:space="0"/>
                  </w:tcBorders>
                  <w:vAlign w:val="center"/>
                </w:tcPr>
                <w:p w14:paraId="37AFFC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3489" w:type="pct"/>
                  <w:gridSpan w:val="2"/>
                  <w:tcBorders>
                    <w:right w:val="single" w:color="auto" w:sz="4" w:space="0"/>
                  </w:tcBorders>
                  <w:vAlign w:val="center"/>
                </w:tcPr>
                <w:p w14:paraId="6FAF25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p>
              </w:tc>
            </w:tr>
            <w:tr w14:paraId="35AEB5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510" w:type="pct"/>
                  <w:vMerge w:val="continue"/>
                  <w:tcBorders>
                    <w:left w:val="single" w:color="auto" w:sz="4" w:space="0"/>
                  </w:tcBorders>
                  <w:vAlign w:val="center"/>
                </w:tcPr>
                <w:p w14:paraId="0E3237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p>
              </w:tc>
              <w:tc>
                <w:tcPr>
                  <w:tcW w:w="1898" w:type="pct"/>
                  <w:vAlign w:val="center"/>
                </w:tcPr>
                <w:p w14:paraId="12872F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1590" w:type="pct"/>
                  <w:tcBorders>
                    <w:right w:val="single" w:color="auto" w:sz="4" w:space="0"/>
                  </w:tcBorders>
                  <w:vAlign w:val="center"/>
                </w:tcPr>
                <w:p w14:paraId="083EDA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浓度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kern w:val="2"/>
                      <w:sz w:val="21"/>
                      <w:szCs w:val="21"/>
                      <w:highlight w:val="none"/>
                      <w:lang w:val="en-US" w:eastAsia="zh-CN" w:bidi="ar-SA"/>
                    </w:rPr>
                    <w:t>mg/m</w:t>
                  </w:r>
                  <w:r>
                    <w:rPr>
                      <w:rFonts w:hint="default" w:ascii="Times New Roman" w:hAnsi="Times New Roman" w:eastAsia="宋体" w:cs="Times New Roman"/>
                      <w:b/>
                      <w:bCs/>
                      <w:color w:val="auto"/>
                      <w:kern w:val="2"/>
                      <w:sz w:val="21"/>
                      <w:szCs w:val="21"/>
                      <w:highlight w:val="none"/>
                      <w:vertAlign w:val="superscript"/>
                      <w:lang w:val="en-US" w:eastAsia="zh-CN" w:bidi="ar-SA"/>
                    </w:rPr>
                    <w:t>3</w:t>
                  </w:r>
                  <w:r>
                    <w:rPr>
                      <w:rFonts w:hint="default" w:ascii="Times New Roman" w:hAnsi="Times New Roman" w:eastAsia="宋体" w:cs="Times New Roman"/>
                      <w:b/>
                      <w:bCs/>
                      <w:color w:val="auto"/>
                      <w:sz w:val="21"/>
                      <w:szCs w:val="21"/>
                      <w:highlight w:val="none"/>
                      <w:lang w:eastAsia="zh-CN"/>
                    </w:rPr>
                    <w:t>）</w:t>
                  </w:r>
                </w:p>
              </w:tc>
            </w:tr>
            <w:tr w14:paraId="13DB68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0" w:type="pct"/>
                  <w:tcBorders>
                    <w:left w:val="single" w:color="auto" w:sz="4" w:space="0"/>
                  </w:tcBorders>
                  <w:vAlign w:val="center"/>
                </w:tcPr>
                <w:p w14:paraId="7EA776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898" w:type="pct"/>
                  <w:vAlign w:val="center"/>
                </w:tcPr>
                <w:p w14:paraId="09BF64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1590" w:type="pct"/>
                  <w:tcBorders>
                    <w:right w:val="single" w:color="auto" w:sz="4" w:space="0"/>
                  </w:tcBorders>
                  <w:vAlign w:val="center"/>
                </w:tcPr>
                <w:p w14:paraId="6E8AEE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1.0</w:t>
                  </w:r>
                </w:p>
              </w:tc>
            </w:tr>
            <w:tr w14:paraId="6FFFC0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10" w:type="pct"/>
                  <w:tcBorders>
                    <w:left w:val="single" w:color="auto" w:sz="4" w:space="0"/>
                  </w:tcBorders>
                  <w:vAlign w:val="center"/>
                </w:tcPr>
                <w:p w14:paraId="77D04BF4">
                  <w:pPr>
                    <w:pStyle w:val="1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氯化氢</w:t>
                  </w:r>
                </w:p>
              </w:tc>
              <w:tc>
                <w:tcPr>
                  <w:tcW w:w="1898" w:type="pct"/>
                  <w:vAlign w:val="center"/>
                </w:tcPr>
                <w:p w14:paraId="0EE093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周界外浓度最高点</w:t>
                  </w:r>
                </w:p>
              </w:tc>
              <w:tc>
                <w:tcPr>
                  <w:tcW w:w="1590" w:type="pct"/>
                  <w:tcBorders>
                    <w:right w:val="single" w:color="auto" w:sz="4" w:space="0"/>
                  </w:tcBorders>
                  <w:vAlign w:val="center"/>
                </w:tcPr>
                <w:p w14:paraId="3A9814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0.20</w:t>
                  </w:r>
                </w:p>
              </w:tc>
            </w:tr>
            <w:tr w14:paraId="03D69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10" w:type="pct"/>
                  <w:tcBorders>
                    <w:left w:val="single" w:color="auto" w:sz="4" w:space="0"/>
                  </w:tcBorders>
                  <w:vAlign w:val="center"/>
                </w:tcPr>
                <w:p w14:paraId="30B3B55A">
                  <w:pPr>
                    <w:pStyle w:val="1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氟化物</w:t>
                  </w:r>
                </w:p>
              </w:tc>
              <w:tc>
                <w:tcPr>
                  <w:tcW w:w="1898" w:type="pct"/>
                  <w:vAlign w:val="center"/>
                </w:tcPr>
                <w:p w14:paraId="5CAD0E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周界外浓度最高点</w:t>
                  </w:r>
                </w:p>
              </w:tc>
              <w:tc>
                <w:tcPr>
                  <w:tcW w:w="1590" w:type="pct"/>
                  <w:tcBorders>
                    <w:right w:val="single" w:color="auto" w:sz="4" w:space="0"/>
                  </w:tcBorders>
                  <w:vAlign w:val="center"/>
                </w:tcPr>
                <w:p w14:paraId="3366B6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0.02</w:t>
                  </w:r>
                </w:p>
              </w:tc>
            </w:tr>
            <w:tr w14:paraId="7DBF28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510" w:type="pct"/>
                  <w:tcBorders>
                    <w:left w:val="single" w:color="auto" w:sz="4" w:space="0"/>
                  </w:tcBorders>
                  <w:vAlign w:val="center"/>
                </w:tcPr>
                <w:p w14:paraId="062CE3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硫酸雾</w:t>
                  </w:r>
                </w:p>
              </w:tc>
              <w:tc>
                <w:tcPr>
                  <w:tcW w:w="1898" w:type="pct"/>
                  <w:vAlign w:val="center"/>
                </w:tcPr>
                <w:p w14:paraId="27330E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周界外浓度最高点</w:t>
                  </w:r>
                </w:p>
              </w:tc>
              <w:tc>
                <w:tcPr>
                  <w:tcW w:w="1590" w:type="pct"/>
                  <w:tcBorders>
                    <w:right w:val="single" w:color="auto" w:sz="4" w:space="0"/>
                  </w:tcBorders>
                  <w:vAlign w:val="center"/>
                </w:tcPr>
                <w:p w14:paraId="41603F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w:t>
                  </w:r>
                </w:p>
              </w:tc>
            </w:tr>
          </w:tbl>
          <w:p w14:paraId="5A61D2A8">
            <w:pPr>
              <w:keepNext w:val="0"/>
              <w:keepLines w:val="0"/>
              <w:widowControl w:val="0"/>
              <w:suppressLineNumbers w:val="0"/>
              <w:adjustRightInd/>
              <w:spacing w:before="0" w:beforeAutospacing="0" w:after="0" w:afterAutospacing="0" w:line="360" w:lineRule="auto"/>
              <w:ind w:right="0" w:firstLine="480" w:firstLineChars="200"/>
              <w:rPr>
                <w:rFonts w:hint="default"/>
                <w:color w:val="auto"/>
                <w:highlight w:val="none"/>
              </w:rPr>
            </w:pPr>
            <w:r>
              <w:rPr>
                <w:rFonts w:hint="eastAsia" w:cs="Times New Roman"/>
                <w:color w:val="auto"/>
                <w:kern w:val="2"/>
                <w:sz w:val="24"/>
                <w:szCs w:val="24"/>
                <w:highlight w:val="none"/>
                <w:shd w:val="clear" w:color="auto" w:fill="auto"/>
                <w:lang w:val="en-US" w:eastAsia="zh-CN" w:bidi="ar-SA"/>
              </w:rPr>
              <w:t>④</w:t>
            </w:r>
            <w:r>
              <w:rPr>
                <w:rFonts w:hint="default" w:ascii="Times New Roman" w:hAnsi="Times New Roman" w:eastAsia="宋体" w:cs="Times New Roman"/>
                <w:color w:val="auto"/>
                <w:sz w:val="24"/>
                <w:highlight w:val="none"/>
                <w:lang w:val="zh-CN"/>
              </w:rPr>
              <w:t>厂</w:t>
            </w:r>
            <w:r>
              <w:rPr>
                <w:rFonts w:hint="eastAsia" w:ascii="Times New Roman" w:hAnsi="Times New Roman" w:eastAsia="宋体" w:cs="Times New Roman"/>
                <w:color w:val="auto"/>
                <w:sz w:val="24"/>
                <w:highlight w:val="none"/>
                <w:lang w:val="zh-CN"/>
              </w:rPr>
              <w:t>区</w:t>
            </w:r>
            <w:r>
              <w:rPr>
                <w:rFonts w:hint="default" w:ascii="Times New Roman" w:hAnsi="Times New Roman" w:eastAsia="宋体" w:cs="Times New Roman"/>
                <w:color w:val="auto"/>
                <w:sz w:val="24"/>
                <w:highlight w:val="none"/>
                <w:lang w:val="zh-CN"/>
              </w:rPr>
              <w:t>内</w:t>
            </w:r>
            <w:r>
              <w:rPr>
                <w:rFonts w:hint="eastAsia" w:ascii="Times New Roman" w:hAnsi="Times New Roman" w:eastAsia="宋体" w:cs="Times New Roman"/>
                <w:color w:val="auto"/>
                <w:sz w:val="24"/>
                <w:highlight w:val="none"/>
                <w:lang w:val="zh-CN"/>
              </w:rPr>
              <w:t>颗粒物无组织</w:t>
            </w:r>
            <w:r>
              <w:rPr>
                <w:rFonts w:hint="default" w:ascii="Times New Roman" w:hAnsi="Times New Roman" w:eastAsia="宋体" w:cs="Times New Roman"/>
                <w:color w:val="auto"/>
                <w:sz w:val="24"/>
                <w:highlight w:val="none"/>
                <w:lang w:val="zh-CN"/>
              </w:rPr>
              <w:t>排放浓度限值执行</w:t>
            </w:r>
            <w:r>
              <w:rPr>
                <w:rFonts w:hint="eastAsia"/>
                <w:color w:val="auto"/>
                <w:sz w:val="24"/>
                <w:highlight w:val="none"/>
                <w:lang w:eastAsia="zh-CN"/>
              </w:rPr>
              <w:t>《玻璃工业大气污染物排放标准》（</w:t>
            </w:r>
            <w:r>
              <w:rPr>
                <w:rFonts w:hint="eastAsia"/>
                <w:color w:val="auto"/>
                <w:sz w:val="24"/>
                <w:highlight w:val="none"/>
                <w:lang w:val="en-US" w:eastAsia="zh-CN"/>
              </w:rPr>
              <w:t>GB 26453-2022</w:t>
            </w:r>
            <w:r>
              <w:rPr>
                <w:rFonts w:hint="eastAsia"/>
                <w:color w:val="auto"/>
                <w:sz w:val="24"/>
                <w:highlight w:val="none"/>
                <w:lang w:eastAsia="zh-CN"/>
              </w:rPr>
              <w:t>）附录</w:t>
            </w:r>
            <w:r>
              <w:rPr>
                <w:rFonts w:hint="eastAsia"/>
                <w:color w:val="auto"/>
                <w:sz w:val="24"/>
                <w:highlight w:val="none"/>
                <w:lang w:val="en-US" w:eastAsia="zh-CN"/>
              </w:rPr>
              <w:t>B中的要求，</w:t>
            </w:r>
            <w:r>
              <w:rPr>
                <w:rFonts w:hint="default" w:ascii="Times New Roman" w:hAnsi="Times New Roman" w:eastAsia="宋体" w:cs="Times New Roman"/>
                <w:color w:val="auto"/>
                <w:sz w:val="24"/>
                <w:highlight w:val="none"/>
                <w:lang w:val="en-US" w:eastAsia="zh-CN"/>
              </w:rPr>
              <w:t>标准值见表3-</w:t>
            </w:r>
            <w:r>
              <w:rPr>
                <w:rFonts w:hint="eastAsia" w:cs="Times New Roman"/>
                <w:color w:val="auto"/>
                <w:sz w:val="24"/>
                <w:highlight w:val="none"/>
                <w:lang w:val="en-US" w:eastAsia="zh-CN"/>
              </w:rPr>
              <w:t>14</w:t>
            </w:r>
            <w:r>
              <w:rPr>
                <w:rFonts w:hint="default" w:ascii="Times New Roman" w:hAnsi="Times New Roman" w:eastAsia="宋体" w:cs="Times New Roman"/>
                <w:color w:val="auto"/>
                <w:sz w:val="24"/>
                <w:highlight w:val="none"/>
              </w:rPr>
              <w:t>。</w:t>
            </w:r>
          </w:p>
          <w:p w14:paraId="4CC99689">
            <w:pPr>
              <w:keepNext w:val="0"/>
              <w:keepLines w:val="0"/>
              <w:widowControl w:val="0"/>
              <w:suppressLineNumbers w:val="0"/>
              <w:spacing w:before="164" w:beforeLines="5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14</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厂区内</w:t>
            </w:r>
            <w:r>
              <w:rPr>
                <w:rFonts w:hint="eastAsia" w:ascii="Times New Roman" w:hAnsi="Times New Roman" w:eastAsia="宋体" w:cs="Times New Roman"/>
                <w:b/>
                <w:bCs/>
                <w:color w:val="auto"/>
                <w:sz w:val="21"/>
                <w:szCs w:val="21"/>
                <w:highlight w:val="none"/>
                <w:lang w:eastAsia="zh-CN"/>
              </w:rPr>
              <w:t>颗粒物</w:t>
            </w:r>
            <w:r>
              <w:rPr>
                <w:rFonts w:hint="default" w:ascii="Times New Roman" w:hAnsi="Times New Roman" w:eastAsia="宋体" w:cs="Times New Roman"/>
                <w:b/>
                <w:bCs/>
                <w:color w:val="auto"/>
                <w:sz w:val="21"/>
                <w:szCs w:val="21"/>
                <w:highlight w:val="none"/>
              </w:rPr>
              <w:t>无组织排放限值</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单位：mg/m</w:t>
            </w:r>
            <w:r>
              <w:rPr>
                <w:rFonts w:hint="default" w:ascii="Times New Roman" w:hAnsi="Times New Roman" w:eastAsia="宋体" w:cs="Times New Roman"/>
                <w:b/>
                <w:bCs/>
                <w:color w:val="auto"/>
                <w:sz w:val="21"/>
                <w:szCs w:val="21"/>
                <w:highlight w:val="none"/>
                <w:vertAlign w:val="superscript"/>
              </w:rPr>
              <w:t>3</w:t>
            </w:r>
          </w:p>
          <w:tbl>
            <w:tblPr>
              <w:tblStyle w:val="25"/>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12" w:space="0"/>
              </w:tblBorders>
              <w:tblLayout w:type="fixed"/>
              <w:tblCellMar>
                <w:top w:w="0" w:type="dxa"/>
                <w:left w:w="0" w:type="dxa"/>
                <w:bottom w:w="0" w:type="dxa"/>
                <w:right w:w="0" w:type="dxa"/>
              </w:tblCellMar>
            </w:tblPr>
            <w:tblGrid>
              <w:gridCol w:w="1661"/>
              <w:gridCol w:w="1662"/>
              <w:gridCol w:w="2584"/>
              <w:gridCol w:w="2402"/>
            </w:tblGrid>
            <w:tr w14:paraId="03EE7528">
              <w:tblPrEx>
                <w:tblBorders>
                  <w:top w:val="single" w:color="auto" w:sz="4" w:space="0"/>
                  <w:left w:val="single" w:color="auto" w:sz="4" w:space="0"/>
                  <w:bottom w:val="single" w:color="auto" w:sz="4" w:space="0"/>
                  <w:right w:val="single" w:color="auto" w:sz="4" w:space="0"/>
                  <w:insideH w:val="single" w:color="000000" w:sz="4" w:space="0"/>
                  <w:insideV w:val="single" w:color="000000" w:sz="12" w:space="0"/>
                </w:tblBorders>
                <w:tblCellMar>
                  <w:top w:w="0" w:type="dxa"/>
                  <w:left w:w="0" w:type="dxa"/>
                  <w:bottom w:w="0" w:type="dxa"/>
                  <w:right w:w="0" w:type="dxa"/>
                </w:tblCellMar>
              </w:tblPrEx>
              <w:trPr>
                <w:trHeight w:val="322" w:hRule="atLeast"/>
                <w:jc w:val="center"/>
              </w:trPr>
              <w:tc>
                <w:tcPr>
                  <w:tcW w:w="1661" w:type="dxa"/>
                  <w:tcBorders>
                    <w:right w:val="single" w:color="000000" w:sz="4" w:space="0"/>
                  </w:tcBorders>
                  <w:noWrap w:val="0"/>
                  <w:vAlign w:val="center"/>
                </w:tcPr>
                <w:p w14:paraId="772C77DA">
                  <w:pPr>
                    <w:pStyle w:val="69"/>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污染项目</w:t>
                  </w:r>
                </w:p>
              </w:tc>
              <w:tc>
                <w:tcPr>
                  <w:tcW w:w="1662" w:type="dxa"/>
                  <w:tcBorders>
                    <w:left w:val="single" w:color="000000" w:sz="4" w:space="0"/>
                    <w:right w:val="single" w:color="000000" w:sz="4" w:space="0"/>
                  </w:tcBorders>
                  <w:noWrap w:val="0"/>
                  <w:vAlign w:val="center"/>
                </w:tcPr>
                <w:p w14:paraId="4C8DC55A">
                  <w:pPr>
                    <w:pStyle w:val="69"/>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排放限值</w:t>
                  </w:r>
                </w:p>
              </w:tc>
              <w:tc>
                <w:tcPr>
                  <w:tcW w:w="2584" w:type="dxa"/>
                  <w:tcBorders>
                    <w:left w:val="single" w:color="000000" w:sz="4" w:space="0"/>
                    <w:right w:val="single" w:color="000000" w:sz="4" w:space="0"/>
                  </w:tcBorders>
                  <w:noWrap w:val="0"/>
                  <w:vAlign w:val="center"/>
                </w:tcPr>
                <w:p w14:paraId="6F3AB2C0">
                  <w:pPr>
                    <w:pStyle w:val="69"/>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限值含义</w:t>
                  </w:r>
                </w:p>
              </w:tc>
              <w:tc>
                <w:tcPr>
                  <w:tcW w:w="2402" w:type="dxa"/>
                  <w:tcBorders>
                    <w:left w:val="single" w:color="000000" w:sz="4" w:space="0"/>
                    <w:tl2br w:val="nil"/>
                    <w:tr2bl w:val="nil"/>
                  </w:tcBorders>
                  <w:noWrap w:val="0"/>
                  <w:vAlign w:val="center"/>
                </w:tcPr>
                <w:p w14:paraId="5194F684">
                  <w:pPr>
                    <w:pStyle w:val="69"/>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无组织排放监控位置</w:t>
                  </w:r>
                </w:p>
              </w:tc>
            </w:tr>
            <w:tr w14:paraId="49123878">
              <w:tblPrEx>
                <w:tblBorders>
                  <w:top w:val="single" w:color="auto" w:sz="4" w:space="0"/>
                  <w:left w:val="single" w:color="auto" w:sz="4" w:space="0"/>
                  <w:bottom w:val="single" w:color="auto" w:sz="4" w:space="0"/>
                  <w:right w:val="single" w:color="auto" w:sz="4" w:space="0"/>
                  <w:insideH w:val="single" w:color="000000" w:sz="4" w:space="0"/>
                  <w:insideV w:val="single" w:color="000000" w:sz="12" w:space="0"/>
                </w:tblBorders>
                <w:tblCellMar>
                  <w:top w:w="0" w:type="dxa"/>
                  <w:left w:w="0" w:type="dxa"/>
                  <w:bottom w:w="0" w:type="dxa"/>
                  <w:right w:w="0" w:type="dxa"/>
                </w:tblCellMar>
              </w:tblPrEx>
              <w:trPr>
                <w:trHeight w:val="347" w:hRule="atLeast"/>
                <w:jc w:val="center"/>
              </w:trPr>
              <w:tc>
                <w:tcPr>
                  <w:tcW w:w="1661" w:type="dxa"/>
                  <w:tcBorders>
                    <w:right w:val="single" w:color="000000" w:sz="4" w:space="0"/>
                  </w:tcBorders>
                  <w:noWrap w:val="0"/>
                  <w:vAlign w:val="center"/>
                </w:tcPr>
                <w:p w14:paraId="188277CF">
                  <w:pPr>
                    <w:pStyle w:val="69"/>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662" w:type="dxa"/>
                  <w:tcBorders>
                    <w:left w:val="single" w:color="000000" w:sz="4" w:space="0"/>
                    <w:right w:val="single" w:color="000000" w:sz="4" w:space="0"/>
                  </w:tcBorders>
                  <w:noWrap w:val="0"/>
                  <w:vAlign w:val="center"/>
                </w:tcPr>
                <w:p w14:paraId="2B298186">
                  <w:pPr>
                    <w:pStyle w:val="69"/>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2584" w:type="dxa"/>
                  <w:tcBorders>
                    <w:left w:val="single" w:color="000000" w:sz="4" w:space="0"/>
                    <w:right w:val="single" w:color="000000" w:sz="4" w:space="0"/>
                  </w:tcBorders>
                  <w:noWrap w:val="0"/>
                  <w:vAlign w:val="center"/>
                </w:tcPr>
                <w:p w14:paraId="75ACB5C2">
                  <w:pPr>
                    <w:pStyle w:val="69"/>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监控点处 1h 平均浓度值</w:t>
                  </w:r>
                </w:p>
              </w:tc>
              <w:tc>
                <w:tcPr>
                  <w:tcW w:w="2402" w:type="dxa"/>
                  <w:tcBorders>
                    <w:left w:val="single" w:color="000000" w:sz="4" w:space="0"/>
                    <w:tl2br w:val="nil"/>
                    <w:tr2bl w:val="nil"/>
                  </w:tcBorders>
                  <w:noWrap w:val="0"/>
                  <w:vAlign w:val="center"/>
                </w:tcPr>
                <w:p w14:paraId="36C1DE3A">
                  <w:pPr>
                    <w:pStyle w:val="69"/>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在厂房外设置监控点</w:t>
                  </w:r>
                </w:p>
              </w:tc>
            </w:tr>
          </w:tbl>
          <w:p w14:paraId="44404A18">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cs="Times New Roman"/>
                <w:color w:val="auto"/>
                <w:sz w:val="24"/>
                <w:highlight w:val="none"/>
                <w:lang w:val="en-US" w:eastAsia="zh-CN"/>
              </w:rPr>
            </w:pPr>
            <w:r>
              <w:rPr>
                <w:rFonts w:hint="eastAsia" w:ascii="Times New Roman" w:hAnsi="Times New Roman" w:cs="Times New Roman"/>
                <w:color w:val="auto"/>
                <w:kern w:val="2"/>
                <w:sz w:val="24"/>
                <w:szCs w:val="24"/>
                <w:highlight w:val="none"/>
                <w:shd w:val="clear" w:color="auto" w:fill="auto"/>
                <w:lang w:val="en-US" w:eastAsia="zh-CN" w:bidi="ar-SA"/>
              </w:rPr>
              <w:t>⑤</w:t>
            </w:r>
            <w:r>
              <w:rPr>
                <w:rFonts w:hint="eastAsia" w:cs="Times New Roman"/>
                <w:color w:val="auto"/>
                <w:sz w:val="24"/>
                <w:highlight w:val="none"/>
                <w:lang w:val="en-US" w:eastAsia="zh-CN"/>
              </w:rPr>
              <w:t>厂区异味执行《恶臭污染物排放标准》</w:t>
            </w:r>
            <w:r>
              <w:rPr>
                <w:rFonts w:hint="default" w:ascii="Times New Roman" w:hAnsi="Times New Roman" w:cs="Times New Roman"/>
                <w:color w:val="auto"/>
                <w:sz w:val="24"/>
                <w:highlight w:val="none"/>
                <w:lang w:val="en-US" w:eastAsia="zh-CN"/>
              </w:rPr>
              <w:t>（GB14554-1993）</w:t>
            </w:r>
            <w:r>
              <w:rPr>
                <w:rFonts w:hint="eastAsia" w:cs="Times New Roman"/>
                <w:color w:val="auto"/>
                <w:sz w:val="24"/>
                <w:highlight w:val="none"/>
                <w:lang w:val="en-US" w:eastAsia="zh-CN"/>
              </w:rPr>
              <w:t>中相关标准限值，标准值见表</w:t>
            </w:r>
            <w:r>
              <w:rPr>
                <w:rFonts w:hint="default"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val="en-US" w:eastAsia="zh-CN"/>
              </w:rPr>
              <w:t>15</w:t>
            </w:r>
            <w:r>
              <w:rPr>
                <w:rFonts w:hint="eastAsia" w:cs="Times New Roman"/>
                <w:color w:val="auto"/>
                <w:sz w:val="24"/>
                <w:highlight w:val="none"/>
                <w:lang w:val="en-US" w:eastAsia="zh-CN"/>
              </w:rPr>
              <w:t>。</w:t>
            </w:r>
          </w:p>
          <w:p w14:paraId="432565BA">
            <w:pPr>
              <w:pStyle w:val="15"/>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表3-</w:t>
            </w:r>
            <w:r>
              <w:rPr>
                <w:rFonts w:hint="eastAsia" w:ascii="Times New Roman" w:hAnsi="Times New Roman" w:cs="Times New Roman"/>
                <w:b/>
                <w:bCs/>
                <w:color w:val="auto"/>
                <w:highlight w:val="none"/>
                <w:lang w:val="en-US" w:eastAsia="zh-CN"/>
              </w:rPr>
              <w:t>15</w:t>
            </w: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恶臭污染物排放标准</w:t>
            </w:r>
          </w:p>
          <w:tbl>
            <w:tblPr>
              <w:tblStyle w:val="26"/>
              <w:tblW w:w="8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5650"/>
            </w:tblGrid>
            <w:tr w14:paraId="56F6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418" w:type="dxa"/>
                  <w:vAlign w:val="center"/>
                </w:tcPr>
                <w:p w14:paraId="112E8AE2">
                  <w:pPr>
                    <w:pStyle w:val="15"/>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污染物项目</w:t>
                  </w:r>
                </w:p>
              </w:tc>
              <w:tc>
                <w:tcPr>
                  <w:tcW w:w="5650" w:type="dxa"/>
                  <w:vAlign w:val="center"/>
                </w:tcPr>
                <w:p w14:paraId="2B296EA1">
                  <w:pPr>
                    <w:pStyle w:val="15"/>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厂界标准限值</w:t>
                  </w:r>
                </w:p>
              </w:tc>
            </w:tr>
            <w:tr w14:paraId="190B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418" w:type="dxa"/>
                  <w:vAlign w:val="center"/>
                </w:tcPr>
                <w:p w14:paraId="5E022696">
                  <w:pPr>
                    <w:pStyle w:val="15"/>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臭气浓度（无量纲）</w:t>
                  </w:r>
                </w:p>
              </w:tc>
              <w:tc>
                <w:tcPr>
                  <w:tcW w:w="5650" w:type="dxa"/>
                  <w:vAlign w:val="center"/>
                </w:tcPr>
                <w:p w14:paraId="775C9659">
                  <w:pPr>
                    <w:pStyle w:val="15"/>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w:t>
                  </w:r>
                </w:p>
              </w:tc>
            </w:tr>
          </w:tbl>
          <w:p w14:paraId="395FF97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⑥项目食堂油烟排放执行《饮食业油烟排放标准》</w:t>
            </w:r>
            <w:r>
              <w:rPr>
                <w:rFonts w:hint="default" w:ascii="Times New Roman" w:hAnsi="Times New Roman" w:cs="Times New Roman"/>
                <w:color w:val="auto"/>
                <w:sz w:val="24"/>
                <w:highlight w:val="none"/>
                <w:lang w:val="en-US" w:eastAsia="zh-CN"/>
              </w:rPr>
              <w:t>（GB18483-2001）</w:t>
            </w:r>
            <w:r>
              <w:rPr>
                <w:rFonts w:hint="eastAsia" w:cs="Times New Roman"/>
                <w:color w:val="auto"/>
                <w:sz w:val="24"/>
                <w:highlight w:val="none"/>
                <w:lang w:val="en-US" w:eastAsia="zh-CN"/>
              </w:rPr>
              <w:t>标准，标准值见表</w:t>
            </w:r>
            <w:r>
              <w:rPr>
                <w:rFonts w:hint="default"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val="en-US" w:eastAsia="zh-CN"/>
              </w:rPr>
              <w:t>16</w:t>
            </w:r>
            <w:r>
              <w:rPr>
                <w:rFonts w:hint="eastAsia" w:cs="Times New Roman"/>
                <w:color w:val="auto"/>
                <w:sz w:val="24"/>
                <w:highlight w:val="none"/>
                <w:lang w:val="en-US" w:eastAsia="zh-CN"/>
              </w:rPr>
              <w:t>。</w:t>
            </w:r>
          </w:p>
          <w:p w14:paraId="48BDA2A9">
            <w:pPr>
              <w:pStyle w:val="15"/>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表3-</w:t>
            </w:r>
            <w:r>
              <w:rPr>
                <w:rFonts w:hint="eastAsia" w:ascii="Times New Roman" w:hAnsi="Times New Roman" w:cs="Times New Roman"/>
                <w:b/>
                <w:bCs/>
                <w:color w:val="auto"/>
                <w:highlight w:val="none"/>
                <w:lang w:val="en-US" w:eastAsia="zh-CN"/>
              </w:rPr>
              <w:t>16</w:t>
            </w: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eastAsia="宋体" w:cs="Times New Roman"/>
                <w:b/>
                <w:bCs/>
                <w:color w:val="auto"/>
                <w:highlight w:val="none"/>
                <w:lang w:val="en-US" w:eastAsia="zh-CN"/>
              </w:rPr>
              <w:t>饮食业油烟排放标准</w:t>
            </w:r>
          </w:p>
          <w:tbl>
            <w:tblPr>
              <w:tblStyle w:val="26"/>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5"/>
              <w:gridCol w:w="4548"/>
            </w:tblGrid>
            <w:tr w14:paraId="1F15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 w:hRule="atLeast"/>
                <w:jc w:val="center"/>
              </w:trPr>
              <w:tc>
                <w:tcPr>
                  <w:tcW w:w="3595" w:type="dxa"/>
                  <w:vAlign w:val="center"/>
                </w:tcPr>
                <w:p w14:paraId="67176FBC">
                  <w:pPr>
                    <w:pStyle w:val="15"/>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基准灶头数及规模</w:t>
                  </w:r>
                </w:p>
              </w:tc>
              <w:tc>
                <w:tcPr>
                  <w:tcW w:w="4548" w:type="dxa"/>
                  <w:vAlign w:val="center"/>
                </w:tcPr>
                <w:p w14:paraId="1CA497BB">
                  <w:pPr>
                    <w:pStyle w:val="15"/>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小型</w:t>
                  </w:r>
                </w:p>
              </w:tc>
            </w:tr>
            <w:tr w14:paraId="07BF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595" w:type="dxa"/>
                  <w:vAlign w:val="center"/>
                </w:tcPr>
                <w:p w14:paraId="72C4909F">
                  <w:pPr>
                    <w:pStyle w:val="15"/>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最高允许排放浓度（mg/m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vertAlign w:val="baseline"/>
                      <w:lang w:val="en-US" w:eastAsia="zh-CN"/>
                    </w:rPr>
                    <w:t>）</w:t>
                  </w:r>
                </w:p>
              </w:tc>
              <w:tc>
                <w:tcPr>
                  <w:tcW w:w="4548" w:type="dxa"/>
                  <w:vAlign w:val="center"/>
                </w:tcPr>
                <w:p w14:paraId="175A345A">
                  <w:pPr>
                    <w:pStyle w:val="15"/>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w:t>
                  </w:r>
                </w:p>
              </w:tc>
            </w:tr>
            <w:tr w14:paraId="1A1E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595" w:type="dxa"/>
                  <w:vAlign w:val="center"/>
                </w:tcPr>
                <w:p w14:paraId="1BA72580">
                  <w:pPr>
                    <w:pStyle w:val="15"/>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净化设施最低去除效率</w:t>
                  </w:r>
                  <w:r>
                    <w:rPr>
                      <w:rFonts w:hint="default" w:ascii="Times New Roman" w:hAnsi="Times New Roman" w:cs="Times New Roman"/>
                      <w:b w:val="0"/>
                      <w:bCs w:val="0"/>
                      <w:color w:val="auto"/>
                      <w:sz w:val="21"/>
                      <w:szCs w:val="21"/>
                      <w:highlight w:val="none"/>
                      <w:vertAlign w:val="baseline"/>
                      <w:lang w:val="en-US" w:eastAsia="zh-CN"/>
                    </w:rPr>
                    <w:t>（%）</w:t>
                  </w:r>
                </w:p>
              </w:tc>
              <w:tc>
                <w:tcPr>
                  <w:tcW w:w="4548" w:type="dxa"/>
                  <w:vAlign w:val="center"/>
                </w:tcPr>
                <w:p w14:paraId="76DE77F8">
                  <w:pPr>
                    <w:pStyle w:val="15"/>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60</w:t>
                  </w:r>
                </w:p>
              </w:tc>
            </w:tr>
          </w:tbl>
          <w:p w14:paraId="5E47A118">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废水</w:t>
            </w:r>
          </w:p>
          <w:p w14:paraId="17A485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排水采用雨污分流的排水方式，项目区建筑物屋面及地面雨水经厂区雨水沟收集后排入园区雨水管网；</w:t>
            </w:r>
            <w:r>
              <w:rPr>
                <w:rFonts w:hint="default" w:ascii="Times New Roman" w:hAnsi="Times New Roman" w:eastAsia="宋体" w:cs="Times New Roman"/>
                <w:color w:val="auto"/>
                <w:sz w:val="24"/>
                <w:szCs w:val="24"/>
                <w:highlight w:val="none"/>
                <w:lang w:val="en-US" w:eastAsia="zh-CN"/>
              </w:rPr>
              <w:t>本项目废水包括生产废水及生活污水，执行标准分别如下：</w:t>
            </w:r>
          </w:p>
          <w:p w14:paraId="3BC849B9">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highlight w:val="none"/>
              </w:rPr>
              <w:t>生产过程</w:t>
            </w:r>
            <w:r>
              <w:rPr>
                <w:rFonts w:hint="eastAsia" w:cs="Times New Roman"/>
                <w:color w:val="auto"/>
                <w:sz w:val="24"/>
                <w:highlight w:val="none"/>
                <w:lang w:eastAsia="zh-CN"/>
              </w:rPr>
              <w:t>产生的弱酸清洗废液、预水洗废水、二次清洗废水、碱液喷淋洗涤废水</w:t>
            </w:r>
            <w:r>
              <w:rPr>
                <w:rFonts w:hint="eastAsia" w:cs="Times New Roman"/>
                <w:color w:val="auto"/>
                <w:sz w:val="24"/>
                <w:highlight w:val="none"/>
                <w:lang w:val="en-US" w:eastAsia="zh-CN"/>
              </w:rPr>
              <w:t>经收集后统一进入调节池、生产废水处理设施处理达《城市污水再生利用 工业用水水质》（GB/T 19923-2005）中的洗涤用水标准后回用于水洗补水，不外排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生产废水</w:t>
            </w:r>
            <w:r>
              <w:rPr>
                <w:rFonts w:hint="default" w:ascii="Times New Roman" w:hAnsi="Times New Roman" w:eastAsia="宋体" w:cs="Times New Roman"/>
                <w:color w:val="auto"/>
                <w:sz w:val="24"/>
                <w:szCs w:val="24"/>
                <w:highlight w:val="none"/>
                <w:lang w:val="en-US" w:eastAsia="zh-CN"/>
              </w:rPr>
              <w:t>执行标准详见表3-1</w:t>
            </w:r>
            <w:r>
              <w:rPr>
                <w:rFonts w:hint="eastAsia"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p>
          <w:p w14:paraId="2EAC1E64">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3-1</w:t>
            </w:r>
            <w:r>
              <w:rPr>
                <w:rFonts w:hint="eastAsia" w:cs="Times New Roman"/>
                <w:b/>
                <w:bCs/>
                <w:color w:val="auto"/>
                <w:sz w:val="21"/>
                <w:szCs w:val="21"/>
                <w:highlight w:val="none"/>
                <w:lang w:val="en-US" w:eastAsia="zh-CN" w:bidi="ar"/>
              </w:rPr>
              <w:t>7</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城市污水再生利用 工业用水水质</w:t>
            </w:r>
          </w:p>
          <w:tbl>
            <w:tblPr>
              <w:tblStyle w:val="25"/>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14:paraId="1662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6DC30218">
                  <w:pPr>
                    <w:pStyle w:val="42"/>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控制</w:t>
                  </w:r>
                  <w:r>
                    <w:rPr>
                      <w:rFonts w:hint="default" w:ascii="Times New Roman" w:hAnsi="Times New Roman" w:eastAsia="宋体" w:cs="Times New Roman"/>
                      <w:b/>
                      <w:bCs/>
                      <w:color w:val="auto"/>
                      <w:sz w:val="21"/>
                      <w:szCs w:val="21"/>
                      <w:highlight w:val="none"/>
                    </w:rPr>
                    <w:t>项目</w:t>
                  </w:r>
                </w:p>
              </w:tc>
              <w:tc>
                <w:tcPr>
                  <w:tcW w:w="4210" w:type="dxa"/>
                  <w:vAlign w:val="center"/>
                </w:tcPr>
                <w:p w14:paraId="55084AF1">
                  <w:pPr>
                    <w:pStyle w:val="42"/>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洗涤</w:t>
                  </w:r>
                  <w:r>
                    <w:rPr>
                      <w:rFonts w:hint="default" w:ascii="Times New Roman" w:hAnsi="Times New Roman" w:eastAsia="宋体" w:cs="Times New Roman"/>
                      <w:b/>
                      <w:bCs/>
                      <w:color w:val="auto"/>
                      <w:sz w:val="21"/>
                      <w:szCs w:val="21"/>
                      <w:highlight w:val="none"/>
                      <w:lang w:val="en-US" w:eastAsia="zh-CN"/>
                    </w:rPr>
                    <w:t>用水</w:t>
                  </w:r>
                </w:p>
              </w:tc>
            </w:tr>
            <w:tr w14:paraId="3A86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02A3569F">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pH值</w:t>
                  </w:r>
                </w:p>
              </w:tc>
              <w:tc>
                <w:tcPr>
                  <w:tcW w:w="4210" w:type="dxa"/>
                  <w:vAlign w:val="center"/>
                </w:tcPr>
                <w:p w14:paraId="520FB750">
                  <w:pPr>
                    <w:pStyle w:val="42"/>
                    <w:shd w:val="clear" w:color="auto" w:fill="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w:t>
                  </w:r>
                  <w:r>
                    <w:rPr>
                      <w:rFonts w:hint="eastAsia" w:cs="Times New Roman"/>
                      <w:color w:val="auto"/>
                      <w:sz w:val="21"/>
                      <w:szCs w:val="21"/>
                      <w:highlight w:val="none"/>
                      <w:lang w:val="en-US" w:eastAsia="zh-CN"/>
                    </w:rPr>
                    <w:t>9.0</w:t>
                  </w:r>
                </w:p>
              </w:tc>
            </w:tr>
            <w:tr w14:paraId="0A16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2065708C">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悬浮物（SS）（mg/L）</w:t>
                  </w:r>
                </w:p>
              </w:tc>
              <w:tc>
                <w:tcPr>
                  <w:tcW w:w="4210" w:type="dxa"/>
                  <w:vAlign w:val="center"/>
                </w:tcPr>
                <w:p w14:paraId="06871405">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30</w:t>
                  </w:r>
                </w:p>
              </w:tc>
            </w:tr>
            <w:tr w14:paraId="6A43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3EFD6298">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浊度/NTU</w:t>
                  </w:r>
                </w:p>
              </w:tc>
              <w:tc>
                <w:tcPr>
                  <w:tcW w:w="4210" w:type="dxa"/>
                  <w:vAlign w:val="center"/>
                </w:tcPr>
                <w:p w14:paraId="6FCC23BA">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r>
            <w:tr w14:paraId="0B1B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5E6AF026">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色度（度）</w:t>
                  </w:r>
                </w:p>
              </w:tc>
              <w:tc>
                <w:tcPr>
                  <w:tcW w:w="4210" w:type="dxa"/>
                  <w:vAlign w:val="center"/>
                </w:tcPr>
                <w:p w14:paraId="7C12348A">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30</w:t>
                  </w:r>
                </w:p>
              </w:tc>
            </w:tr>
            <w:tr w14:paraId="49E8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2DC80217">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14:paraId="4BFD883E">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30</w:t>
                  </w:r>
                </w:p>
              </w:tc>
            </w:tr>
            <w:tr w14:paraId="7060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38771F93">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14:paraId="3713D583">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r>
            <w:tr w14:paraId="265A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55F33B7E">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铁（mg/L）</w:t>
                  </w:r>
                </w:p>
              </w:tc>
              <w:tc>
                <w:tcPr>
                  <w:tcW w:w="4210" w:type="dxa"/>
                  <w:vAlign w:val="center"/>
                </w:tcPr>
                <w:p w14:paraId="413138CD">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0.3</w:t>
                  </w:r>
                </w:p>
              </w:tc>
            </w:tr>
            <w:tr w14:paraId="41B9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67F19150">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锰（mg/L）</w:t>
                  </w:r>
                </w:p>
              </w:tc>
              <w:tc>
                <w:tcPr>
                  <w:tcW w:w="4210" w:type="dxa"/>
                  <w:vAlign w:val="center"/>
                </w:tcPr>
                <w:p w14:paraId="768338DF">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0.1</w:t>
                  </w:r>
                </w:p>
              </w:tc>
            </w:tr>
            <w:tr w14:paraId="23BF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4A76E77D">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氯离子（mg/L）</w:t>
                  </w:r>
                </w:p>
              </w:tc>
              <w:tc>
                <w:tcPr>
                  <w:tcW w:w="4210" w:type="dxa"/>
                  <w:vAlign w:val="center"/>
                </w:tcPr>
                <w:p w14:paraId="006E0C3E">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250</w:t>
                  </w:r>
                </w:p>
              </w:tc>
            </w:tr>
            <w:tr w14:paraId="7F46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45B743EF">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二氧化硅（SiO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4210" w:type="dxa"/>
                  <w:vAlign w:val="center"/>
                </w:tcPr>
                <w:p w14:paraId="7DBA2210">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r>
            <w:tr w14:paraId="0E99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6A36C8B8">
                  <w:pPr>
                    <w:pStyle w:val="24"/>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总硬度（以</w:t>
                  </w:r>
                  <w:r>
                    <w:rPr>
                      <w:rFonts w:hint="default" w:ascii="Times New Roman" w:hAnsi="Times New Roman" w:cs="Times New Roman"/>
                      <w:color w:val="auto"/>
                      <w:sz w:val="21"/>
                      <w:szCs w:val="21"/>
                      <w:highlight w:val="none"/>
                    </w:rPr>
                    <w:t>CaCO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计/mg/L</w:t>
                  </w:r>
                  <w:r>
                    <w:rPr>
                      <w:rFonts w:hint="default" w:ascii="Times New Roman" w:hAnsi="Times New Roman" w:cs="Times New Roman"/>
                      <w:color w:val="auto"/>
                      <w:sz w:val="21"/>
                      <w:szCs w:val="21"/>
                      <w:highlight w:val="none"/>
                      <w:lang w:val="zh-CN"/>
                    </w:rPr>
                    <w:t>）</w:t>
                  </w:r>
                </w:p>
              </w:tc>
              <w:tc>
                <w:tcPr>
                  <w:tcW w:w="4210" w:type="dxa"/>
                  <w:vAlign w:val="center"/>
                </w:tcPr>
                <w:p w14:paraId="1663E6F4">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450</w:t>
                  </w:r>
                </w:p>
              </w:tc>
            </w:tr>
            <w:tr w14:paraId="1548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7019ADD6">
                  <w:pPr>
                    <w:pStyle w:val="24"/>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总碱度（以</w:t>
                  </w:r>
                  <w:r>
                    <w:rPr>
                      <w:rFonts w:hint="default" w:ascii="Times New Roman" w:hAnsi="Times New Roman" w:cs="Times New Roman"/>
                      <w:color w:val="auto"/>
                      <w:sz w:val="21"/>
                      <w:szCs w:val="21"/>
                      <w:highlight w:val="none"/>
                    </w:rPr>
                    <w:t>CaCO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计/mg/L</w:t>
                  </w:r>
                  <w:r>
                    <w:rPr>
                      <w:rFonts w:hint="default" w:ascii="Times New Roman" w:hAnsi="Times New Roman" w:cs="Times New Roman"/>
                      <w:color w:val="auto"/>
                      <w:sz w:val="21"/>
                      <w:szCs w:val="21"/>
                      <w:highlight w:val="none"/>
                      <w:lang w:val="zh-CN"/>
                    </w:rPr>
                    <w:t>）</w:t>
                  </w:r>
                </w:p>
              </w:tc>
              <w:tc>
                <w:tcPr>
                  <w:tcW w:w="4210" w:type="dxa"/>
                  <w:vAlign w:val="center"/>
                </w:tcPr>
                <w:p w14:paraId="3F0AE1AD">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350</w:t>
                  </w:r>
                </w:p>
              </w:tc>
            </w:tr>
            <w:tr w14:paraId="0B69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698C2CE5">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硫酸盐（</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zh-CN"/>
                    </w:rPr>
                    <w:t>）</w:t>
                  </w:r>
                </w:p>
              </w:tc>
              <w:tc>
                <w:tcPr>
                  <w:tcW w:w="4210" w:type="dxa"/>
                  <w:vAlign w:val="center"/>
                </w:tcPr>
                <w:p w14:paraId="39392296">
                  <w:pPr>
                    <w:pStyle w:val="24"/>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250</w:t>
                  </w:r>
                </w:p>
              </w:tc>
            </w:tr>
            <w:tr w14:paraId="6189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3107C2D1">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氨氮（以N计</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14:paraId="77332464">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r>
            <w:tr w14:paraId="3FD1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288A0EBF">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总磷（以P计</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14:paraId="455969D2">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r>
            <w:tr w14:paraId="3B3B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203" w:type="dxa"/>
                  <w:vAlign w:val="center"/>
                </w:tcPr>
                <w:p w14:paraId="464135B5">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溶解性总固体（mg/L）</w:t>
                  </w:r>
                </w:p>
              </w:tc>
              <w:tc>
                <w:tcPr>
                  <w:tcW w:w="4210" w:type="dxa"/>
                  <w:vAlign w:val="center"/>
                </w:tcPr>
                <w:p w14:paraId="1761CDD6">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r>
            <w:tr w14:paraId="2820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77E053BD">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石油类（mg/L）</w:t>
                  </w:r>
                </w:p>
              </w:tc>
              <w:tc>
                <w:tcPr>
                  <w:tcW w:w="4210" w:type="dxa"/>
                  <w:vAlign w:val="center"/>
                </w:tcPr>
                <w:p w14:paraId="5914D444">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r>
            <w:tr w14:paraId="5CA9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583C363C">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阴离子表面活性剂/（mg/L）</w:t>
                  </w:r>
                </w:p>
              </w:tc>
              <w:tc>
                <w:tcPr>
                  <w:tcW w:w="4210" w:type="dxa"/>
                  <w:vAlign w:val="center"/>
                </w:tcPr>
                <w:p w14:paraId="2FE86EEB">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r>
            <w:tr w14:paraId="12DE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14:paraId="52356E0E">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余氯</w:t>
                  </w:r>
                  <w:r>
                    <w:rPr>
                      <w:rFonts w:hint="default" w:ascii="Times New Roman" w:hAnsi="Times New Roman" w:eastAsia="宋体" w:cs="Times New Roman"/>
                      <w:color w:val="auto"/>
                      <w:szCs w:val="21"/>
                      <w:highlight w:val="none"/>
                      <w:vertAlign w:val="superscript"/>
                      <w:lang w:val="en-US" w:eastAsia="zh-CN"/>
                    </w:rPr>
                    <w:t>b</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14:paraId="12A58937">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14:paraId="1C11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03" w:type="dxa"/>
                  <w:vAlign w:val="center"/>
                </w:tcPr>
                <w:p w14:paraId="42A51B69">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粪大肠菌群（个/L）</w:t>
                  </w:r>
                </w:p>
              </w:tc>
              <w:tc>
                <w:tcPr>
                  <w:tcW w:w="4210" w:type="dxa"/>
                  <w:vAlign w:val="center"/>
                </w:tcPr>
                <w:p w14:paraId="5FFDA960">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w:t>
                  </w:r>
                </w:p>
              </w:tc>
            </w:tr>
            <w:tr w14:paraId="4417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13" w:type="dxa"/>
                  <w:gridSpan w:val="2"/>
                  <w:vAlign w:val="center"/>
                </w:tcPr>
                <w:p w14:paraId="608EF805">
                  <w:pP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vertAlign w:val="baseline"/>
                      <w:lang w:val="en-US" w:eastAsia="zh-CN"/>
                    </w:rPr>
                    <w:t>b</w:t>
                  </w:r>
                  <w:r>
                    <w:rPr>
                      <w:rFonts w:hint="default" w:ascii="Times New Roman" w:hAnsi="Times New Roman" w:eastAsia="宋体" w:cs="Times New Roman"/>
                      <w:color w:val="auto"/>
                      <w:szCs w:val="21"/>
                      <w:highlight w:val="none"/>
                      <w:lang w:val="en-US" w:eastAsia="zh-CN"/>
                    </w:rPr>
                    <w:t xml:space="preserve"> 加氯消毒时管末梢值。</w:t>
                  </w:r>
                </w:p>
              </w:tc>
            </w:tr>
          </w:tbl>
          <w:p w14:paraId="131509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1"/>
                <w:szCs w:val="21"/>
                <w:highlight w:val="none"/>
                <w:lang w:bidi="ar"/>
              </w:rPr>
            </w:pPr>
            <w:r>
              <w:rPr>
                <w:rFonts w:hint="eastAsia" w:cs="Times New Roman"/>
                <w:color w:val="auto"/>
                <w:sz w:val="24"/>
                <w:highlight w:val="none"/>
                <w:lang w:val="en-US" w:eastAsia="zh-CN"/>
              </w:rPr>
              <w:t>②本项目</w:t>
            </w:r>
            <w:r>
              <w:rPr>
                <w:rFonts w:hint="default" w:ascii="Times New Roman" w:hAnsi="Times New Roman" w:eastAsia="宋体" w:cs="Times New Roman"/>
                <w:color w:val="auto"/>
                <w:sz w:val="24"/>
                <w:highlight w:val="none"/>
                <w:lang w:val="en-US" w:eastAsia="zh-CN"/>
              </w:rPr>
              <w:t>食堂废水经隔油池处理后与</w:t>
            </w:r>
            <w:r>
              <w:rPr>
                <w:rFonts w:hint="eastAsia" w:cs="Times New Roman"/>
                <w:color w:val="auto"/>
                <w:sz w:val="24"/>
                <w:highlight w:val="none"/>
                <w:lang w:val="en-US" w:eastAsia="zh-CN"/>
              </w:rPr>
              <w:t>其他</w:t>
            </w:r>
            <w:r>
              <w:rPr>
                <w:rFonts w:hint="default" w:ascii="Times New Roman" w:hAnsi="Times New Roman" w:eastAsia="宋体" w:cs="Times New Roman"/>
                <w:color w:val="auto"/>
                <w:sz w:val="24"/>
                <w:highlight w:val="none"/>
                <w:lang w:val="en-US" w:eastAsia="zh-CN"/>
              </w:rPr>
              <w:t>生活污水</w:t>
            </w:r>
            <w:r>
              <w:rPr>
                <w:rFonts w:hint="eastAsia" w:cs="Times New Roman"/>
                <w:color w:val="auto"/>
                <w:sz w:val="24"/>
                <w:highlight w:val="none"/>
                <w:lang w:val="en-US" w:eastAsia="zh-CN"/>
              </w:rPr>
              <w:t>一并进入</w:t>
            </w:r>
            <w:r>
              <w:rPr>
                <w:rFonts w:hint="default" w:ascii="Times New Roman" w:hAnsi="Times New Roman" w:eastAsia="宋体" w:cs="Times New Roman"/>
                <w:color w:val="auto"/>
                <w:sz w:val="24"/>
                <w:highlight w:val="none"/>
                <w:lang w:val="en-US" w:eastAsia="zh-CN"/>
              </w:rPr>
              <w:t>化粪池预处理后，再进入</w:t>
            </w:r>
            <w:r>
              <w:rPr>
                <w:rFonts w:hint="eastAsia" w:cs="Times New Roman"/>
                <w:color w:val="auto"/>
                <w:sz w:val="24"/>
                <w:highlight w:val="none"/>
                <w:lang w:val="en-US" w:eastAsia="zh-CN"/>
              </w:rPr>
              <w:t>生活</w:t>
            </w:r>
            <w:r>
              <w:rPr>
                <w:rFonts w:hint="default" w:ascii="Times New Roman" w:hAnsi="Times New Roman" w:eastAsia="宋体" w:cs="Times New Roman"/>
                <w:color w:val="auto"/>
                <w:sz w:val="24"/>
                <w:highlight w:val="none"/>
                <w:lang w:val="en-US" w:eastAsia="zh-CN"/>
              </w:rPr>
              <w:t>污水处理</w:t>
            </w:r>
            <w:r>
              <w:rPr>
                <w:rFonts w:hint="eastAsia" w:cs="Times New Roman"/>
                <w:color w:val="auto"/>
                <w:sz w:val="24"/>
                <w:highlight w:val="none"/>
                <w:lang w:val="en-US" w:eastAsia="zh-CN"/>
              </w:rPr>
              <w:t>设施</w:t>
            </w:r>
            <w:r>
              <w:rPr>
                <w:rFonts w:hint="default" w:ascii="Times New Roman" w:hAnsi="Times New Roman" w:eastAsia="宋体" w:cs="Times New Roman"/>
                <w:color w:val="auto"/>
                <w:sz w:val="24"/>
                <w:highlight w:val="none"/>
                <w:lang w:val="en-US" w:eastAsia="zh-CN"/>
              </w:rPr>
              <w:t>处理</w:t>
            </w:r>
            <w:r>
              <w:rPr>
                <w:rFonts w:hint="eastAsia" w:cs="Times New Roman"/>
                <w:color w:val="auto"/>
                <w:sz w:val="24"/>
                <w:highlight w:val="none"/>
                <w:lang w:val="en-US" w:eastAsia="zh-CN"/>
              </w:rPr>
              <w:t>达</w:t>
            </w:r>
            <w:r>
              <w:rPr>
                <w:rFonts w:hint="eastAsia"/>
                <w:color w:val="auto"/>
                <w:sz w:val="24"/>
                <w:szCs w:val="24"/>
                <w:highlight w:val="none"/>
                <w:lang w:val="en-US" w:eastAsia="zh-CN"/>
              </w:rPr>
              <w:t>《城市污水再生利</w:t>
            </w:r>
            <w:r>
              <w:rPr>
                <w:rFonts w:hint="eastAsia" w:ascii="Times New Roman" w:hAnsi="Times New Roman" w:eastAsia="宋体" w:cs="Times New Roman"/>
                <w:color w:val="auto"/>
                <w:sz w:val="24"/>
                <w:szCs w:val="24"/>
                <w:highlight w:val="none"/>
                <w:lang w:val="en-US" w:eastAsia="zh-CN"/>
              </w:rPr>
              <w:t>用 城市杂用水水质》</w:t>
            </w:r>
            <w:r>
              <w:rPr>
                <w:rFonts w:hint="default" w:ascii="Times New Roman" w:hAnsi="Times New Roman" w:eastAsia="宋体" w:cs="Times New Roman"/>
                <w:color w:val="auto"/>
                <w:sz w:val="24"/>
                <w:szCs w:val="24"/>
                <w:highlight w:val="none"/>
                <w:lang w:val="en-US" w:eastAsia="zh-CN"/>
              </w:rPr>
              <w:t>（GB/T18920-2020）</w:t>
            </w:r>
            <w:r>
              <w:rPr>
                <w:rFonts w:hint="eastAsia" w:ascii="Times New Roman" w:hAnsi="Times New Roman" w:eastAsia="宋体" w:cs="Times New Roman"/>
                <w:color w:val="auto"/>
                <w:sz w:val="24"/>
                <w:szCs w:val="24"/>
                <w:highlight w:val="none"/>
                <w:lang w:val="en-US" w:eastAsia="zh-CN"/>
              </w:rPr>
              <w:t>中城市绿化、</w:t>
            </w:r>
            <w:r>
              <w:rPr>
                <w:rFonts w:hint="eastAsia" w:cs="Times New Roman"/>
                <w:color w:val="auto"/>
                <w:sz w:val="24"/>
                <w:szCs w:val="24"/>
                <w:highlight w:val="none"/>
                <w:lang w:val="en-US" w:eastAsia="zh-CN"/>
              </w:rPr>
              <w:t>道路广场浇洒</w:t>
            </w:r>
            <w:r>
              <w:rPr>
                <w:rFonts w:hint="eastAsia" w:ascii="Times New Roman" w:hAnsi="Times New Roman" w:eastAsia="宋体" w:cs="Times New Roman"/>
                <w:color w:val="auto"/>
                <w:sz w:val="24"/>
                <w:szCs w:val="24"/>
                <w:highlight w:val="none"/>
                <w:lang w:val="en-US" w:eastAsia="zh-CN"/>
              </w:rPr>
              <w:t>、消防、建筑施工标准后</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回</w:t>
            </w:r>
            <w:r>
              <w:rPr>
                <w:rFonts w:hint="eastAsia" w:ascii="Times New Roman" w:hAnsi="Times New Roman" w:eastAsia="宋体" w:cs="Times New Roman"/>
                <w:color w:val="auto"/>
                <w:sz w:val="24"/>
                <w:szCs w:val="24"/>
                <w:highlight w:val="none"/>
                <w:lang w:val="en-US" w:eastAsia="zh-CN"/>
              </w:rPr>
              <w:t>用于项目区绿化</w:t>
            </w:r>
            <w:r>
              <w:rPr>
                <w:rFonts w:hint="eastAsia" w:cs="Times New Roman"/>
                <w:color w:val="auto"/>
                <w:sz w:val="24"/>
                <w:szCs w:val="24"/>
                <w:highlight w:val="none"/>
                <w:lang w:val="en-US" w:eastAsia="zh-CN"/>
              </w:rPr>
              <w:t>和</w:t>
            </w:r>
            <w:r>
              <w:rPr>
                <w:rFonts w:hint="eastAsia" w:cs="Times New Roman"/>
                <w:bCs/>
                <w:color w:val="auto"/>
                <w:sz w:val="24"/>
                <w:szCs w:val="24"/>
                <w:highlight w:val="none"/>
                <w:lang w:val="en-US" w:eastAsia="zh-CN"/>
              </w:rPr>
              <w:t>道路广场浇洒</w:t>
            </w:r>
            <w:r>
              <w:rPr>
                <w:rFonts w:hint="eastAsia" w:ascii="Times New Roman" w:hAnsi="Times New Roman" w:eastAsia="宋体" w:cs="Times New Roman"/>
                <w:color w:val="auto"/>
                <w:sz w:val="24"/>
                <w:szCs w:val="24"/>
                <w:highlight w:val="none"/>
                <w:lang w:val="en-US" w:eastAsia="zh-CN"/>
              </w:rPr>
              <w:t>，不外排</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生活污水执行标准值见表3-1</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p>
          <w:p w14:paraId="79967521">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w:t>
            </w:r>
            <w:r>
              <w:rPr>
                <w:rFonts w:hint="eastAsia" w:cs="Times New Roman"/>
                <w:b/>
                <w:bCs/>
                <w:color w:val="auto"/>
                <w:sz w:val="21"/>
                <w:szCs w:val="21"/>
                <w:highlight w:val="none"/>
                <w:lang w:val="en-US" w:eastAsia="zh-CN" w:bidi="ar"/>
              </w:rPr>
              <w:t>18</w:t>
            </w:r>
            <w:r>
              <w:rPr>
                <w:rFonts w:hint="default" w:ascii="Times New Roman" w:hAnsi="Times New Roman" w:eastAsia="宋体" w:cs="Times New Roman"/>
                <w:b/>
                <w:bCs/>
                <w:color w:val="auto"/>
                <w:sz w:val="21"/>
                <w:szCs w:val="21"/>
                <w:highlight w:val="none"/>
                <w:lang w:val="en-US" w:eastAsia="zh-CN" w:bidi="ar"/>
              </w:rPr>
              <w:t xml:space="preserve">  城市污水再生利用 城市杂用水水质</w:t>
            </w:r>
          </w:p>
          <w:tbl>
            <w:tblPr>
              <w:tblStyle w:val="25"/>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14:paraId="02D3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4203" w:type="dxa"/>
                  <w:vAlign w:val="center"/>
                </w:tcPr>
                <w:p w14:paraId="2D28574B">
                  <w:pPr>
                    <w:pStyle w:val="42"/>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4210" w:type="dxa"/>
                  <w:vAlign w:val="center"/>
                </w:tcPr>
                <w:p w14:paraId="7B549E1E">
                  <w:pPr>
                    <w:pStyle w:val="42"/>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城市绿化、</w:t>
                  </w:r>
                  <w:r>
                    <w:rPr>
                      <w:rFonts w:hint="eastAsia" w:cs="Times New Roman"/>
                      <w:b/>
                      <w:bCs/>
                      <w:color w:val="auto"/>
                      <w:sz w:val="21"/>
                      <w:szCs w:val="21"/>
                      <w:highlight w:val="none"/>
                      <w:lang w:val="en-US" w:eastAsia="zh-CN"/>
                    </w:rPr>
                    <w:t>道路广场浇洒</w:t>
                  </w:r>
                  <w:r>
                    <w:rPr>
                      <w:rFonts w:hint="eastAsia" w:ascii="Times New Roman" w:hAnsi="Times New Roman" w:cs="Times New Roman"/>
                      <w:b/>
                      <w:bCs/>
                      <w:color w:val="auto"/>
                      <w:sz w:val="21"/>
                      <w:szCs w:val="21"/>
                      <w:highlight w:val="none"/>
                      <w:lang w:val="en-US" w:eastAsia="zh-CN"/>
                    </w:rPr>
                    <w:t>、消防、建筑施工</w:t>
                  </w:r>
                </w:p>
              </w:tc>
            </w:tr>
            <w:tr w14:paraId="1562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203" w:type="dxa"/>
                  <w:vAlign w:val="center"/>
                </w:tcPr>
                <w:p w14:paraId="3FB7CDD9">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pH</w:t>
                  </w:r>
                </w:p>
              </w:tc>
              <w:tc>
                <w:tcPr>
                  <w:tcW w:w="4210" w:type="dxa"/>
                  <w:vAlign w:val="center"/>
                </w:tcPr>
                <w:p w14:paraId="3C873C90">
                  <w:pPr>
                    <w:pStyle w:val="42"/>
                    <w:shd w:val="clear" w:color="auto" w:fill="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r>
                    <w:rPr>
                      <w:rFonts w:hint="eastAsia"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~9.</w:t>
                  </w:r>
                  <w:r>
                    <w:rPr>
                      <w:rFonts w:hint="eastAsia" w:ascii="Times New Roman" w:hAnsi="Times New Roman" w:cs="Times New Roman"/>
                      <w:color w:val="auto"/>
                      <w:sz w:val="21"/>
                      <w:szCs w:val="21"/>
                      <w:highlight w:val="none"/>
                      <w:lang w:val="en-US" w:eastAsia="zh-CN"/>
                    </w:rPr>
                    <w:t>0</w:t>
                  </w:r>
                </w:p>
              </w:tc>
            </w:tr>
            <w:tr w14:paraId="407D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203" w:type="dxa"/>
                  <w:vAlign w:val="center"/>
                </w:tcPr>
                <w:p w14:paraId="1380280A">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色度≤</w:t>
                  </w:r>
                </w:p>
              </w:tc>
              <w:tc>
                <w:tcPr>
                  <w:tcW w:w="4210" w:type="dxa"/>
                  <w:vAlign w:val="center"/>
                </w:tcPr>
                <w:p w14:paraId="34419119">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r>
            <w:tr w14:paraId="1FC5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203" w:type="dxa"/>
                  <w:vAlign w:val="center"/>
                </w:tcPr>
                <w:p w14:paraId="4C82760B">
                  <w:pPr>
                    <w:shd w:val="clear" w:color="auto" w:fill="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嗅</w:t>
                  </w:r>
                </w:p>
              </w:tc>
              <w:tc>
                <w:tcPr>
                  <w:tcW w:w="4210" w:type="dxa"/>
                  <w:vAlign w:val="center"/>
                </w:tcPr>
                <w:p w14:paraId="3BC5D4C0">
                  <w:pPr>
                    <w:pStyle w:val="42"/>
                    <w:shd w:val="clear" w:color="auto" w:fill="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无不快感</w:t>
                  </w:r>
                </w:p>
              </w:tc>
            </w:tr>
            <w:tr w14:paraId="1928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203" w:type="dxa"/>
                  <w:vAlign w:val="center"/>
                </w:tcPr>
                <w:p w14:paraId="5CC67D34">
                  <w:pPr>
                    <w:shd w:val="clear" w:color="auto" w:fill="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浊度/NTU≤</w:t>
                  </w:r>
                </w:p>
              </w:tc>
              <w:tc>
                <w:tcPr>
                  <w:tcW w:w="4210" w:type="dxa"/>
                  <w:vAlign w:val="center"/>
                </w:tcPr>
                <w:p w14:paraId="67CA33BD">
                  <w:pPr>
                    <w:pStyle w:val="42"/>
                    <w:shd w:val="clear" w:color="auto" w:fill="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14:paraId="223C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203" w:type="dxa"/>
                  <w:vAlign w:val="center"/>
                </w:tcPr>
                <w:p w14:paraId="4BD28141">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五日生化需氧量（</w:t>
                  </w: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r>
                    <w:rPr>
                      <w:rFonts w:hint="eastAsia" w:ascii="Times New Roman" w:hAnsi="Times New Roman" w:cs="Times New Roman"/>
                      <w:color w:val="auto"/>
                      <w:sz w:val="21"/>
                      <w:szCs w:val="21"/>
                      <w:highlight w:val="none"/>
                      <w:lang w:val="en-US" w:eastAsia="zh-CN"/>
                    </w:rPr>
                    <w:t>）/（mg/L）≤</w:t>
                  </w:r>
                </w:p>
              </w:tc>
              <w:tc>
                <w:tcPr>
                  <w:tcW w:w="4210" w:type="dxa"/>
                  <w:vAlign w:val="center"/>
                </w:tcPr>
                <w:p w14:paraId="6C370497">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14:paraId="6F38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203" w:type="dxa"/>
                  <w:vAlign w:val="center"/>
                </w:tcPr>
                <w:p w14:paraId="1072898C">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氨氮/</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cs="Times New Roman"/>
                      <w:color w:val="auto"/>
                      <w:sz w:val="21"/>
                      <w:szCs w:val="21"/>
                      <w:highlight w:val="none"/>
                      <w:lang w:val="en-US" w:eastAsia="zh-CN"/>
                    </w:rPr>
                    <w:t>≤</w:t>
                  </w:r>
                </w:p>
              </w:tc>
              <w:tc>
                <w:tcPr>
                  <w:tcW w:w="4210" w:type="dxa"/>
                  <w:vAlign w:val="center"/>
                </w:tcPr>
                <w:p w14:paraId="07B20292">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r>
            <w:tr w14:paraId="3119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4203" w:type="dxa"/>
                  <w:vAlign w:val="center"/>
                </w:tcPr>
                <w:p w14:paraId="370B2128">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阴离子表面活性剂/</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cs="Times New Roman"/>
                      <w:color w:val="auto"/>
                      <w:sz w:val="21"/>
                      <w:szCs w:val="21"/>
                      <w:highlight w:val="none"/>
                      <w:lang w:val="en-US" w:eastAsia="zh-CN"/>
                    </w:rPr>
                    <w:t>≤</w:t>
                  </w:r>
                </w:p>
              </w:tc>
              <w:tc>
                <w:tcPr>
                  <w:tcW w:w="4210" w:type="dxa"/>
                  <w:vAlign w:val="center"/>
                </w:tcPr>
                <w:p w14:paraId="2FA88D7C">
                  <w:pPr>
                    <w:pStyle w:val="42"/>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r>
            <w:tr w14:paraId="78B2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203" w:type="dxa"/>
                  <w:vAlign w:val="center"/>
                </w:tcPr>
                <w:p w14:paraId="6A0A90DE">
                  <w:pPr>
                    <w:shd w:val="clear" w:color="auto" w:fill="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铁/</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cs="Times New Roman"/>
                      <w:color w:val="auto"/>
                      <w:sz w:val="21"/>
                      <w:szCs w:val="21"/>
                      <w:highlight w:val="none"/>
                      <w:lang w:val="en-US" w:eastAsia="zh-CN"/>
                    </w:rPr>
                    <w:t>≤</w:t>
                  </w:r>
                </w:p>
              </w:tc>
              <w:tc>
                <w:tcPr>
                  <w:tcW w:w="4210" w:type="dxa"/>
                  <w:vAlign w:val="center"/>
                </w:tcPr>
                <w:p w14:paraId="7C34B8CF">
                  <w:pPr>
                    <w:pStyle w:val="42"/>
                    <w:shd w:val="clear" w:color="auto" w:fill="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4A65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03" w:type="dxa"/>
                  <w:vAlign w:val="center"/>
                </w:tcPr>
                <w:p w14:paraId="34982571">
                  <w:pPr>
                    <w:shd w:val="clear" w:color="auto" w:fill="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锰/</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cs="Times New Roman"/>
                      <w:color w:val="auto"/>
                      <w:sz w:val="21"/>
                      <w:szCs w:val="21"/>
                      <w:highlight w:val="none"/>
                      <w:lang w:val="en-US" w:eastAsia="zh-CN"/>
                    </w:rPr>
                    <w:t>≤</w:t>
                  </w:r>
                </w:p>
              </w:tc>
              <w:tc>
                <w:tcPr>
                  <w:tcW w:w="4210" w:type="dxa"/>
                  <w:vAlign w:val="center"/>
                </w:tcPr>
                <w:p w14:paraId="0F07808D">
                  <w:pPr>
                    <w:pStyle w:val="42"/>
                    <w:shd w:val="clear" w:color="auto" w:fill="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71CB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203" w:type="dxa"/>
                  <w:vAlign w:val="center"/>
                </w:tcPr>
                <w:p w14:paraId="60CC2BBD">
                  <w:pPr>
                    <w:shd w:val="clear" w:color="auto" w:fill="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溶解性总固体/</w:t>
                  </w:r>
                  <w:r>
                    <w:rPr>
                      <w:rFonts w:hint="default" w:ascii="Times New Roman" w:hAnsi="Times New Roman" w:eastAsia="宋体" w:cs="Times New Roman"/>
                      <w:color w:val="auto"/>
                      <w:sz w:val="21"/>
                      <w:szCs w:val="21"/>
                      <w:highlight w:val="none"/>
                      <w:lang w:val="en-US" w:eastAsia="zh-CN"/>
                    </w:rPr>
                    <w:t>（mg/L）</w:t>
                  </w:r>
                  <w:r>
                    <w:rPr>
                      <w:rFonts w:hint="eastAsia" w:ascii="Times New Roman" w:hAnsi="Times New Roman" w:cs="Times New Roman"/>
                      <w:color w:val="auto"/>
                      <w:sz w:val="21"/>
                      <w:szCs w:val="21"/>
                      <w:highlight w:val="none"/>
                      <w:lang w:val="en-US" w:eastAsia="zh-CN"/>
                    </w:rPr>
                    <w:t>≤</w:t>
                  </w:r>
                </w:p>
              </w:tc>
              <w:tc>
                <w:tcPr>
                  <w:tcW w:w="4210" w:type="dxa"/>
                  <w:vAlign w:val="center"/>
                </w:tcPr>
                <w:p w14:paraId="63AF17E8">
                  <w:pPr>
                    <w:pStyle w:val="42"/>
                    <w:shd w:val="clear" w:color="auto" w:fill="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1000（2000）</w:t>
                  </w:r>
                  <w:r>
                    <w:rPr>
                      <w:rFonts w:hint="default" w:ascii="Times New Roman" w:hAnsi="Times New Roman" w:cs="Times New Roman"/>
                      <w:color w:val="auto"/>
                      <w:sz w:val="21"/>
                      <w:szCs w:val="21"/>
                      <w:highlight w:val="none"/>
                      <w:vertAlign w:val="superscript"/>
                      <w:lang w:val="en-US" w:eastAsia="zh-CN"/>
                    </w:rPr>
                    <w:t>a</w:t>
                  </w:r>
                </w:p>
              </w:tc>
            </w:tr>
            <w:tr w14:paraId="3027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203" w:type="dxa"/>
                  <w:vAlign w:val="center"/>
                </w:tcPr>
                <w:p w14:paraId="0B178FD9">
                  <w:pPr>
                    <w:shd w:val="clear" w:color="auto" w:fill="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溶解氧/</w:t>
                  </w:r>
                  <w:r>
                    <w:rPr>
                      <w:rFonts w:hint="default" w:ascii="Times New Roman" w:hAnsi="Times New Roman" w:eastAsia="宋体" w:cs="Times New Roman"/>
                      <w:color w:val="auto"/>
                      <w:sz w:val="21"/>
                      <w:szCs w:val="21"/>
                      <w:highlight w:val="none"/>
                      <w:lang w:val="en-US" w:eastAsia="zh-CN"/>
                    </w:rPr>
                    <w:t>（mg/L）</w:t>
                  </w:r>
                  <w:r>
                    <w:rPr>
                      <w:rFonts w:hint="default" w:ascii="Arial" w:hAnsi="Arial" w:cs="Arial"/>
                      <w:color w:val="auto"/>
                      <w:sz w:val="21"/>
                      <w:szCs w:val="21"/>
                      <w:highlight w:val="none"/>
                      <w:lang w:val="en-US" w:eastAsia="zh-CN"/>
                    </w:rPr>
                    <w:t>≥</w:t>
                  </w:r>
                </w:p>
              </w:tc>
              <w:tc>
                <w:tcPr>
                  <w:tcW w:w="4210" w:type="dxa"/>
                  <w:vAlign w:val="center"/>
                </w:tcPr>
                <w:p w14:paraId="06F4E672">
                  <w:pPr>
                    <w:pStyle w:val="42"/>
                    <w:shd w:val="clear" w:color="auto" w:fill="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r>
            <w:tr w14:paraId="725B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03" w:type="dxa"/>
                  <w:vAlign w:val="center"/>
                </w:tcPr>
                <w:p w14:paraId="160D710D">
                  <w:pPr>
                    <w:shd w:val="clear" w:color="auto" w:fill="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总氯/</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14:paraId="3D258ED0">
                  <w:pPr>
                    <w:pStyle w:val="42"/>
                    <w:shd w:val="clear" w:color="auto" w:fill="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1.0（出厂），0.2</w:t>
                  </w:r>
                  <w:r>
                    <w:rPr>
                      <w:rFonts w:hint="eastAsia" w:ascii="Times New Roman" w:hAnsi="Times New Roman" w:cs="Times New Roman"/>
                      <w:color w:val="auto"/>
                      <w:sz w:val="21"/>
                      <w:szCs w:val="21"/>
                      <w:highlight w:val="none"/>
                      <w:vertAlign w:val="superscript"/>
                      <w:lang w:val="en-US" w:eastAsia="zh-CN"/>
                    </w:rPr>
                    <w:t>b</w:t>
                  </w:r>
                  <w:r>
                    <w:rPr>
                      <w:rFonts w:hint="eastAsia" w:ascii="Times New Roman" w:hAnsi="Times New Roman" w:cs="Times New Roman"/>
                      <w:color w:val="auto"/>
                      <w:sz w:val="21"/>
                      <w:szCs w:val="21"/>
                      <w:highlight w:val="none"/>
                      <w:lang w:val="en-US" w:eastAsia="zh-CN"/>
                    </w:rPr>
                    <w:t>（管网末端）</w:t>
                  </w:r>
                </w:p>
              </w:tc>
            </w:tr>
            <w:tr w14:paraId="2601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203" w:type="dxa"/>
                  <w:vAlign w:val="center"/>
                </w:tcPr>
                <w:p w14:paraId="371E01F1">
                  <w:pPr>
                    <w:shd w:val="clear" w:color="auto" w:fill="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大肠埃希氏菌/（MPN/100mL或CFU/100mL）</w:t>
                  </w:r>
                </w:p>
              </w:tc>
              <w:tc>
                <w:tcPr>
                  <w:tcW w:w="4210" w:type="dxa"/>
                  <w:vAlign w:val="center"/>
                </w:tcPr>
                <w:p w14:paraId="4F617E39">
                  <w:pPr>
                    <w:pStyle w:val="42"/>
                    <w:shd w:val="clear" w:color="auto" w:fill="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w:t>
                  </w:r>
                  <w:r>
                    <w:rPr>
                      <w:rFonts w:hint="default" w:ascii="Times New Roman" w:hAnsi="Times New Roman" w:cs="Times New Roman"/>
                      <w:color w:val="auto"/>
                      <w:sz w:val="21"/>
                      <w:szCs w:val="21"/>
                      <w:highlight w:val="none"/>
                      <w:vertAlign w:val="superscript"/>
                      <w:lang w:val="en-US" w:eastAsia="zh-CN"/>
                    </w:rPr>
                    <w:t>c</w:t>
                  </w:r>
                </w:p>
              </w:tc>
            </w:tr>
            <w:tr w14:paraId="6EBF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203" w:type="dxa"/>
                  <w:vAlign w:val="center"/>
                </w:tcPr>
                <w:p w14:paraId="33BB2462">
                  <w:pPr>
                    <w:shd w:val="clear" w:color="auto" w:fill="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注：“-”表示对此项无要求。</w:t>
                  </w:r>
                </w:p>
              </w:tc>
              <w:tc>
                <w:tcPr>
                  <w:tcW w:w="4210" w:type="dxa"/>
                  <w:vAlign w:val="center"/>
                </w:tcPr>
                <w:p w14:paraId="6604520A">
                  <w:pPr>
                    <w:pStyle w:val="42"/>
                    <w:shd w:val="clear" w:color="auto" w:fill="auto"/>
                    <w:ind w:firstLine="0" w:firstLineChars="0"/>
                    <w:jc w:val="center"/>
                    <w:rPr>
                      <w:rFonts w:hint="eastAsia" w:cs="Times New Roman"/>
                      <w:color w:val="auto"/>
                      <w:sz w:val="21"/>
                      <w:szCs w:val="21"/>
                      <w:highlight w:val="none"/>
                      <w:lang w:val="en-US" w:eastAsia="zh-CN"/>
                    </w:rPr>
                  </w:pPr>
                </w:p>
              </w:tc>
            </w:tr>
            <w:tr w14:paraId="33E2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2"/>
                  <w:vAlign w:val="center"/>
                </w:tcPr>
                <w:p w14:paraId="6C58386F">
                  <w:pPr>
                    <w:pStyle w:val="42"/>
                    <w:shd w:val="clear" w:color="auto" w:fill="auto"/>
                    <w:ind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a 括号内指标值为沿海及本地水源中溶解性固体含量较高的区域的指标。</w:t>
                  </w:r>
                </w:p>
                <w:p w14:paraId="3A4BE54A">
                  <w:pPr>
                    <w:pStyle w:val="42"/>
                    <w:shd w:val="clear" w:color="auto" w:fill="auto"/>
                    <w:ind w:firstLine="0" w:firstLineChars="0"/>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 用于城市绿化时，不应超过2.5mg/L。</w:t>
                  </w:r>
                </w:p>
                <w:p w14:paraId="5E321363">
                  <w:pPr>
                    <w:pStyle w:val="42"/>
                    <w:shd w:val="clear" w:color="auto" w:fill="auto"/>
                    <w:ind w:firstLine="0" w:firstLineChars="0"/>
                    <w:jc w:val="both"/>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 大肠埃希氏菌不应检出。</w:t>
                  </w:r>
                </w:p>
              </w:tc>
            </w:tr>
          </w:tbl>
          <w:p w14:paraId="4A25F436">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噪声</w:t>
            </w:r>
          </w:p>
          <w:p w14:paraId="3E076341">
            <w:pPr>
              <w:adjustRightInd w:val="0"/>
              <w:snapToGrid w:val="0"/>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eastAsia" w:cs="Times New Roman"/>
                <w:color w:val="auto"/>
                <w:sz w:val="24"/>
                <w:highlight w:val="none"/>
                <w:lang w:val="en-US" w:eastAsia="zh-CN"/>
              </w:rPr>
              <w:t>施工期</w:t>
            </w:r>
          </w:p>
          <w:p w14:paraId="787F92C1">
            <w:pPr>
              <w:adjustRightInd w:val="0"/>
              <w:snapToGrid w:val="0"/>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施工期噪声执行</w:t>
            </w:r>
            <w:r>
              <w:rPr>
                <w:rFonts w:hint="default" w:ascii="Times New Roman" w:hAnsi="Times New Roman" w:eastAsia="宋体" w:cs="Times New Roman"/>
                <w:color w:val="auto"/>
                <w:kern w:val="0"/>
                <w:sz w:val="24"/>
                <w:highlight w:val="none"/>
              </w:rPr>
              <w:t>《建筑施工场界环境噪声排放标准》(GB12523-2011)标准限值见表</w:t>
            </w:r>
            <w:r>
              <w:rPr>
                <w:rFonts w:hint="default"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19</w:t>
            </w:r>
            <w:r>
              <w:rPr>
                <w:rFonts w:hint="default" w:ascii="Times New Roman" w:hAnsi="Times New Roman" w:eastAsia="宋体" w:cs="Times New Roman"/>
                <w:color w:val="auto"/>
                <w:kern w:val="0"/>
                <w:sz w:val="24"/>
                <w:highlight w:val="none"/>
              </w:rPr>
              <w:t>。</w:t>
            </w:r>
          </w:p>
          <w:p w14:paraId="119552BC">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eastAsia" w:cs="Times New Roman"/>
                <w:b/>
                <w:color w:val="auto"/>
                <w:szCs w:val="21"/>
                <w:highlight w:val="none"/>
                <w:lang w:val="en-US" w:eastAsia="zh-CN"/>
              </w:rPr>
              <w:t xml:space="preserve">19  </w:t>
            </w:r>
            <w:r>
              <w:rPr>
                <w:rFonts w:hint="default" w:ascii="Times New Roman" w:hAnsi="Times New Roman" w:eastAsia="宋体" w:cs="Times New Roman"/>
                <w:b/>
                <w:color w:val="auto"/>
                <w:szCs w:val="21"/>
                <w:highlight w:val="none"/>
              </w:rPr>
              <w:t>建筑施工场界环境噪声排放标准     单位：dB（A）</w:t>
            </w:r>
          </w:p>
          <w:tbl>
            <w:tblPr>
              <w:tblStyle w:val="25"/>
              <w:tblW w:w="8417"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209"/>
              <w:gridCol w:w="4208"/>
            </w:tblGrid>
            <w:tr w14:paraId="3BB183D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09" w:type="dxa"/>
                  <w:vAlign w:val="center"/>
                </w:tcPr>
                <w:p w14:paraId="31571DC2">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昼间</w:t>
                  </w:r>
                </w:p>
              </w:tc>
              <w:tc>
                <w:tcPr>
                  <w:tcW w:w="4208" w:type="dxa"/>
                  <w:vAlign w:val="center"/>
                </w:tcPr>
                <w:p w14:paraId="6C1A5B5E">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夜间</w:t>
                  </w:r>
                </w:p>
              </w:tc>
            </w:tr>
            <w:tr w14:paraId="74A4217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4209" w:type="dxa"/>
                  <w:vAlign w:val="center"/>
                </w:tcPr>
                <w:p w14:paraId="0B6E168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c>
                <w:tcPr>
                  <w:tcW w:w="4208" w:type="dxa"/>
                  <w:vAlign w:val="center"/>
                </w:tcPr>
                <w:p w14:paraId="13406CD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55</w:t>
                  </w:r>
                </w:p>
              </w:tc>
            </w:tr>
          </w:tbl>
          <w:p w14:paraId="35FEBA73">
            <w:pPr>
              <w:adjustRightInd w:val="0"/>
              <w:snapToGri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（2）运营期</w:t>
            </w:r>
          </w:p>
          <w:p w14:paraId="661B31CF">
            <w:pPr>
              <w:adjustRightInd w:val="0"/>
              <w:snapToGrid w:val="0"/>
              <w:spacing w:line="360" w:lineRule="auto"/>
              <w:ind w:firstLine="480" w:firstLineChars="200"/>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color w:val="auto"/>
                <w:sz w:val="24"/>
                <w:szCs w:val="24"/>
                <w:highlight w:val="none"/>
              </w:rPr>
              <w:t>项目运营期噪声主要为设备噪声，</w:t>
            </w:r>
            <w:r>
              <w:rPr>
                <w:rFonts w:hint="default" w:ascii="Times New Roman" w:hAnsi="Times New Roman" w:eastAsia="宋体" w:cs="Times New Roman"/>
                <w:color w:val="auto"/>
                <w:sz w:val="24"/>
                <w:highlight w:val="none"/>
              </w:rPr>
              <w:t>噪声执行《工业企业厂界环境噪声排放标准》（GB12348-2008）3类标准，</w:t>
            </w:r>
            <w:r>
              <w:rPr>
                <w:rFonts w:hint="default" w:ascii="Times New Roman" w:hAnsi="Times New Roman" w:eastAsia="宋体" w:cs="Times New Roman"/>
                <w:color w:val="auto"/>
                <w:kern w:val="0"/>
                <w:sz w:val="24"/>
                <w:highlight w:val="none"/>
              </w:rPr>
              <w:t>标准限值</w:t>
            </w:r>
            <w:r>
              <w:rPr>
                <w:rFonts w:hint="default" w:ascii="Times New Roman" w:hAnsi="Times New Roman" w:eastAsia="宋体" w:cs="Times New Roman"/>
                <w:color w:val="auto"/>
                <w:sz w:val="24"/>
                <w:highlight w:val="none"/>
              </w:rPr>
              <w:t>详见表</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20</w:t>
            </w:r>
            <w:r>
              <w:rPr>
                <w:rFonts w:hint="default" w:ascii="Times New Roman" w:hAnsi="Times New Roman" w:eastAsia="宋体" w:cs="Times New Roman"/>
                <w:color w:val="auto"/>
                <w:sz w:val="24"/>
                <w:highlight w:val="none"/>
              </w:rPr>
              <w:t>。</w:t>
            </w:r>
          </w:p>
          <w:p w14:paraId="7610537B">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eastAsia" w:cs="Times New Roman"/>
                <w:b/>
                <w:color w:val="auto"/>
                <w:kern w:val="21"/>
                <w:szCs w:val="21"/>
                <w:highlight w:val="none"/>
                <w:lang w:val="en-US" w:eastAsia="zh-CN"/>
              </w:rPr>
              <w:t>20</w:t>
            </w:r>
            <w:r>
              <w:rPr>
                <w:rFonts w:hint="default" w:ascii="Times New Roman" w:hAnsi="Times New Roman" w:eastAsia="宋体" w:cs="Times New Roman"/>
                <w:b/>
                <w:color w:val="auto"/>
                <w:kern w:val="21"/>
                <w:szCs w:val="21"/>
                <w:highlight w:val="none"/>
                <w:lang w:val="en-US" w:eastAsia="zh-CN"/>
              </w:rPr>
              <w:t xml:space="preserve">  </w:t>
            </w:r>
            <w:r>
              <w:rPr>
                <w:rFonts w:hint="default" w:ascii="Times New Roman" w:hAnsi="Times New Roman" w:eastAsia="宋体" w:cs="Times New Roman"/>
                <w:b/>
                <w:color w:val="auto"/>
                <w:kern w:val="21"/>
                <w:szCs w:val="21"/>
                <w:highlight w:val="none"/>
              </w:rPr>
              <w:t>工业企业厂界环境噪声排放标准   单位：dB（A）</w:t>
            </w:r>
          </w:p>
          <w:tbl>
            <w:tblPr>
              <w:tblStyle w:val="25"/>
              <w:tblW w:w="7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1"/>
              <w:gridCol w:w="2133"/>
              <w:gridCol w:w="2092"/>
            </w:tblGrid>
            <w:tr w14:paraId="42E1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3581" w:type="dxa"/>
                  <w:vMerge w:val="restart"/>
                  <w:vAlign w:val="center"/>
                </w:tcPr>
                <w:p w14:paraId="594DF648">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eastAsia" w:cs="Times New Roman"/>
                      <w:b/>
                      <w:color w:val="auto"/>
                      <w:kern w:val="21"/>
                      <w:szCs w:val="21"/>
                      <w:highlight w:val="none"/>
                      <w:lang w:val="en-US" w:eastAsia="zh-CN"/>
                    </w:rPr>
                    <w:t>类别</w:t>
                  </w:r>
                </w:p>
              </w:tc>
              <w:tc>
                <w:tcPr>
                  <w:tcW w:w="4225" w:type="dxa"/>
                  <w:gridSpan w:val="2"/>
                  <w:vAlign w:val="center"/>
                </w:tcPr>
                <w:p w14:paraId="76D20050">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14:paraId="37F6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581" w:type="dxa"/>
                  <w:vMerge w:val="continue"/>
                  <w:vAlign w:val="center"/>
                </w:tcPr>
                <w:p w14:paraId="7DB2B7E7">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2133" w:type="dxa"/>
                  <w:vAlign w:val="center"/>
                </w:tcPr>
                <w:p w14:paraId="475008F7">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2092" w:type="dxa"/>
                  <w:vAlign w:val="center"/>
                </w:tcPr>
                <w:p w14:paraId="21759F59">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14:paraId="3343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581" w:type="dxa"/>
                  <w:vAlign w:val="center"/>
                </w:tcPr>
                <w:p w14:paraId="54C898AC">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3类</w:t>
                  </w:r>
                </w:p>
              </w:tc>
              <w:tc>
                <w:tcPr>
                  <w:tcW w:w="2133" w:type="dxa"/>
                  <w:vAlign w:val="center"/>
                </w:tcPr>
                <w:p w14:paraId="4E2BCEC5">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2092" w:type="dxa"/>
                  <w:vAlign w:val="center"/>
                </w:tcPr>
                <w:p w14:paraId="0BF977B3">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bl>
          <w:p w14:paraId="282742F8">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cs="Times New Roman"/>
                <w:b/>
                <w:bCs/>
                <w:color w:val="auto"/>
                <w:sz w:val="24"/>
                <w:szCs w:val="24"/>
                <w:highlight w:val="none"/>
                <w:lang w:val="en-US" w:eastAsia="zh-CN"/>
              </w:rPr>
              <w:t>固体废物</w:t>
            </w:r>
          </w:p>
          <w:p w14:paraId="7C873861">
            <w:pPr>
              <w:pStyle w:val="15"/>
              <w:snapToGrid w:val="0"/>
              <w:spacing w:line="360" w:lineRule="auto"/>
              <w:ind w:firstLine="480" w:firstLineChars="200"/>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项目所产生的固体废物包括危险废物及一般固体废物。</w:t>
            </w:r>
          </w:p>
          <w:p w14:paraId="2E94FAA0">
            <w:pPr>
              <w:pStyle w:val="86"/>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一般固体废物执行《一般工业固体废物贮存和填埋污染控制标准》（GB18599-2020）</w:t>
            </w:r>
            <w:r>
              <w:rPr>
                <w:rFonts w:ascii="宋体" w:hAnsi="宋体" w:eastAsia="宋体" w:cs="宋体"/>
                <w:color w:val="auto"/>
                <w:spacing w:val="2"/>
                <w:sz w:val="23"/>
                <w:szCs w:val="23"/>
                <w:highlight w:val="none"/>
              </w:rPr>
              <w:t>中的相关规</w:t>
            </w:r>
            <w:r>
              <w:rPr>
                <w:rFonts w:ascii="宋体" w:hAnsi="宋体" w:eastAsia="宋体" w:cs="宋体"/>
                <w:color w:val="auto"/>
                <w:sz w:val="23"/>
                <w:szCs w:val="23"/>
                <w:highlight w:val="none"/>
              </w:rPr>
              <w:t>定</w:t>
            </w:r>
            <w:r>
              <w:rPr>
                <w:rFonts w:hint="default" w:ascii="Times New Roman" w:hAnsi="Times New Roman" w:eastAsia="宋体" w:cs="Times New Roman"/>
                <w:color w:val="auto"/>
                <w:kern w:val="2"/>
                <w:sz w:val="24"/>
                <w:szCs w:val="24"/>
                <w:highlight w:val="none"/>
                <w:lang w:val="en-US" w:eastAsia="zh-CN" w:bidi="ar-SA"/>
              </w:rPr>
              <w:t>。</w:t>
            </w:r>
          </w:p>
          <w:p w14:paraId="5FEB5F7E">
            <w:pPr>
              <w:pStyle w:val="15"/>
              <w:snapToGrid w:val="0"/>
              <w:spacing w:line="360" w:lineRule="auto"/>
              <w:ind w:firstLine="480" w:firstLineChars="20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危险废物执行《危险废物贮存污染控制标准》（GB18597-20</w:t>
            </w:r>
            <w:r>
              <w:rPr>
                <w:rFonts w:hint="eastAsia" w:ascii="Times New Roman" w:hAnsi="Times New Roman" w:cs="Times New Roman"/>
                <w:color w:val="auto"/>
                <w:kern w:val="2"/>
                <w:sz w:val="24"/>
                <w:szCs w:val="24"/>
                <w:highlight w:val="none"/>
                <w:lang w:val="en-US" w:eastAsia="zh-CN" w:bidi="ar-SA"/>
              </w:rPr>
              <w:t>23</w:t>
            </w:r>
            <w:r>
              <w:rPr>
                <w:rFonts w:hint="default" w:ascii="Times New Roman" w:hAnsi="Times New Roman" w:eastAsia="宋体" w:cs="Times New Roman"/>
                <w:color w:val="auto"/>
                <w:kern w:val="2"/>
                <w:sz w:val="24"/>
                <w:szCs w:val="24"/>
                <w:highlight w:val="none"/>
                <w:lang w:val="en-US" w:eastAsia="zh-CN" w:bidi="ar-SA"/>
              </w:rPr>
              <w:t>）、《危险废物污染防治技术政策》和《危险废物转移管理办法》中的有关规定</w:t>
            </w:r>
            <w:r>
              <w:rPr>
                <w:rFonts w:hint="eastAsia" w:ascii="Times New Roman" w:hAnsi="Times New Roman" w:eastAsia="宋体" w:cs="Times New Roman"/>
                <w:color w:val="auto"/>
                <w:kern w:val="2"/>
                <w:sz w:val="24"/>
                <w:szCs w:val="24"/>
                <w:highlight w:val="none"/>
                <w:lang w:val="en-US" w:eastAsia="zh-CN" w:bidi="ar-SA"/>
              </w:rPr>
              <w:t>。</w:t>
            </w:r>
          </w:p>
        </w:tc>
      </w:tr>
      <w:tr w14:paraId="2D6E6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2" w:hRule="atLeast"/>
          <w:jc w:val="center"/>
        </w:trPr>
        <w:tc>
          <w:tcPr>
            <w:tcW w:w="419" w:type="dxa"/>
            <w:vAlign w:val="center"/>
          </w:tcPr>
          <w:p w14:paraId="172E595A">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14:paraId="204F648C">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14:paraId="365589A5">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指标</w:t>
            </w:r>
          </w:p>
        </w:tc>
        <w:tc>
          <w:tcPr>
            <w:tcW w:w="8642" w:type="dxa"/>
            <w:vAlign w:val="center"/>
          </w:tcPr>
          <w:p w14:paraId="600F3D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根据本项目的具体情况，结合国家污染物排放总量控制原则，建议本项目的总量控制指标如下：</w:t>
            </w:r>
          </w:p>
          <w:p w14:paraId="5F2B99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（1）废气</w:t>
            </w:r>
          </w:p>
          <w:p w14:paraId="2EB08FEE">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w:t>
            </w:r>
            <w:r>
              <w:rPr>
                <w:rFonts w:hint="eastAsia" w:cs="Times New Roman"/>
                <w:bCs/>
                <w:color w:val="auto"/>
                <w:sz w:val="24"/>
                <w:szCs w:val="24"/>
                <w:highlight w:val="none"/>
                <w:lang w:eastAsia="zh-CN"/>
              </w:rPr>
              <w:t>扩建项目</w:t>
            </w:r>
            <w:r>
              <w:rPr>
                <w:rFonts w:hint="default" w:ascii="Times New Roman" w:hAnsi="Times New Roman" w:eastAsia="宋体" w:cs="Times New Roman"/>
                <w:bCs/>
                <w:color w:val="auto"/>
                <w:sz w:val="24"/>
                <w:szCs w:val="24"/>
                <w:highlight w:val="none"/>
                <w:lang w:eastAsia="zh-CN"/>
              </w:rPr>
              <w:t>有组织排放</w:t>
            </w:r>
            <w:r>
              <w:rPr>
                <w:rFonts w:hint="eastAsia" w:ascii="Times New Roman" w:hAnsi="Times New Roman" w:cs="Times New Roman"/>
                <w:bCs/>
                <w:color w:val="auto"/>
                <w:sz w:val="24"/>
                <w:szCs w:val="24"/>
                <w:highlight w:val="none"/>
                <w:lang w:eastAsia="zh-CN"/>
              </w:rPr>
              <w:t>量</w:t>
            </w:r>
          </w:p>
          <w:p w14:paraId="6187B947">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Cs/>
                <w:color w:val="auto"/>
                <w:sz w:val="24"/>
                <w:szCs w:val="24"/>
                <w:highlight w:val="none"/>
              </w:rPr>
              <w:t>废气量</w:t>
            </w:r>
            <w:r>
              <w:rPr>
                <w:rFonts w:hint="eastAsia" w:ascii="Times New Roman" w:hAnsi="Times New Roman" w:cs="Times New Roman"/>
                <w:bCs/>
                <w:color w:val="auto"/>
                <w:sz w:val="24"/>
                <w:szCs w:val="24"/>
                <w:highlight w:val="none"/>
                <w:lang w:eastAsia="zh-CN"/>
              </w:rPr>
              <w:t>（</w:t>
            </w:r>
            <w:r>
              <w:rPr>
                <w:rFonts w:hint="eastAsia" w:cs="Times New Roman"/>
                <w:b w:val="0"/>
                <w:bCs w:val="0"/>
                <w:color w:val="auto"/>
                <w:kern w:val="0"/>
                <w:sz w:val="24"/>
                <w:szCs w:val="24"/>
                <w:highlight w:val="none"/>
                <w:lang w:val="en-US" w:eastAsia="zh-CN"/>
              </w:rPr>
              <w:t>DA002</w:t>
            </w:r>
            <w:r>
              <w:rPr>
                <w:rFonts w:hint="eastAsia" w:ascii="Times New Roman" w:hAnsi="Times New Roman"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w:t>
            </w:r>
            <w:r>
              <w:rPr>
                <w:rFonts w:hint="eastAsia" w:cs="Times New Roman"/>
                <w:b w:val="0"/>
                <w:bCs w:val="0"/>
                <w:color w:val="auto"/>
                <w:kern w:val="0"/>
                <w:sz w:val="24"/>
                <w:szCs w:val="24"/>
                <w:highlight w:val="none"/>
                <w:lang w:val="en-US" w:eastAsia="zh-CN"/>
              </w:rPr>
              <w:t>4950</w:t>
            </w:r>
            <w:r>
              <w:rPr>
                <w:rFonts w:hint="eastAsia" w:ascii="Times New Roman" w:hAnsi="Times New Roman" w:eastAsia="宋体" w:cs="Times New Roman"/>
                <w:b w:val="0"/>
                <w:bCs w:val="0"/>
                <w:color w:val="auto"/>
                <w:kern w:val="0"/>
                <w:sz w:val="24"/>
                <w:szCs w:val="24"/>
                <w:highlight w:val="none"/>
                <w:lang w:val="en-US" w:eastAsia="zh-CN"/>
              </w:rPr>
              <w:t>万m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/a；有组织颗粒物排放量为0.0</w:t>
            </w:r>
            <w:r>
              <w:rPr>
                <w:rFonts w:hint="eastAsia" w:cs="Times New Roman"/>
                <w:b w:val="0"/>
                <w:bCs w:val="0"/>
                <w:color w:val="auto"/>
                <w:kern w:val="0"/>
                <w:sz w:val="24"/>
                <w:szCs w:val="24"/>
                <w:highlight w:val="none"/>
                <w:lang w:val="en-US" w:eastAsia="zh-CN"/>
              </w:rPr>
              <w:t>27</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，硫酸雾</w:t>
            </w:r>
            <w:r>
              <w:rPr>
                <w:rFonts w:hint="eastAsia" w:ascii="Times New Roman" w:hAnsi="Times New Roman" w:eastAsia="宋体" w:cs="Times New Roman"/>
                <w:b w:val="0"/>
                <w:bCs w:val="0"/>
                <w:color w:val="auto"/>
                <w:kern w:val="0"/>
                <w:sz w:val="24"/>
                <w:szCs w:val="24"/>
                <w:highlight w:val="none"/>
                <w:lang w:val="en-US" w:eastAsia="zh-CN"/>
              </w:rPr>
              <w:t>排放量为</w:t>
            </w:r>
            <w:r>
              <w:rPr>
                <w:rFonts w:hint="eastAsia" w:cs="Times New Roman"/>
                <w:b w:val="0"/>
                <w:bCs w:val="0"/>
                <w:color w:val="auto"/>
                <w:kern w:val="0"/>
                <w:sz w:val="24"/>
                <w:szCs w:val="24"/>
                <w:highlight w:val="none"/>
                <w:lang w:val="en-US" w:eastAsia="zh-CN"/>
              </w:rPr>
              <w:t>0.00002</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color w:val="auto"/>
                <w:sz w:val="24"/>
                <w:highlight w:val="none"/>
                <w:lang w:val="zh-CN" w:eastAsia="zh-CN"/>
              </w:rPr>
              <w:t>氯化氢</w:t>
            </w:r>
            <w:r>
              <w:rPr>
                <w:rFonts w:hint="eastAsia" w:ascii="Times New Roman" w:hAnsi="Times New Roman" w:eastAsia="宋体" w:cs="Times New Roman"/>
                <w:b w:val="0"/>
                <w:bCs w:val="0"/>
                <w:color w:val="auto"/>
                <w:kern w:val="0"/>
                <w:sz w:val="24"/>
                <w:szCs w:val="24"/>
                <w:highlight w:val="none"/>
                <w:lang w:val="en-US" w:eastAsia="zh-CN"/>
              </w:rPr>
              <w:t>排放量为0.0</w:t>
            </w:r>
            <w:r>
              <w:rPr>
                <w:rFonts w:hint="eastAsia" w:cs="Times New Roman"/>
                <w:b w:val="0"/>
                <w:bCs w:val="0"/>
                <w:color w:val="auto"/>
                <w:kern w:val="0"/>
                <w:sz w:val="24"/>
                <w:szCs w:val="24"/>
                <w:highlight w:val="none"/>
                <w:lang w:val="en-US" w:eastAsia="zh-CN"/>
              </w:rPr>
              <w:t>0584</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，氟化物</w:t>
            </w:r>
            <w:r>
              <w:rPr>
                <w:rFonts w:hint="eastAsia" w:ascii="Times New Roman" w:hAnsi="Times New Roman" w:eastAsia="宋体" w:cs="Times New Roman"/>
                <w:b w:val="0"/>
                <w:bCs w:val="0"/>
                <w:color w:val="auto"/>
                <w:kern w:val="0"/>
                <w:sz w:val="24"/>
                <w:szCs w:val="24"/>
                <w:highlight w:val="none"/>
                <w:lang w:val="en-US" w:eastAsia="zh-CN"/>
              </w:rPr>
              <w:t>排放量为</w:t>
            </w:r>
            <w:r>
              <w:rPr>
                <w:rFonts w:hint="eastAsia" w:cs="Times New Roman"/>
                <w:b w:val="0"/>
                <w:bCs w:val="0"/>
                <w:color w:val="auto"/>
                <w:kern w:val="0"/>
                <w:sz w:val="24"/>
                <w:szCs w:val="24"/>
                <w:highlight w:val="none"/>
                <w:lang w:val="en-US" w:eastAsia="zh-CN"/>
              </w:rPr>
              <w:t>0.1877</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w:t>
            </w:r>
          </w:p>
          <w:p w14:paraId="2BB99E7A">
            <w:pPr>
              <w:pStyle w:val="5"/>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w:t>
            </w:r>
            <w:r>
              <w:rPr>
                <w:rFonts w:hint="eastAsia" w:cs="Times New Roman"/>
                <w:b w:val="0"/>
                <w:bCs/>
                <w:color w:val="auto"/>
                <w:kern w:val="0"/>
                <w:sz w:val="24"/>
                <w:szCs w:val="24"/>
                <w:highlight w:val="none"/>
                <w:lang w:eastAsia="zh-CN"/>
              </w:rPr>
              <w:t>扩建项目</w:t>
            </w:r>
            <w:r>
              <w:rPr>
                <w:rFonts w:hint="default" w:ascii="Times New Roman" w:hAnsi="Times New Roman" w:eastAsia="宋体" w:cs="Times New Roman"/>
                <w:b w:val="0"/>
                <w:bCs/>
                <w:color w:val="auto"/>
                <w:kern w:val="0"/>
                <w:sz w:val="24"/>
                <w:szCs w:val="24"/>
                <w:highlight w:val="none"/>
                <w:lang w:eastAsia="zh-CN"/>
              </w:rPr>
              <w:t>无组织排放</w:t>
            </w:r>
            <w:r>
              <w:rPr>
                <w:rFonts w:hint="eastAsia" w:ascii="Times New Roman" w:hAnsi="Times New Roman" w:cs="Times New Roman"/>
                <w:b w:val="0"/>
                <w:bCs/>
                <w:color w:val="auto"/>
                <w:kern w:val="0"/>
                <w:sz w:val="24"/>
                <w:szCs w:val="24"/>
                <w:highlight w:val="none"/>
                <w:lang w:eastAsia="zh-CN"/>
              </w:rPr>
              <w:t>量</w:t>
            </w:r>
          </w:p>
          <w:p w14:paraId="0E9D2607">
            <w:pPr>
              <w:pStyle w:val="5"/>
              <w:keepNext w:val="0"/>
              <w:keepLines w:val="0"/>
              <w:pageBreakBefore w:val="0"/>
              <w:kinsoku/>
              <w:wordWrap/>
              <w:overflowPunct/>
              <w:topLinePunct w:val="0"/>
              <w:autoSpaceDE/>
              <w:autoSpaceDN/>
              <w:bidi w:val="0"/>
              <w:spacing w:before="0" w:line="360" w:lineRule="auto"/>
              <w:ind w:firstLine="482"/>
              <w:jc w:val="left"/>
              <w:textAlignment w:val="auto"/>
              <w:rPr>
                <w:rFonts w:hint="eastAsia" w:cs="Times New Roman"/>
                <w:b w:val="0"/>
                <w:bCs w:val="0"/>
                <w:color w:val="auto"/>
                <w:kern w:val="0"/>
                <w:sz w:val="24"/>
                <w:szCs w:val="24"/>
                <w:highlight w:val="none"/>
                <w:lang w:val="en-US" w:eastAsia="zh-CN"/>
              </w:rPr>
            </w:pPr>
            <w:r>
              <w:rPr>
                <w:rFonts w:hint="eastAsia" w:ascii="Times New Roman" w:hAnsi="Times New Roman" w:eastAsia="宋体" w:cs="Times New Roman"/>
                <w:caps w:val="0"/>
                <w:smallCaps w:val="0"/>
                <w:color w:val="auto"/>
                <w:sz w:val="24"/>
                <w:szCs w:val="24"/>
                <w:highlight w:val="none"/>
                <w:lang w:val="en-US" w:eastAsia="zh-CN"/>
              </w:rPr>
              <w:t>无组织</w:t>
            </w:r>
            <w:r>
              <w:rPr>
                <w:rFonts w:hint="eastAsia" w:ascii="Times New Roman" w:hAnsi="Times New Roman" w:eastAsia="宋体" w:cs="Times New Roman"/>
                <w:b w:val="0"/>
                <w:bCs w:val="0"/>
                <w:color w:val="auto"/>
                <w:kern w:val="0"/>
                <w:sz w:val="24"/>
                <w:szCs w:val="24"/>
                <w:highlight w:val="none"/>
                <w:lang w:val="en-US" w:eastAsia="zh-CN"/>
              </w:rPr>
              <w:t>颗粒物排放量为0.0</w:t>
            </w:r>
            <w:r>
              <w:rPr>
                <w:rFonts w:hint="eastAsia" w:cs="Times New Roman"/>
                <w:b w:val="0"/>
                <w:bCs w:val="0"/>
                <w:color w:val="auto"/>
                <w:kern w:val="0"/>
                <w:sz w:val="24"/>
                <w:szCs w:val="24"/>
                <w:highlight w:val="none"/>
                <w:lang w:val="en-US" w:eastAsia="zh-CN"/>
              </w:rPr>
              <w:t>1</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硫酸雾</w:t>
            </w:r>
            <w:r>
              <w:rPr>
                <w:rFonts w:hint="eastAsia" w:ascii="Times New Roman" w:hAnsi="Times New Roman" w:eastAsia="宋体" w:cs="Times New Roman"/>
                <w:b w:val="0"/>
                <w:bCs w:val="0"/>
                <w:color w:val="auto"/>
                <w:kern w:val="0"/>
                <w:sz w:val="24"/>
                <w:szCs w:val="24"/>
                <w:highlight w:val="none"/>
                <w:lang w:val="en-US" w:eastAsia="zh-CN"/>
              </w:rPr>
              <w:t>排放量为</w:t>
            </w:r>
            <w:r>
              <w:rPr>
                <w:rFonts w:hint="eastAsia" w:cs="Times New Roman"/>
                <w:b w:val="0"/>
                <w:bCs w:val="0"/>
                <w:color w:val="auto"/>
                <w:kern w:val="0"/>
                <w:sz w:val="24"/>
                <w:szCs w:val="24"/>
                <w:highlight w:val="none"/>
                <w:lang w:val="en-US" w:eastAsia="zh-CN"/>
              </w:rPr>
              <w:t>0.00002</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color w:val="auto"/>
                <w:sz w:val="24"/>
                <w:highlight w:val="none"/>
                <w:lang w:val="zh-CN" w:eastAsia="zh-CN"/>
              </w:rPr>
              <w:t>氯化氢</w:t>
            </w:r>
            <w:r>
              <w:rPr>
                <w:rFonts w:hint="eastAsia" w:ascii="Times New Roman" w:hAnsi="Times New Roman" w:eastAsia="宋体" w:cs="Times New Roman"/>
                <w:b w:val="0"/>
                <w:bCs w:val="0"/>
                <w:color w:val="auto"/>
                <w:kern w:val="0"/>
                <w:sz w:val="24"/>
                <w:szCs w:val="24"/>
                <w:highlight w:val="none"/>
                <w:lang w:val="en-US" w:eastAsia="zh-CN"/>
              </w:rPr>
              <w:t>排放量为0.0</w:t>
            </w:r>
            <w:r>
              <w:rPr>
                <w:rFonts w:hint="eastAsia" w:cs="Times New Roman"/>
                <w:b w:val="0"/>
                <w:bCs w:val="0"/>
                <w:color w:val="auto"/>
                <w:kern w:val="0"/>
                <w:sz w:val="24"/>
                <w:szCs w:val="24"/>
                <w:highlight w:val="none"/>
                <w:lang w:val="en-US" w:eastAsia="zh-CN"/>
              </w:rPr>
              <w:t>065</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氟化物</w:t>
            </w:r>
            <w:r>
              <w:rPr>
                <w:rFonts w:hint="eastAsia" w:ascii="Times New Roman" w:hAnsi="Times New Roman" w:eastAsia="宋体" w:cs="Times New Roman"/>
                <w:b w:val="0"/>
                <w:bCs w:val="0"/>
                <w:color w:val="auto"/>
                <w:kern w:val="0"/>
                <w:sz w:val="24"/>
                <w:szCs w:val="24"/>
                <w:highlight w:val="none"/>
                <w:lang w:val="en-US" w:eastAsia="zh-CN"/>
              </w:rPr>
              <w:t>排放量为</w:t>
            </w:r>
            <w:r>
              <w:rPr>
                <w:rFonts w:hint="eastAsia" w:cs="Times New Roman"/>
                <w:b w:val="0"/>
                <w:bCs w:val="0"/>
                <w:color w:val="auto"/>
                <w:kern w:val="0"/>
                <w:sz w:val="24"/>
                <w:szCs w:val="24"/>
                <w:highlight w:val="none"/>
                <w:lang w:val="en-US" w:eastAsia="zh-CN"/>
              </w:rPr>
              <w:t>0.2085</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w:t>
            </w:r>
          </w:p>
          <w:p w14:paraId="1C5BFDC5">
            <w:pPr>
              <w:pStyle w:val="5"/>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w:t>
            </w:r>
            <w:r>
              <w:rPr>
                <w:rFonts w:hint="eastAsia" w:ascii="Times New Roman" w:hAnsi="Times New Roman" w:cs="Times New Roman"/>
                <w:b w:val="0"/>
                <w:bCs/>
                <w:color w:val="auto"/>
                <w:kern w:val="0"/>
                <w:sz w:val="24"/>
                <w:szCs w:val="24"/>
                <w:highlight w:val="none"/>
                <w:lang w:eastAsia="zh-CN"/>
              </w:rPr>
              <w:t>扩建项目</w:t>
            </w:r>
            <w:r>
              <w:rPr>
                <w:rFonts w:hint="default" w:ascii="Times New Roman" w:hAnsi="Times New Roman" w:eastAsia="宋体" w:cs="Times New Roman"/>
                <w:b w:val="0"/>
                <w:bCs/>
                <w:color w:val="auto"/>
                <w:kern w:val="0"/>
                <w:sz w:val="24"/>
                <w:szCs w:val="24"/>
                <w:highlight w:val="none"/>
                <w:lang w:eastAsia="zh-CN"/>
              </w:rPr>
              <w:t>排放总量（有组织排放</w:t>
            </w:r>
            <w:r>
              <w:rPr>
                <w:rFonts w:hint="eastAsia" w:ascii="Times New Roman" w:hAnsi="Times New Roman" w:cs="Times New Roman"/>
                <w:b w:val="0"/>
                <w:bCs/>
                <w:color w:val="auto"/>
                <w:kern w:val="0"/>
                <w:sz w:val="24"/>
                <w:szCs w:val="24"/>
                <w:highlight w:val="none"/>
                <w:lang w:eastAsia="zh-CN"/>
              </w:rPr>
              <w:t>量</w:t>
            </w:r>
            <w:r>
              <w:rPr>
                <w:rFonts w:hint="default" w:ascii="Times New Roman" w:hAnsi="Times New Roman" w:eastAsia="宋体" w:cs="Times New Roman"/>
                <w:b w:val="0"/>
                <w:bCs/>
                <w:color w:val="auto"/>
                <w:kern w:val="0"/>
                <w:sz w:val="24"/>
                <w:szCs w:val="24"/>
                <w:highlight w:val="none"/>
                <w:lang w:val="en-US" w:eastAsia="zh-CN"/>
              </w:rPr>
              <w:t>+无组织排放</w:t>
            </w:r>
            <w:r>
              <w:rPr>
                <w:rFonts w:hint="eastAsia" w:ascii="Times New Roman" w:hAnsi="Times New Roman" w:cs="Times New Roman"/>
                <w:b w:val="0"/>
                <w:bCs/>
                <w:color w:val="auto"/>
                <w:kern w:val="0"/>
                <w:sz w:val="24"/>
                <w:szCs w:val="24"/>
                <w:highlight w:val="none"/>
                <w:lang w:val="en-US" w:eastAsia="zh-CN"/>
              </w:rPr>
              <w:t>量</w:t>
            </w:r>
            <w:r>
              <w:rPr>
                <w:rFonts w:hint="default" w:ascii="Times New Roman" w:hAnsi="Times New Roman" w:eastAsia="宋体" w:cs="Times New Roman"/>
                <w:b w:val="0"/>
                <w:bCs/>
                <w:color w:val="auto"/>
                <w:kern w:val="0"/>
                <w:sz w:val="24"/>
                <w:szCs w:val="24"/>
                <w:highlight w:val="none"/>
                <w:lang w:eastAsia="zh-CN"/>
              </w:rPr>
              <w:t>）</w:t>
            </w:r>
          </w:p>
          <w:p w14:paraId="573E6B55">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Cs/>
                <w:color w:val="auto"/>
                <w:sz w:val="24"/>
                <w:szCs w:val="24"/>
                <w:highlight w:val="none"/>
              </w:rPr>
              <w:t>废气量：</w:t>
            </w:r>
            <w:r>
              <w:rPr>
                <w:rFonts w:hint="eastAsia" w:cs="Times New Roman"/>
                <w:b w:val="0"/>
                <w:bCs w:val="0"/>
                <w:color w:val="auto"/>
                <w:kern w:val="0"/>
                <w:sz w:val="24"/>
                <w:szCs w:val="24"/>
                <w:highlight w:val="none"/>
                <w:lang w:val="en-US" w:eastAsia="zh-CN"/>
              </w:rPr>
              <w:t>4950</w:t>
            </w:r>
            <w:r>
              <w:rPr>
                <w:rFonts w:hint="eastAsia" w:ascii="Times New Roman" w:hAnsi="Times New Roman" w:eastAsia="宋体" w:cs="Times New Roman"/>
                <w:b w:val="0"/>
                <w:bCs w:val="0"/>
                <w:color w:val="auto"/>
                <w:kern w:val="0"/>
                <w:sz w:val="24"/>
                <w:szCs w:val="24"/>
                <w:highlight w:val="none"/>
                <w:lang w:val="en-US" w:eastAsia="zh-CN"/>
              </w:rPr>
              <w:t>万m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/a；颗粒物排放量为0.0</w:t>
            </w:r>
            <w:r>
              <w:rPr>
                <w:rFonts w:hint="eastAsia" w:cs="Times New Roman"/>
                <w:b w:val="0"/>
                <w:bCs w:val="0"/>
                <w:color w:val="auto"/>
                <w:kern w:val="0"/>
                <w:sz w:val="24"/>
                <w:szCs w:val="24"/>
                <w:highlight w:val="none"/>
                <w:lang w:val="en-US" w:eastAsia="zh-CN"/>
              </w:rPr>
              <w:t>37</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，硫酸雾</w:t>
            </w:r>
            <w:r>
              <w:rPr>
                <w:rFonts w:hint="eastAsia" w:ascii="Times New Roman" w:hAnsi="Times New Roman" w:eastAsia="宋体" w:cs="Times New Roman"/>
                <w:b w:val="0"/>
                <w:bCs w:val="0"/>
                <w:color w:val="auto"/>
                <w:kern w:val="0"/>
                <w:sz w:val="24"/>
                <w:szCs w:val="24"/>
                <w:highlight w:val="none"/>
                <w:lang w:val="en-US" w:eastAsia="zh-CN"/>
              </w:rPr>
              <w:t>排放量为</w:t>
            </w:r>
            <w:r>
              <w:rPr>
                <w:rFonts w:hint="eastAsia" w:cs="Times New Roman"/>
                <w:b w:val="0"/>
                <w:bCs w:val="0"/>
                <w:color w:val="auto"/>
                <w:kern w:val="0"/>
                <w:sz w:val="24"/>
                <w:szCs w:val="24"/>
                <w:highlight w:val="none"/>
                <w:lang w:val="en-US" w:eastAsia="zh-CN"/>
              </w:rPr>
              <w:t>0.00004</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color w:val="auto"/>
                <w:sz w:val="24"/>
                <w:highlight w:val="none"/>
                <w:lang w:val="zh-CN" w:eastAsia="zh-CN"/>
              </w:rPr>
              <w:t>氯化氢</w:t>
            </w:r>
            <w:r>
              <w:rPr>
                <w:rFonts w:hint="eastAsia" w:ascii="Times New Roman" w:hAnsi="Times New Roman" w:eastAsia="宋体" w:cs="Times New Roman"/>
                <w:b w:val="0"/>
                <w:bCs w:val="0"/>
                <w:color w:val="auto"/>
                <w:kern w:val="0"/>
                <w:sz w:val="24"/>
                <w:szCs w:val="24"/>
                <w:highlight w:val="none"/>
                <w:lang w:val="en-US" w:eastAsia="zh-CN"/>
              </w:rPr>
              <w:t>排放量为0.0</w:t>
            </w:r>
            <w:r>
              <w:rPr>
                <w:rFonts w:hint="eastAsia" w:cs="Times New Roman"/>
                <w:b w:val="0"/>
                <w:bCs w:val="0"/>
                <w:color w:val="auto"/>
                <w:kern w:val="0"/>
                <w:sz w:val="24"/>
                <w:szCs w:val="24"/>
                <w:highlight w:val="none"/>
                <w:lang w:val="en-US" w:eastAsia="zh-CN"/>
              </w:rPr>
              <w:t>1234</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，氟化物</w:t>
            </w:r>
            <w:r>
              <w:rPr>
                <w:rFonts w:hint="eastAsia" w:ascii="Times New Roman" w:hAnsi="Times New Roman" w:eastAsia="宋体" w:cs="Times New Roman"/>
                <w:b w:val="0"/>
                <w:bCs w:val="0"/>
                <w:color w:val="auto"/>
                <w:kern w:val="0"/>
                <w:sz w:val="24"/>
                <w:szCs w:val="24"/>
                <w:highlight w:val="none"/>
                <w:lang w:val="en-US" w:eastAsia="zh-CN"/>
              </w:rPr>
              <w:t>排放量为</w:t>
            </w:r>
            <w:r>
              <w:rPr>
                <w:rFonts w:hint="eastAsia" w:cs="Times New Roman"/>
                <w:b w:val="0"/>
                <w:bCs w:val="0"/>
                <w:color w:val="auto"/>
                <w:kern w:val="0"/>
                <w:sz w:val="24"/>
                <w:szCs w:val="24"/>
                <w:highlight w:val="none"/>
                <w:lang w:val="en-US" w:eastAsia="zh-CN"/>
              </w:rPr>
              <w:t>0.3962</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w:t>
            </w:r>
          </w:p>
          <w:p w14:paraId="15AACEF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④扩建完成后全厂排放量</w:t>
            </w:r>
          </w:p>
          <w:p w14:paraId="539E53D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DA001</w:t>
            </w:r>
            <w:r>
              <w:rPr>
                <w:rFonts w:hint="default" w:ascii="Times New Roman" w:hAnsi="Times New Roman" w:eastAsia="宋体" w:cs="Times New Roman"/>
                <w:bCs/>
                <w:color w:val="auto"/>
                <w:sz w:val="24"/>
                <w:szCs w:val="24"/>
                <w:highlight w:val="none"/>
              </w:rPr>
              <w:t>：</w:t>
            </w:r>
            <w:r>
              <w:rPr>
                <w:rFonts w:hint="eastAsia" w:cs="Times New Roman"/>
                <w:bCs/>
                <w:color w:val="auto"/>
                <w:sz w:val="24"/>
                <w:szCs w:val="24"/>
                <w:highlight w:val="none"/>
                <w:lang w:eastAsia="zh-CN"/>
              </w:rPr>
              <w:t>废气量：</w:t>
            </w:r>
            <w:r>
              <w:rPr>
                <w:rFonts w:hint="default" w:ascii="Times New Roman" w:hAnsi="Times New Roman" w:eastAsia="宋体" w:cs="Times New Roman"/>
                <w:bCs/>
                <w:color w:val="auto"/>
                <w:sz w:val="24"/>
                <w:szCs w:val="24"/>
                <w:highlight w:val="none"/>
                <w:lang w:val="en-US" w:eastAsia="zh-CN"/>
              </w:rPr>
              <w:t>689.04</w:t>
            </w:r>
            <w:r>
              <w:rPr>
                <w:rFonts w:hint="eastAsia" w:ascii="Times New Roman" w:hAnsi="Times New Roman" w:eastAsia="宋体" w:cs="Times New Roman"/>
                <w:b w:val="0"/>
                <w:bCs w:val="0"/>
                <w:color w:val="auto"/>
                <w:kern w:val="0"/>
                <w:sz w:val="24"/>
                <w:szCs w:val="24"/>
                <w:highlight w:val="none"/>
                <w:lang w:val="en-US" w:eastAsia="zh-CN"/>
              </w:rPr>
              <w:t>万m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/a；挥发性有机物（以非甲烷总烃计）排放量为0.036t/a。</w:t>
            </w:r>
          </w:p>
          <w:p w14:paraId="107BFDAE">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DA002</w:t>
            </w: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Cs/>
                <w:color w:val="auto"/>
                <w:sz w:val="24"/>
                <w:szCs w:val="24"/>
                <w:highlight w:val="none"/>
                <w:lang w:val="en-US" w:eastAsia="zh-CN"/>
              </w:rPr>
              <w:t>4950万m3/a；颗粒物排放量为0.037t/a，硫酸雾排放量为0.00004t/a，</w:t>
            </w:r>
            <w:r>
              <w:rPr>
                <w:rFonts w:hint="default" w:ascii="Times New Roman" w:hAnsi="Times New Roman" w:eastAsia="宋体" w:cs="Times New Roman"/>
                <w:bCs/>
                <w:color w:val="auto"/>
                <w:sz w:val="24"/>
                <w:szCs w:val="24"/>
                <w:highlight w:val="none"/>
                <w:lang w:val="zh-CN" w:eastAsia="zh-CN"/>
              </w:rPr>
              <w:t>氯化氢</w:t>
            </w:r>
            <w:r>
              <w:rPr>
                <w:rFonts w:hint="default" w:ascii="Times New Roman" w:hAnsi="Times New Roman" w:eastAsia="宋体" w:cs="Times New Roman"/>
                <w:bCs/>
                <w:color w:val="auto"/>
                <w:sz w:val="24"/>
                <w:szCs w:val="24"/>
                <w:highlight w:val="none"/>
                <w:lang w:val="en-US" w:eastAsia="zh-CN"/>
              </w:rPr>
              <w:t>排放量为0.01234t/a，氟化物排放量为0.3962t/a。</w:t>
            </w:r>
          </w:p>
          <w:p w14:paraId="632A273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⑤</w:t>
            </w:r>
            <w:r>
              <w:rPr>
                <w:rFonts w:hint="eastAsia" w:ascii="Times New Roman" w:hAnsi="Times New Roman" w:eastAsia="宋体" w:cs="Times New Roman"/>
                <w:b w:val="0"/>
                <w:bCs w:val="0"/>
                <w:color w:val="auto"/>
                <w:kern w:val="0"/>
                <w:sz w:val="24"/>
                <w:szCs w:val="24"/>
                <w:highlight w:val="none"/>
                <w:lang w:val="en-US" w:eastAsia="zh-CN"/>
              </w:rPr>
              <w:t>排污许可增量</w:t>
            </w:r>
          </w:p>
          <w:p w14:paraId="660BB734">
            <w:pPr>
              <w:pStyle w:val="5"/>
              <w:keepNext w:val="0"/>
              <w:keepLines w:val="0"/>
              <w:pageBreakBefore w:val="0"/>
              <w:kinsoku/>
              <w:wordWrap/>
              <w:overflowPunct/>
              <w:topLinePunct w:val="0"/>
              <w:autoSpaceDE/>
              <w:autoSpaceDN/>
              <w:bidi w:val="0"/>
              <w:spacing w:before="0" w:line="360" w:lineRule="auto"/>
              <w:ind w:firstLine="482"/>
              <w:jc w:val="left"/>
              <w:textAlignment w:val="auto"/>
              <w:rPr>
                <w:rFonts w:hint="eastAsia"/>
                <w:color w:val="auto"/>
                <w:highlight w:val="none"/>
                <w:lang w:val="en-US" w:eastAsia="zh-CN"/>
              </w:rPr>
            </w:pPr>
            <w:r>
              <w:rPr>
                <w:rFonts w:hint="default" w:ascii="Times New Roman" w:hAnsi="Times New Roman" w:eastAsia="宋体" w:cs="Times New Roman"/>
                <w:bCs/>
                <w:color w:val="auto"/>
                <w:sz w:val="24"/>
                <w:szCs w:val="24"/>
                <w:highlight w:val="none"/>
              </w:rPr>
              <w:t>废气</w:t>
            </w:r>
            <w:r>
              <w:rPr>
                <w:rFonts w:hint="eastAsia" w:ascii="Times New Roman" w:hAnsi="Times New Roman" w:eastAsia="宋体" w:cs="Times New Roman"/>
                <w:bCs/>
                <w:color w:val="auto"/>
                <w:sz w:val="24"/>
                <w:szCs w:val="24"/>
                <w:highlight w:val="none"/>
                <w:lang w:eastAsia="zh-CN"/>
              </w:rPr>
              <w:t>增</w:t>
            </w:r>
            <w:r>
              <w:rPr>
                <w:rFonts w:hint="default" w:ascii="Times New Roman" w:hAnsi="Times New Roman" w:eastAsia="宋体" w:cs="Times New Roman"/>
                <w:bCs/>
                <w:color w:val="auto"/>
                <w:sz w:val="24"/>
                <w:szCs w:val="24"/>
                <w:highlight w:val="none"/>
              </w:rPr>
              <w:t>量：</w:t>
            </w:r>
            <w:r>
              <w:rPr>
                <w:rFonts w:hint="eastAsia" w:cs="Times New Roman"/>
                <w:b w:val="0"/>
                <w:bCs w:val="0"/>
                <w:color w:val="auto"/>
                <w:kern w:val="0"/>
                <w:sz w:val="24"/>
                <w:szCs w:val="24"/>
                <w:highlight w:val="none"/>
                <w:lang w:val="en-US" w:eastAsia="zh-CN"/>
              </w:rPr>
              <w:t>4950</w:t>
            </w:r>
            <w:r>
              <w:rPr>
                <w:rFonts w:hint="eastAsia" w:ascii="Times New Roman" w:hAnsi="Times New Roman" w:eastAsia="宋体" w:cs="Times New Roman"/>
                <w:b w:val="0"/>
                <w:bCs w:val="0"/>
                <w:color w:val="auto"/>
                <w:kern w:val="0"/>
                <w:sz w:val="24"/>
                <w:szCs w:val="24"/>
                <w:highlight w:val="none"/>
                <w:lang w:val="en-US" w:eastAsia="zh-CN"/>
              </w:rPr>
              <w:t>万m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/a；颗粒物增量为0.0</w:t>
            </w:r>
            <w:r>
              <w:rPr>
                <w:rFonts w:hint="eastAsia" w:cs="Times New Roman"/>
                <w:b w:val="0"/>
                <w:bCs w:val="0"/>
                <w:color w:val="auto"/>
                <w:kern w:val="0"/>
                <w:sz w:val="24"/>
                <w:szCs w:val="24"/>
                <w:highlight w:val="none"/>
                <w:lang w:val="en-US" w:eastAsia="zh-CN"/>
              </w:rPr>
              <w:t>37</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，硫酸雾</w:t>
            </w:r>
            <w:r>
              <w:rPr>
                <w:rFonts w:hint="eastAsia" w:ascii="Times New Roman" w:hAnsi="Times New Roman" w:eastAsia="宋体" w:cs="Times New Roman"/>
                <w:b w:val="0"/>
                <w:bCs w:val="0"/>
                <w:color w:val="auto"/>
                <w:kern w:val="0"/>
                <w:sz w:val="24"/>
                <w:szCs w:val="24"/>
                <w:highlight w:val="none"/>
                <w:lang w:val="en-US" w:eastAsia="zh-CN"/>
              </w:rPr>
              <w:t>增量为</w:t>
            </w:r>
            <w:r>
              <w:rPr>
                <w:rFonts w:hint="eastAsia" w:cs="Times New Roman"/>
                <w:b w:val="0"/>
                <w:bCs w:val="0"/>
                <w:color w:val="auto"/>
                <w:kern w:val="0"/>
                <w:sz w:val="24"/>
                <w:szCs w:val="24"/>
                <w:highlight w:val="none"/>
                <w:lang w:val="en-US" w:eastAsia="zh-CN"/>
              </w:rPr>
              <w:t>0.00004</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color w:val="auto"/>
                <w:sz w:val="24"/>
                <w:highlight w:val="none"/>
                <w:lang w:val="zh-CN" w:eastAsia="zh-CN"/>
              </w:rPr>
              <w:t>氯化氢</w:t>
            </w:r>
            <w:r>
              <w:rPr>
                <w:rFonts w:hint="eastAsia" w:ascii="Times New Roman" w:hAnsi="Times New Roman" w:eastAsia="宋体" w:cs="Times New Roman"/>
                <w:b w:val="0"/>
                <w:bCs w:val="0"/>
                <w:color w:val="auto"/>
                <w:kern w:val="0"/>
                <w:sz w:val="24"/>
                <w:szCs w:val="24"/>
                <w:highlight w:val="none"/>
                <w:lang w:val="en-US" w:eastAsia="zh-CN"/>
              </w:rPr>
              <w:t>增量为0.0</w:t>
            </w:r>
            <w:r>
              <w:rPr>
                <w:rFonts w:hint="eastAsia" w:cs="Times New Roman"/>
                <w:b w:val="0"/>
                <w:bCs w:val="0"/>
                <w:color w:val="auto"/>
                <w:kern w:val="0"/>
                <w:sz w:val="24"/>
                <w:szCs w:val="24"/>
                <w:highlight w:val="none"/>
                <w:lang w:val="en-US" w:eastAsia="zh-CN"/>
              </w:rPr>
              <w:t>1234</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，氟化物</w:t>
            </w:r>
            <w:r>
              <w:rPr>
                <w:rFonts w:hint="eastAsia" w:ascii="Times New Roman" w:hAnsi="Times New Roman" w:eastAsia="宋体" w:cs="Times New Roman"/>
                <w:b w:val="0"/>
                <w:bCs w:val="0"/>
                <w:color w:val="auto"/>
                <w:kern w:val="0"/>
                <w:sz w:val="24"/>
                <w:szCs w:val="24"/>
                <w:highlight w:val="none"/>
                <w:lang w:val="en-US" w:eastAsia="zh-CN"/>
              </w:rPr>
              <w:t>增量为</w:t>
            </w:r>
            <w:r>
              <w:rPr>
                <w:rFonts w:hint="eastAsia" w:cs="Times New Roman"/>
                <w:b w:val="0"/>
                <w:bCs w:val="0"/>
                <w:color w:val="auto"/>
                <w:kern w:val="0"/>
                <w:sz w:val="24"/>
                <w:szCs w:val="24"/>
                <w:highlight w:val="none"/>
                <w:lang w:val="en-US" w:eastAsia="zh-CN"/>
              </w:rPr>
              <w:t>0.3962</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。其中，有组织</w:t>
            </w:r>
            <w:r>
              <w:rPr>
                <w:rFonts w:hint="default" w:ascii="Times New Roman" w:hAnsi="Times New Roman" w:eastAsia="宋体" w:cs="Times New Roman"/>
                <w:bCs/>
                <w:color w:val="auto"/>
                <w:sz w:val="24"/>
                <w:szCs w:val="24"/>
                <w:highlight w:val="none"/>
              </w:rPr>
              <w:t>废气</w:t>
            </w:r>
            <w:r>
              <w:rPr>
                <w:rFonts w:hint="eastAsia" w:ascii="Times New Roman" w:hAnsi="Times New Roman" w:eastAsia="宋体" w:cs="Times New Roman"/>
                <w:bCs/>
                <w:color w:val="auto"/>
                <w:sz w:val="24"/>
                <w:szCs w:val="24"/>
                <w:highlight w:val="none"/>
                <w:lang w:eastAsia="zh-CN"/>
              </w:rPr>
              <w:t>（</w:t>
            </w:r>
            <w:r>
              <w:rPr>
                <w:rFonts w:hint="eastAsia" w:cs="Times New Roman"/>
                <w:b w:val="0"/>
                <w:bCs w:val="0"/>
                <w:color w:val="auto"/>
                <w:kern w:val="0"/>
                <w:sz w:val="24"/>
                <w:szCs w:val="24"/>
                <w:highlight w:val="none"/>
                <w:lang w:val="en-US" w:eastAsia="zh-CN"/>
              </w:rPr>
              <w:t>DA002</w:t>
            </w:r>
            <w:r>
              <w:rPr>
                <w:rFonts w:hint="eastAsia" w:ascii="Times New Roman" w:hAnsi="Times New Roman" w:eastAsia="宋体" w:cs="Times New Roman"/>
                <w:bCs/>
                <w:color w:val="auto"/>
                <w:sz w:val="24"/>
                <w:szCs w:val="24"/>
                <w:highlight w:val="none"/>
                <w:lang w:eastAsia="zh-CN"/>
              </w:rPr>
              <w:t>）增</w:t>
            </w:r>
            <w:r>
              <w:rPr>
                <w:rFonts w:hint="default" w:ascii="Times New Roman" w:hAnsi="Times New Roman" w:eastAsia="宋体" w:cs="Times New Roman"/>
                <w:bCs/>
                <w:color w:val="auto"/>
                <w:sz w:val="24"/>
                <w:szCs w:val="24"/>
                <w:highlight w:val="none"/>
              </w:rPr>
              <w:t>量：</w:t>
            </w:r>
            <w:r>
              <w:rPr>
                <w:rFonts w:hint="eastAsia" w:cs="Times New Roman"/>
                <w:b w:val="0"/>
                <w:bCs w:val="0"/>
                <w:color w:val="auto"/>
                <w:kern w:val="0"/>
                <w:sz w:val="24"/>
                <w:szCs w:val="24"/>
                <w:highlight w:val="none"/>
                <w:lang w:val="en-US" w:eastAsia="zh-CN"/>
              </w:rPr>
              <w:t>4950</w:t>
            </w:r>
            <w:r>
              <w:rPr>
                <w:rFonts w:hint="eastAsia" w:ascii="Times New Roman" w:hAnsi="Times New Roman" w:eastAsia="宋体" w:cs="Times New Roman"/>
                <w:b w:val="0"/>
                <w:bCs w:val="0"/>
                <w:color w:val="auto"/>
                <w:kern w:val="0"/>
                <w:sz w:val="24"/>
                <w:szCs w:val="24"/>
                <w:highlight w:val="none"/>
                <w:lang w:val="en-US" w:eastAsia="zh-CN"/>
              </w:rPr>
              <w:t>万m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/a；有组织颗粒物增量为0.0</w:t>
            </w:r>
            <w:r>
              <w:rPr>
                <w:rFonts w:hint="eastAsia" w:cs="Times New Roman"/>
                <w:b w:val="0"/>
                <w:bCs w:val="0"/>
                <w:color w:val="auto"/>
                <w:kern w:val="0"/>
                <w:sz w:val="24"/>
                <w:szCs w:val="24"/>
                <w:highlight w:val="none"/>
                <w:lang w:val="en-US" w:eastAsia="zh-CN"/>
              </w:rPr>
              <w:t>27</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，硫酸雾</w:t>
            </w:r>
            <w:r>
              <w:rPr>
                <w:rFonts w:hint="eastAsia" w:ascii="Times New Roman" w:hAnsi="Times New Roman" w:eastAsia="宋体" w:cs="Times New Roman"/>
                <w:b w:val="0"/>
                <w:bCs w:val="0"/>
                <w:color w:val="auto"/>
                <w:kern w:val="0"/>
                <w:sz w:val="24"/>
                <w:szCs w:val="24"/>
                <w:highlight w:val="none"/>
                <w:lang w:val="en-US" w:eastAsia="zh-CN"/>
              </w:rPr>
              <w:t>增量为</w:t>
            </w:r>
            <w:r>
              <w:rPr>
                <w:rFonts w:hint="eastAsia" w:cs="Times New Roman"/>
                <w:b w:val="0"/>
                <w:bCs w:val="0"/>
                <w:color w:val="auto"/>
                <w:kern w:val="0"/>
                <w:sz w:val="24"/>
                <w:szCs w:val="24"/>
                <w:highlight w:val="none"/>
                <w:lang w:val="en-US" w:eastAsia="zh-CN"/>
              </w:rPr>
              <w:t>0.00002</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color w:val="auto"/>
                <w:sz w:val="24"/>
                <w:highlight w:val="none"/>
                <w:lang w:val="zh-CN" w:eastAsia="zh-CN"/>
              </w:rPr>
              <w:t>氯化氢</w:t>
            </w:r>
            <w:r>
              <w:rPr>
                <w:rFonts w:hint="eastAsia" w:ascii="Times New Roman" w:hAnsi="Times New Roman" w:eastAsia="宋体" w:cs="Times New Roman"/>
                <w:b w:val="0"/>
                <w:bCs w:val="0"/>
                <w:color w:val="auto"/>
                <w:kern w:val="0"/>
                <w:sz w:val="24"/>
                <w:szCs w:val="24"/>
                <w:highlight w:val="none"/>
                <w:lang w:val="en-US" w:eastAsia="zh-CN"/>
              </w:rPr>
              <w:t>增量为0.0</w:t>
            </w:r>
            <w:r>
              <w:rPr>
                <w:rFonts w:hint="eastAsia" w:cs="Times New Roman"/>
                <w:b w:val="0"/>
                <w:bCs w:val="0"/>
                <w:color w:val="auto"/>
                <w:kern w:val="0"/>
                <w:sz w:val="24"/>
                <w:szCs w:val="24"/>
                <w:highlight w:val="none"/>
                <w:lang w:val="en-US" w:eastAsia="zh-CN"/>
              </w:rPr>
              <w:t>0584</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，氟化物</w:t>
            </w:r>
            <w:r>
              <w:rPr>
                <w:rFonts w:hint="eastAsia" w:ascii="Times New Roman" w:hAnsi="Times New Roman" w:eastAsia="宋体" w:cs="Times New Roman"/>
                <w:b w:val="0"/>
                <w:bCs w:val="0"/>
                <w:color w:val="auto"/>
                <w:kern w:val="0"/>
                <w:sz w:val="24"/>
                <w:szCs w:val="24"/>
                <w:highlight w:val="none"/>
                <w:lang w:val="en-US" w:eastAsia="zh-CN"/>
              </w:rPr>
              <w:t>增量为</w:t>
            </w:r>
            <w:r>
              <w:rPr>
                <w:rFonts w:hint="eastAsia" w:cs="Times New Roman"/>
                <w:b w:val="0"/>
                <w:bCs w:val="0"/>
                <w:color w:val="auto"/>
                <w:kern w:val="0"/>
                <w:sz w:val="24"/>
                <w:szCs w:val="24"/>
                <w:highlight w:val="none"/>
                <w:lang w:val="en-US" w:eastAsia="zh-CN"/>
              </w:rPr>
              <w:t>0.1877</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；无组织</w:t>
            </w:r>
            <w:r>
              <w:rPr>
                <w:rFonts w:hint="eastAsia" w:ascii="Times New Roman" w:hAnsi="Times New Roman" w:eastAsia="宋体" w:cs="Times New Roman"/>
                <w:b w:val="0"/>
                <w:bCs w:val="0"/>
                <w:color w:val="auto"/>
                <w:kern w:val="0"/>
                <w:sz w:val="24"/>
                <w:szCs w:val="24"/>
                <w:highlight w:val="none"/>
                <w:lang w:val="en-US" w:eastAsia="zh-CN"/>
              </w:rPr>
              <w:t>颗粒物增量为0.0</w:t>
            </w:r>
            <w:r>
              <w:rPr>
                <w:rFonts w:hint="eastAsia" w:cs="Times New Roman"/>
                <w:b w:val="0"/>
                <w:bCs w:val="0"/>
                <w:color w:val="auto"/>
                <w:kern w:val="0"/>
                <w:sz w:val="24"/>
                <w:szCs w:val="24"/>
                <w:highlight w:val="none"/>
                <w:lang w:val="en-US" w:eastAsia="zh-CN"/>
              </w:rPr>
              <w:t>1</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硫酸雾</w:t>
            </w:r>
            <w:r>
              <w:rPr>
                <w:rFonts w:hint="eastAsia" w:ascii="Times New Roman" w:hAnsi="Times New Roman" w:eastAsia="宋体" w:cs="Times New Roman"/>
                <w:b w:val="0"/>
                <w:bCs w:val="0"/>
                <w:color w:val="auto"/>
                <w:kern w:val="0"/>
                <w:sz w:val="24"/>
                <w:szCs w:val="24"/>
                <w:highlight w:val="none"/>
                <w:lang w:val="en-US" w:eastAsia="zh-CN"/>
              </w:rPr>
              <w:t>增量为</w:t>
            </w:r>
            <w:r>
              <w:rPr>
                <w:rFonts w:hint="eastAsia" w:cs="Times New Roman"/>
                <w:b w:val="0"/>
                <w:bCs w:val="0"/>
                <w:color w:val="auto"/>
                <w:kern w:val="0"/>
                <w:sz w:val="24"/>
                <w:szCs w:val="24"/>
                <w:highlight w:val="none"/>
                <w:lang w:val="en-US" w:eastAsia="zh-CN"/>
              </w:rPr>
              <w:t>0.00002</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color w:val="auto"/>
                <w:sz w:val="24"/>
                <w:highlight w:val="none"/>
                <w:lang w:val="zh-CN" w:eastAsia="zh-CN"/>
              </w:rPr>
              <w:t>氯化氢</w:t>
            </w:r>
            <w:r>
              <w:rPr>
                <w:rFonts w:hint="eastAsia" w:ascii="Times New Roman" w:hAnsi="Times New Roman" w:eastAsia="宋体" w:cs="Times New Roman"/>
                <w:b w:val="0"/>
                <w:bCs w:val="0"/>
                <w:color w:val="auto"/>
                <w:kern w:val="0"/>
                <w:sz w:val="24"/>
                <w:szCs w:val="24"/>
                <w:highlight w:val="none"/>
                <w:lang w:val="en-US" w:eastAsia="zh-CN"/>
              </w:rPr>
              <w:t>增量为0.0</w:t>
            </w:r>
            <w:r>
              <w:rPr>
                <w:rFonts w:hint="eastAsia" w:cs="Times New Roman"/>
                <w:b w:val="0"/>
                <w:bCs w:val="0"/>
                <w:color w:val="auto"/>
                <w:kern w:val="0"/>
                <w:sz w:val="24"/>
                <w:szCs w:val="24"/>
                <w:highlight w:val="none"/>
                <w:lang w:val="en-US" w:eastAsia="zh-CN"/>
              </w:rPr>
              <w:t>0654</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氟化物</w:t>
            </w:r>
            <w:r>
              <w:rPr>
                <w:rFonts w:hint="eastAsia" w:ascii="Times New Roman" w:hAnsi="Times New Roman" w:eastAsia="宋体" w:cs="Times New Roman"/>
                <w:b w:val="0"/>
                <w:bCs w:val="0"/>
                <w:color w:val="auto"/>
                <w:kern w:val="0"/>
                <w:sz w:val="24"/>
                <w:szCs w:val="24"/>
                <w:highlight w:val="none"/>
                <w:lang w:val="en-US" w:eastAsia="zh-CN"/>
              </w:rPr>
              <w:t>增量为</w:t>
            </w:r>
            <w:r>
              <w:rPr>
                <w:rFonts w:hint="eastAsia" w:cs="Times New Roman"/>
                <w:b w:val="0"/>
                <w:bCs w:val="0"/>
                <w:color w:val="auto"/>
                <w:kern w:val="0"/>
                <w:sz w:val="24"/>
                <w:szCs w:val="24"/>
                <w:highlight w:val="none"/>
                <w:lang w:val="en-US" w:eastAsia="zh-CN"/>
              </w:rPr>
              <w:t>0.2085</w:t>
            </w:r>
            <w:r>
              <w:rPr>
                <w:rFonts w:hint="eastAsia" w:ascii="Times New Roman" w:hAnsi="Times New Roman" w:eastAsia="宋体" w:cs="Times New Roman"/>
                <w:b w:val="0"/>
                <w:bCs w:val="0"/>
                <w:color w:val="auto"/>
                <w:kern w:val="0"/>
                <w:sz w:val="24"/>
                <w:szCs w:val="24"/>
                <w:highlight w:val="none"/>
                <w:lang w:val="en-US" w:eastAsia="zh-CN"/>
              </w:rPr>
              <w:t>t/a</w:t>
            </w:r>
            <w:r>
              <w:rPr>
                <w:rFonts w:hint="eastAsia" w:cs="Times New Roman"/>
                <w:b w:val="0"/>
                <w:bCs w:val="0"/>
                <w:color w:val="auto"/>
                <w:kern w:val="0"/>
                <w:sz w:val="24"/>
                <w:szCs w:val="24"/>
                <w:highlight w:val="none"/>
                <w:lang w:val="en-US" w:eastAsia="zh-CN"/>
              </w:rPr>
              <w:t>。</w:t>
            </w:r>
          </w:p>
          <w:p w14:paraId="6714053A">
            <w:pPr>
              <w:pStyle w:val="15"/>
              <w:snapToGrid w:val="0"/>
              <w:spacing w:line="360" w:lineRule="auto"/>
              <w:ind w:firstLine="480" w:firstLineChars="200"/>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zh-CN" w:eastAsia="zh-CN" w:bidi="ar-SA"/>
              </w:rPr>
              <w:t>）废水</w:t>
            </w:r>
          </w:p>
          <w:p w14:paraId="088599DC">
            <w:pPr>
              <w:pStyle w:val="15"/>
              <w:snapToGrid w:val="0"/>
              <w:spacing w:line="360" w:lineRule="auto"/>
              <w:ind w:firstLine="480" w:firstLineChars="200"/>
              <w:rPr>
                <w:rFonts w:hint="default" w:ascii="Times New Roman" w:hAnsi="Times New Roman" w:eastAsia="宋体" w:cs="Times New Roman"/>
                <w:color w:val="auto"/>
                <w:kern w:val="2"/>
                <w:sz w:val="24"/>
                <w:szCs w:val="24"/>
                <w:highlight w:val="none"/>
                <w:lang w:val="zh-CN" w:eastAsia="zh-CN" w:bidi="ar-SA"/>
              </w:rPr>
            </w:pPr>
            <w:r>
              <w:rPr>
                <w:rFonts w:hint="eastAsia" w:ascii="Times New Roman" w:hAnsi="Times New Roman" w:cs="Times New Roman"/>
                <w:color w:val="auto"/>
                <w:kern w:val="2"/>
                <w:sz w:val="24"/>
                <w:szCs w:val="24"/>
                <w:highlight w:val="none"/>
                <w:lang w:val="zh-CN" w:eastAsia="zh-CN" w:bidi="ar-SA"/>
              </w:rPr>
              <w:t>本</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sz w:val="24"/>
                <w:highlight w:val="none"/>
              </w:rPr>
              <w:t>生产过程</w:t>
            </w:r>
            <w:r>
              <w:rPr>
                <w:rFonts w:hint="eastAsia" w:cs="Times New Roman"/>
                <w:color w:val="auto"/>
                <w:sz w:val="24"/>
                <w:highlight w:val="none"/>
                <w:lang w:eastAsia="zh-CN"/>
              </w:rPr>
              <w:t>产生的弱酸清洗废液、预水洗废水、二次清洗废水、碱液喷淋洗涤废水</w:t>
            </w:r>
            <w:r>
              <w:rPr>
                <w:rFonts w:hint="eastAsia" w:cs="Times New Roman"/>
                <w:color w:val="auto"/>
                <w:sz w:val="24"/>
                <w:highlight w:val="none"/>
                <w:lang w:val="en-US" w:eastAsia="zh-CN"/>
              </w:rPr>
              <w:t>经收集后统一进入调节池、生产废水处理设施处理达到《城市污水再生利用 工业用水水质》</w:t>
            </w:r>
            <w:r>
              <w:rPr>
                <w:rFonts w:hint="default" w:ascii="Times New Roman" w:hAnsi="Times New Roman" w:cs="Times New Roman"/>
                <w:color w:val="auto"/>
                <w:sz w:val="24"/>
                <w:highlight w:val="none"/>
                <w:lang w:val="en-US" w:eastAsia="zh-CN"/>
              </w:rPr>
              <w:t>（GB/T 19923-2005）</w:t>
            </w:r>
            <w:r>
              <w:rPr>
                <w:rFonts w:hint="eastAsia" w:cs="Times New Roman"/>
                <w:color w:val="auto"/>
                <w:sz w:val="24"/>
                <w:highlight w:val="none"/>
                <w:lang w:val="en-US" w:eastAsia="zh-CN"/>
              </w:rPr>
              <w:t>中的洗涤用水标准后回用于水洗补水，不外排</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食堂</w:t>
            </w:r>
            <w:r>
              <w:rPr>
                <w:rFonts w:hint="eastAsia" w:ascii="Times New Roman" w:hAnsi="Times New Roman" w:eastAsia="宋体" w:cs="Times New Roman"/>
                <w:color w:val="auto"/>
                <w:sz w:val="24"/>
                <w:highlight w:val="none"/>
                <w:lang w:val="en-US" w:eastAsia="zh-CN"/>
              </w:rPr>
              <w:t>含油</w:t>
            </w:r>
            <w:r>
              <w:rPr>
                <w:rFonts w:hint="default" w:ascii="Times New Roman" w:hAnsi="Times New Roman" w:eastAsia="宋体" w:cs="Times New Roman"/>
                <w:color w:val="auto"/>
                <w:sz w:val="24"/>
                <w:highlight w:val="none"/>
                <w:lang w:val="en-US" w:eastAsia="zh-CN"/>
              </w:rPr>
              <w:t>废水经隔油池处理后与</w:t>
            </w:r>
            <w:r>
              <w:rPr>
                <w:rFonts w:hint="eastAsia" w:cs="Times New Roman"/>
                <w:color w:val="auto"/>
                <w:sz w:val="24"/>
                <w:highlight w:val="none"/>
                <w:lang w:val="en-US" w:eastAsia="zh-CN"/>
              </w:rPr>
              <w:t>其他</w:t>
            </w:r>
            <w:r>
              <w:rPr>
                <w:rFonts w:hint="default" w:ascii="Times New Roman" w:hAnsi="Times New Roman" w:eastAsia="宋体" w:cs="Times New Roman"/>
                <w:color w:val="auto"/>
                <w:sz w:val="24"/>
                <w:highlight w:val="none"/>
                <w:lang w:val="en-US" w:eastAsia="zh-CN"/>
              </w:rPr>
              <w:t>生活污水</w:t>
            </w:r>
            <w:r>
              <w:rPr>
                <w:rFonts w:hint="eastAsia" w:cs="Times New Roman"/>
                <w:color w:val="auto"/>
                <w:sz w:val="24"/>
                <w:highlight w:val="none"/>
                <w:lang w:val="en-US" w:eastAsia="zh-CN"/>
              </w:rPr>
              <w:t>一并进入</w:t>
            </w:r>
            <w:r>
              <w:rPr>
                <w:rFonts w:hint="default" w:ascii="Times New Roman" w:hAnsi="Times New Roman" w:eastAsia="宋体" w:cs="Times New Roman"/>
                <w:color w:val="auto"/>
                <w:sz w:val="24"/>
                <w:highlight w:val="none"/>
                <w:lang w:val="en-US" w:eastAsia="zh-CN"/>
              </w:rPr>
              <w:t>化粪池预处理后，再进入</w:t>
            </w:r>
            <w:r>
              <w:rPr>
                <w:rFonts w:hint="eastAsia" w:cs="Times New Roman"/>
                <w:color w:val="auto"/>
                <w:sz w:val="24"/>
                <w:highlight w:val="none"/>
                <w:lang w:val="en-US" w:eastAsia="zh-CN"/>
              </w:rPr>
              <w:t>生活</w:t>
            </w:r>
            <w:r>
              <w:rPr>
                <w:rFonts w:hint="default" w:ascii="Times New Roman" w:hAnsi="Times New Roman" w:eastAsia="宋体" w:cs="Times New Roman"/>
                <w:color w:val="auto"/>
                <w:sz w:val="24"/>
                <w:highlight w:val="none"/>
                <w:lang w:val="en-US" w:eastAsia="zh-CN"/>
              </w:rPr>
              <w:t>污水处理</w:t>
            </w:r>
            <w:r>
              <w:rPr>
                <w:rFonts w:hint="eastAsia" w:cs="Times New Roman"/>
                <w:color w:val="auto"/>
                <w:sz w:val="24"/>
                <w:highlight w:val="none"/>
                <w:lang w:val="en-US" w:eastAsia="zh-CN"/>
              </w:rPr>
              <w:t>设施</w:t>
            </w:r>
            <w:r>
              <w:rPr>
                <w:rFonts w:hint="default" w:ascii="Times New Roman" w:hAnsi="Times New Roman" w:eastAsia="宋体" w:cs="Times New Roman"/>
                <w:color w:val="auto"/>
                <w:sz w:val="24"/>
                <w:highlight w:val="none"/>
                <w:lang w:val="en-US" w:eastAsia="zh-CN"/>
              </w:rPr>
              <w:t>处理</w:t>
            </w:r>
            <w:r>
              <w:rPr>
                <w:rFonts w:hint="eastAsia" w:cs="Times New Roman"/>
                <w:color w:val="auto"/>
                <w:sz w:val="24"/>
                <w:highlight w:val="none"/>
                <w:lang w:val="en-US" w:eastAsia="zh-CN"/>
              </w:rPr>
              <w:t>达</w:t>
            </w:r>
            <w:r>
              <w:rPr>
                <w:rFonts w:hint="eastAsia"/>
                <w:color w:val="auto"/>
                <w:sz w:val="24"/>
                <w:szCs w:val="24"/>
                <w:highlight w:val="none"/>
                <w:lang w:val="en-US" w:eastAsia="zh-CN"/>
              </w:rPr>
              <w:t>《城市污水再生利</w:t>
            </w:r>
            <w:r>
              <w:rPr>
                <w:rFonts w:hint="eastAsia" w:ascii="Times New Roman" w:hAnsi="Times New Roman" w:eastAsia="宋体" w:cs="Times New Roman"/>
                <w:color w:val="auto"/>
                <w:sz w:val="24"/>
                <w:szCs w:val="24"/>
                <w:highlight w:val="none"/>
                <w:lang w:val="en-US" w:eastAsia="zh-CN"/>
              </w:rPr>
              <w:t>用 城市杂用水水质》</w:t>
            </w:r>
            <w:r>
              <w:rPr>
                <w:rFonts w:hint="default" w:ascii="Times New Roman" w:hAnsi="Times New Roman" w:eastAsia="宋体" w:cs="Times New Roman"/>
                <w:color w:val="auto"/>
                <w:sz w:val="24"/>
                <w:szCs w:val="24"/>
                <w:highlight w:val="none"/>
                <w:lang w:val="en-US" w:eastAsia="zh-CN"/>
              </w:rPr>
              <w:t>（GB/T18920-2020）</w:t>
            </w:r>
            <w:r>
              <w:rPr>
                <w:rFonts w:hint="eastAsia" w:ascii="Times New Roman" w:hAnsi="Times New Roman" w:eastAsia="宋体" w:cs="Times New Roman"/>
                <w:color w:val="auto"/>
                <w:sz w:val="24"/>
                <w:szCs w:val="24"/>
                <w:highlight w:val="none"/>
                <w:lang w:val="en-US" w:eastAsia="zh-CN"/>
              </w:rPr>
              <w:t>中城市绿化、</w:t>
            </w:r>
            <w:r>
              <w:rPr>
                <w:rFonts w:hint="eastAsia" w:cs="Times New Roman"/>
                <w:color w:val="auto"/>
                <w:sz w:val="24"/>
                <w:szCs w:val="24"/>
                <w:highlight w:val="none"/>
                <w:lang w:val="en-US" w:eastAsia="zh-CN"/>
              </w:rPr>
              <w:t>道路广场浇洒</w:t>
            </w:r>
            <w:r>
              <w:rPr>
                <w:rFonts w:hint="eastAsia" w:ascii="Times New Roman" w:hAnsi="Times New Roman" w:eastAsia="宋体" w:cs="Times New Roman"/>
                <w:color w:val="auto"/>
                <w:sz w:val="24"/>
                <w:szCs w:val="24"/>
                <w:highlight w:val="none"/>
                <w:lang w:val="en-US" w:eastAsia="zh-CN"/>
              </w:rPr>
              <w:t>、消防、建筑施工标准后</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回</w:t>
            </w:r>
            <w:r>
              <w:rPr>
                <w:rFonts w:hint="eastAsia" w:ascii="Times New Roman" w:hAnsi="Times New Roman" w:eastAsia="宋体" w:cs="Times New Roman"/>
                <w:color w:val="auto"/>
                <w:sz w:val="24"/>
                <w:szCs w:val="24"/>
                <w:highlight w:val="none"/>
                <w:lang w:val="en-US" w:eastAsia="zh-CN"/>
              </w:rPr>
              <w:t>用于项目区绿化</w:t>
            </w:r>
            <w:r>
              <w:rPr>
                <w:rFonts w:hint="eastAsia" w:cs="Times New Roman"/>
                <w:color w:val="auto"/>
                <w:sz w:val="24"/>
                <w:szCs w:val="24"/>
                <w:highlight w:val="none"/>
                <w:lang w:val="en-US" w:eastAsia="zh-CN"/>
              </w:rPr>
              <w:t>和</w:t>
            </w:r>
            <w:r>
              <w:rPr>
                <w:rFonts w:hint="eastAsia" w:cs="Times New Roman"/>
                <w:bCs/>
                <w:color w:val="auto"/>
                <w:sz w:val="24"/>
                <w:szCs w:val="24"/>
                <w:highlight w:val="none"/>
                <w:lang w:val="en-US" w:eastAsia="zh-CN"/>
              </w:rPr>
              <w:t>道路广场浇洒</w:t>
            </w:r>
            <w:r>
              <w:rPr>
                <w:rFonts w:hint="eastAsia" w:ascii="Times New Roman" w:hAnsi="Times New Roman" w:eastAsia="宋体" w:cs="Times New Roman"/>
                <w:color w:val="auto"/>
                <w:sz w:val="24"/>
                <w:szCs w:val="24"/>
                <w:highlight w:val="none"/>
                <w:lang w:val="en-US" w:eastAsia="zh-CN"/>
              </w:rPr>
              <w:t>，不外排</w:t>
            </w:r>
            <w:r>
              <w:rPr>
                <w:rFonts w:hint="default" w:ascii="Times New Roman" w:hAnsi="Times New Roman" w:eastAsia="宋体" w:cs="Times New Roman"/>
                <w:color w:val="auto"/>
                <w:kern w:val="2"/>
                <w:sz w:val="24"/>
                <w:szCs w:val="24"/>
                <w:highlight w:val="none"/>
                <w:lang w:val="zh-CN" w:eastAsia="zh-CN" w:bidi="ar-SA"/>
              </w:rPr>
              <w:t>。</w:t>
            </w:r>
          </w:p>
          <w:p w14:paraId="74192101">
            <w:pPr>
              <w:pStyle w:val="15"/>
              <w:snapToGrid w:val="0"/>
              <w:spacing w:line="360" w:lineRule="auto"/>
              <w:ind w:firstLine="480" w:firstLineChars="200"/>
              <w:rPr>
                <w:rFonts w:hint="default" w:ascii="Times New Roman" w:hAnsi="Times New Roman" w:eastAsia="宋体" w:cs="Times New Roman"/>
                <w:color w:val="auto"/>
                <w:kern w:val="2"/>
                <w:sz w:val="24"/>
                <w:szCs w:val="24"/>
                <w:highlight w:val="none"/>
                <w:lang w:val="zh-CN" w:eastAsia="zh-CN" w:bidi="ar-SA"/>
              </w:rPr>
            </w:pPr>
            <w:r>
              <w:rPr>
                <w:rFonts w:hint="eastAsia" w:ascii="Times New Roman" w:hAnsi="Times New Roman" w:cs="Times New Roman"/>
                <w:color w:val="auto"/>
                <w:kern w:val="2"/>
                <w:sz w:val="24"/>
                <w:szCs w:val="24"/>
                <w:highlight w:val="none"/>
                <w:lang w:val="zh-CN" w:eastAsia="zh-CN" w:bidi="ar-SA"/>
              </w:rPr>
              <w:t>因此，</w:t>
            </w:r>
            <w:r>
              <w:rPr>
                <w:rFonts w:hint="default" w:ascii="Times New Roman" w:hAnsi="Times New Roman" w:eastAsia="宋体" w:cs="Times New Roman"/>
                <w:color w:val="auto"/>
                <w:kern w:val="2"/>
                <w:sz w:val="24"/>
                <w:szCs w:val="24"/>
                <w:highlight w:val="none"/>
                <w:lang w:val="zh-CN" w:eastAsia="zh-CN" w:bidi="ar-SA"/>
              </w:rPr>
              <w:t>不设总量控制指标。</w:t>
            </w:r>
          </w:p>
          <w:p w14:paraId="16F3C9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（3）固体废物</w:t>
            </w:r>
          </w:p>
          <w:p w14:paraId="3A7484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不</w:t>
            </w:r>
            <w:r>
              <w:rPr>
                <w:rFonts w:hint="eastAsia"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tc>
      </w:tr>
    </w:tbl>
    <w:p w14:paraId="26CE91E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25" w:name="_Toc32349"/>
      <w:bookmarkStart w:id="26" w:name="_Toc19946"/>
      <w:r>
        <w:rPr>
          <w:rFonts w:hint="default" w:ascii="Times New Roman" w:hAnsi="Times New Roman" w:eastAsia="宋体" w:cs="Times New Roman"/>
          <w:b/>
          <w:bCs/>
          <w:snapToGrid w:val="0"/>
          <w:color w:val="auto"/>
          <w:sz w:val="30"/>
          <w:szCs w:val="30"/>
          <w:highlight w:val="none"/>
        </w:rPr>
        <w:t>四、主要环境影响和保护措施</w:t>
      </w:r>
      <w:bookmarkEnd w:id="25"/>
      <w:bookmarkEnd w:id="26"/>
    </w:p>
    <w:tbl>
      <w:tblPr>
        <w:tblStyle w:val="2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14:paraId="66412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58" w:hRule="atLeast"/>
          <w:jc w:val="center"/>
        </w:trPr>
        <w:tc>
          <w:tcPr>
            <w:tcW w:w="358" w:type="dxa"/>
            <w:tcMar>
              <w:left w:w="28" w:type="dxa"/>
              <w:right w:w="28" w:type="dxa"/>
            </w:tcMar>
            <w:vAlign w:val="center"/>
          </w:tcPr>
          <w:p w14:paraId="63DDD793">
            <w:pPr>
              <w:pStyle w:val="22"/>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14:paraId="01717AB6">
            <w:pPr>
              <w:pStyle w:val="22"/>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14:paraId="42E87915">
            <w:pPr>
              <w:pStyle w:val="22"/>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14:paraId="09248957">
            <w:pPr>
              <w:pStyle w:val="22"/>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14:paraId="1593FC5F">
            <w:pPr>
              <w:pStyle w:val="22"/>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23" w:type="dxa"/>
            <w:vAlign w:val="center"/>
          </w:tcPr>
          <w:p w14:paraId="322298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1、废气</w:t>
            </w:r>
          </w:p>
          <w:p w14:paraId="17CB70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项目施工期产生的废气主要为</w:t>
            </w:r>
            <w:r>
              <w:rPr>
                <w:rFonts w:hint="eastAsia" w:ascii="Times New Roman" w:hAnsi="Times New Roman" w:eastAsia="宋体" w:cs="Times New Roman"/>
                <w:color w:val="auto"/>
                <w:sz w:val="24"/>
                <w:szCs w:val="24"/>
                <w:highlight w:val="none"/>
                <w:lang w:val="en-US" w:eastAsia="zh-CN"/>
              </w:rPr>
              <w:t>车辆尾气及机械废气、扬尘、</w:t>
            </w:r>
            <w:r>
              <w:rPr>
                <w:rFonts w:hint="default" w:ascii="Times New Roman" w:hAnsi="Times New Roman" w:eastAsia="宋体" w:cs="Times New Roman"/>
                <w:color w:val="auto"/>
                <w:sz w:val="24"/>
                <w:szCs w:val="24"/>
                <w:highlight w:val="none"/>
                <w:lang w:val="en-US" w:eastAsia="zh-CN"/>
              </w:rPr>
              <w:t>焊接烟尘。</w:t>
            </w:r>
          </w:p>
          <w:p w14:paraId="2CE271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建设单位应采取以下措施进行粉尘防治：</w:t>
            </w:r>
          </w:p>
          <w:p w14:paraId="31B76A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fldChar w:fldCharType="begin"/>
            </w:r>
            <w:r>
              <w:rPr>
                <w:rFonts w:hint="default" w:ascii="Times New Roman" w:hAnsi="Times New Roman" w:eastAsia="宋体" w:cs="Times New Roman"/>
                <w:color w:val="auto"/>
                <w:sz w:val="24"/>
                <w:szCs w:val="24"/>
                <w:highlight w:val="none"/>
                <w:lang w:val="zh-CN" w:eastAsia="zh-CN"/>
              </w:rPr>
              <w:instrText xml:space="preserve">= 1 \* GB3</w:instrText>
            </w:r>
            <w:r>
              <w:rPr>
                <w:rFonts w:hint="default" w:ascii="Times New Roman" w:hAnsi="Times New Roman" w:eastAsia="宋体" w:cs="Times New Roman"/>
                <w:color w:val="auto"/>
                <w:sz w:val="24"/>
                <w:szCs w:val="24"/>
                <w:highlight w:val="none"/>
                <w:lang w:val="zh-CN" w:eastAsia="zh-CN"/>
              </w:rPr>
              <w:fldChar w:fldCharType="separate"/>
            </w:r>
            <w:r>
              <w:rPr>
                <w:rFonts w:hint="default" w:ascii="Times New Roman" w:hAnsi="Times New Roman" w:eastAsia="宋体" w:cs="Times New Roman"/>
                <w:color w:val="auto"/>
                <w:sz w:val="24"/>
                <w:szCs w:val="24"/>
                <w:highlight w:val="none"/>
                <w:lang w:val="zh-CN" w:eastAsia="zh-CN"/>
              </w:rPr>
              <w:t>①</w:t>
            </w:r>
            <w:r>
              <w:rPr>
                <w:rFonts w:hint="default" w:ascii="Times New Roman" w:hAnsi="Times New Roman" w:eastAsia="宋体" w:cs="Times New Roman"/>
                <w:color w:val="auto"/>
                <w:sz w:val="24"/>
                <w:szCs w:val="24"/>
                <w:highlight w:val="none"/>
                <w:lang w:val="zh-CN" w:eastAsia="zh-CN"/>
              </w:rPr>
              <w:fldChar w:fldCharType="end"/>
            </w:r>
            <w:r>
              <w:rPr>
                <w:rFonts w:hint="default" w:ascii="Times New Roman" w:hAnsi="Times New Roman" w:eastAsia="宋体" w:cs="Times New Roman"/>
                <w:color w:val="auto"/>
                <w:sz w:val="24"/>
                <w:szCs w:val="24"/>
                <w:highlight w:val="none"/>
                <w:lang w:val="zh-CN" w:eastAsia="zh-CN"/>
              </w:rPr>
              <w:t>在施工时采取建立防护网及防护墙、实行封闭施工，尽量减少对周围居民的影响；</w:t>
            </w:r>
          </w:p>
          <w:p w14:paraId="23B390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fldChar w:fldCharType="begin"/>
            </w:r>
            <w:r>
              <w:rPr>
                <w:rFonts w:hint="default" w:ascii="Times New Roman" w:hAnsi="Times New Roman" w:eastAsia="宋体" w:cs="Times New Roman"/>
                <w:color w:val="auto"/>
                <w:sz w:val="24"/>
                <w:szCs w:val="24"/>
                <w:highlight w:val="none"/>
                <w:lang w:val="zh-CN" w:eastAsia="zh-CN"/>
              </w:rPr>
              <w:instrText xml:space="preserve">= 2 \* GB3</w:instrText>
            </w:r>
            <w:r>
              <w:rPr>
                <w:rFonts w:hint="default" w:ascii="Times New Roman" w:hAnsi="Times New Roman" w:eastAsia="宋体" w:cs="Times New Roman"/>
                <w:color w:val="auto"/>
                <w:sz w:val="24"/>
                <w:szCs w:val="24"/>
                <w:highlight w:val="none"/>
                <w:lang w:val="zh-CN" w:eastAsia="zh-CN"/>
              </w:rPr>
              <w:fldChar w:fldCharType="separate"/>
            </w:r>
            <w:r>
              <w:rPr>
                <w:rFonts w:hint="default" w:ascii="Times New Roman" w:hAnsi="Times New Roman" w:eastAsia="宋体" w:cs="Times New Roman"/>
                <w:color w:val="auto"/>
                <w:sz w:val="24"/>
                <w:szCs w:val="24"/>
                <w:highlight w:val="none"/>
                <w:lang w:val="zh-CN" w:eastAsia="zh-CN"/>
              </w:rPr>
              <w:t>②</w:t>
            </w:r>
            <w:r>
              <w:rPr>
                <w:rFonts w:hint="default" w:ascii="Times New Roman" w:hAnsi="Times New Roman" w:eastAsia="宋体" w:cs="Times New Roman"/>
                <w:color w:val="auto"/>
                <w:sz w:val="24"/>
                <w:szCs w:val="24"/>
                <w:highlight w:val="none"/>
                <w:lang w:val="zh-CN" w:eastAsia="zh-CN"/>
              </w:rPr>
              <w:fldChar w:fldCharType="end"/>
            </w:r>
            <w:r>
              <w:rPr>
                <w:rFonts w:hint="default" w:ascii="Times New Roman" w:hAnsi="Times New Roman" w:eastAsia="宋体" w:cs="Times New Roman"/>
                <w:color w:val="auto"/>
                <w:sz w:val="24"/>
                <w:szCs w:val="24"/>
                <w:highlight w:val="none"/>
                <w:lang w:val="zh-CN" w:eastAsia="zh-CN"/>
              </w:rPr>
              <w:t>施工物料运输和卸载应避免在大风天气时进行；</w:t>
            </w:r>
          </w:p>
          <w:p w14:paraId="790DCF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fldChar w:fldCharType="begin"/>
            </w:r>
            <w:r>
              <w:rPr>
                <w:rFonts w:hint="default" w:ascii="Times New Roman" w:hAnsi="Times New Roman" w:eastAsia="宋体" w:cs="Times New Roman"/>
                <w:color w:val="auto"/>
                <w:sz w:val="24"/>
                <w:szCs w:val="24"/>
                <w:highlight w:val="none"/>
                <w:lang w:val="zh-CN" w:eastAsia="zh-CN"/>
              </w:rPr>
              <w:instrText xml:space="preserve">= 3 \* GB3</w:instrText>
            </w:r>
            <w:r>
              <w:rPr>
                <w:rFonts w:hint="default" w:ascii="Times New Roman" w:hAnsi="Times New Roman" w:eastAsia="宋体" w:cs="Times New Roman"/>
                <w:color w:val="auto"/>
                <w:sz w:val="24"/>
                <w:szCs w:val="24"/>
                <w:highlight w:val="none"/>
                <w:lang w:val="zh-CN" w:eastAsia="zh-CN"/>
              </w:rPr>
              <w:fldChar w:fldCharType="separate"/>
            </w:r>
            <w:r>
              <w:rPr>
                <w:rFonts w:hint="default" w:ascii="Times New Roman" w:hAnsi="Times New Roman" w:eastAsia="宋体" w:cs="Times New Roman"/>
                <w:color w:val="auto"/>
                <w:sz w:val="24"/>
                <w:szCs w:val="24"/>
                <w:highlight w:val="none"/>
                <w:lang w:val="zh-CN" w:eastAsia="zh-CN"/>
              </w:rPr>
              <w:t>③</w:t>
            </w:r>
            <w:r>
              <w:rPr>
                <w:rFonts w:hint="default" w:ascii="Times New Roman" w:hAnsi="Times New Roman" w:eastAsia="宋体" w:cs="Times New Roman"/>
                <w:color w:val="auto"/>
                <w:sz w:val="24"/>
                <w:szCs w:val="24"/>
                <w:highlight w:val="none"/>
                <w:lang w:val="zh-CN" w:eastAsia="zh-CN"/>
              </w:rPr>
              <w:fldChar w:fldCharType="end"/>
            </w:r>
            <w:r>
              <w:rPr>
                <w:rFonts w:hint="default" w:ascii="Times New Roman" w:hAnsi="Times New Roman" w:eastAsia="宋体" w:cs="Times New Roman"/>
                <w:color w:val="auto"/>
                <w:sz w:val="24"/>
                <w:szCs w:val="24"/>
                <w:highlight w:val="none"/>
                <w:lang w:val="zh-CN" w:eastAsia="zh-CN"/>
              </w:rPr>
              <w:t>施工场地要定期进行洒水降尘；</w:t>
            </w:r>
          </w:p>
          <w:p w14:paraId="0C827A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fldChar w:fldCharType="begin"/>
            </w:r>
            <w:r>
              <w:rPr>
                <w:rFonts w:hint="default" w:ascii="Times New Roman" w:hAnsi="Times New Roman" w:eastAsia="宋体" w:cs="Times New Roman"/>
                <w:color w:val="auto"/>
                <w:sz w:val="24"/>
                <w:szCs w:val="24"/>
                <w:highlight w:val="none"/>
                <w:lang w:val="zh-CN" w:eastAsia="zh-CN"/>
              </w:rPr>
              <w:instrText xml:space="preserve">= 4 \* GB3</w:instrText>
            </w:r>
            <w:r>
              <w:rPr>
                <w:rFonts w:hint="default" w:ascii="Times New Roman" w:hAnsi="Times New Roman" w:eastAsia="宋体" w:cs="Times New Roman"/>
                <w:color w:val="auto"/>
                <w:sz w:val="24"/>
                <w:szCs w:val="24"/>
                <w:highlight w:val="none"/>
                <w:lang w:val="zh-CN" w:eastAsia="zh-CN"/>
              </w:rPr>
              <w:fldChar w:fldCharType="separate"/>
            </w:r>
            <w:r>
              <w:rPr>
                <w:rFonts w:hint="default" w:ascii="Times New Roman" w:hAnsi="Times New Roman" w:eastAsia="宋体" w:cs="Times New Roman"/>
                <w:color w:val="auto"/>
                <w:sz w:val="24"/>
                <w:szCs w:val="24"/>
                <w:highlight w:val="none"/>
                <w:lang w:val="zh-CN" w:eastAsia="zh-CN"/>
              </w:rPr>
              <w:t>④</w:t>
            </w:r>
            <w:r>
              <w:rPr>
                <w:rFonts w:hint="default" w:ascii="Times New Roman" w:hAnsi="Times New Roman" w:eastAsia="宋体" w:cs="Times New Roman"/>
                <w:color w:val="auto"/>
                <w:sz w:val="24"/>
                <w:szCs w:val="24"/>
                <w:highlight w:val="none"/>
                <w:lang w:val="zh-CN" w:eastAsia="zh-CN"/>
              </w:rPr>
              <w:fldChar w:fldCharType="end"/>
            </w:r>
            <w:r>
              <w:rPr>
                <w:rFonts w:hint="default" w:ascii="Times New Roman" w:hAnsi="Times New Roman" w:eastAsia="宋体" w:cs="Times New Roman"/>
                <w:color w:val="auto"/>
                <w:sz w:val="24"/>
                <w:szCs w:val="24"/>
                <w:highlight w:val="none"/>
                <w:lang w:val="zh-CN" w:eastAsia="zh-CN"/>
              </w:rPr>
              <w:t>物料堆存及运输采用封闭措施；</w:t>
            </w:r>
          </w:p>
          <w:p w14:paraId="6626C9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fldChar w:fldCharType="begin"/>
            </w:r>
            <w:r>
              <w:rPr>
                <w:rFonts w:hint="default" w:ascii="Times New Roman" w:hAnsi="Times New Roman" w:eastAsia="宋体" w:cs="Times New Roman"/>
                <w:color w:val="auto"/>
                <w:sz w:val="24"/>
                <w:szCs w:val="24"/>
                <w:highlight w:val="none"/>
                <w:lang w:val="zh-CN" w:eastAsia="zh-CN"/>
              </w:rPr>
              <w:instrText xml:space="preserve">= 5 \* GB3</w:instrText>
            </w:r>
            <w:r>
              <w:rPr>
                <w:rFonts w:hint="default" w:ascii="Times New Roman" w:hAnsi="Times New Roman" w:eastAsia="宋体" w:cs="Times New Roman"/>
                <w:color w:val="auto"/>
                <w:sz w:val="24"/>
                <w:szCs w:val="24"/>
                <w:highlight w:val="none"/>
                <w:lang w:val="zh-CN" w:eastAsia="zh-CN"/>
              </w:rPr>
              <w:fldChar w:fldCharType="separate"/>
            </w:r>
            <w:r>
              <w:rPr>
                <w:rFonts w:hint="default" w:ascii="Times New Roman" w:hAnsi="Times New Roman" w:eastAsia="宋体" w:cs="Times New Roman"/>
                <w:color w:val="auto"/>
                <w:sz w:val="24"/>
                <w:szCs w:val="24"/>
                <w:highlight w:val="none"/>
                <w:lang w:val="zh-CN" w:eastAsia="zh-CN"/>
              </w:rPr>
              <w:t>⑤</w:t>
            </w:r>
            <w:r>
              <w:rPr>
                <w:rFonts w:hint="default" w:ascii="Times New Roman" w:hAnsi="Times New Roman" w:eastAsia="宋体" w:cs="Times New Roman"/>
                <w:color w:val="auto"/>
                <w:sz w:val="24"/>
                <w:szCs w:val="24"/>
                <w:highlight w:val="none"/>
                <w:lang w:val="zh-CN" w:eastAsia="zh-CN"/>
              </w:rPr>
              <w:fldChar w:fldCharType="end"/>
            </w:r>
            <w:r>
              <w:rPr>
                <w:rFonts w:hint="default" w:ascii="Times New Roman" w:hAnsi="Times New Roman" w:eastAsia="宋体" w:cs="Times New Roman"/>
                <w:color w:val="auto"/>
                <w:sz w:val="24"/>
                <w:szCs w:val="24"/>
                <w:highlight w:val="none"/>
                <w:lang w:val="zh-CN" w:eastAsia="zh-CN"/>
              </w:rPr>
              <w:t>散料应进行围隔和覆盖，施工垃圾应及时清运，适量洒水，减少扬尘。</w:t>
            </w:r>
          </w:p>
          <w:p w14:paraId="3ADD57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在采取上述措施治理后，扬尘可以得到有效控制，对周边环境影响较小。</w:t>
            </w:r>
            <w:r>
              <w:rPr>
                <w:rFonts w:hint="default" w:ascii="Times New Roman" w:hAnsi="Times New Roman" w:eastAsia="宋体" w:cs="Times New Roman"/>
                <w:color w:val="auto"/>
                <w:sz w:val="24"/>
                <w:szCs w:val="24"/>
                <w:highlight w:val="none"/>
                <w:lang w:val="en-US" w:eastAsia="zh-CN"/>
              </w:rPr>
              <w:t>确保施工扬尘排放符合《大气污染物综合排放标准》（GB16297-1996）中的无组织排放监控浓度限值标准，即：颗粒物周界外浓度最高点≤1.0mg/m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项目施工期较短，随着施工期的结束，其影响也将随之消失。</w:t>
            </w:r>
            <w:r>
              <w:rPr>
                <w:rFonts w:hint="default" w:ascii="Times New Roman" w:hAnsi="Times New Roman" w:eastAsia="宋体" w:cs="Times New Roman"/>
                <w:color w:val="auto"/>
                <w:sz w:val="24"/>
                <w:szCs w:val="24"/>
                <w:highlight w:val="none"/>
                <w:lang w:val="zh-CN" w:eastAsia="zh-CN"/>
              </w:rPr>
              <w:t>综上，项目产生的扬尘对周围环境影响较小。</w:t>
            </w:r>
          </w:p>
          <w:p w14:paraId="27F44E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14:paraId="55C4BB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本项目施工期废水主要来源于施工人员产生的生活污水。</w:t>
            </w:r>
          </w:p>
          <w:p w14:paraId="6E1BAE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eastAsia="宋体" w:cs="宋体"/>
                <w:color w:val="auto"/>
                <w:spacing w:val="4"/>
                <w:sz w:val="23"/>
                <w:szCs w:val="23"/>
                <w:highlight w:val="none"/>
              </w:rPr>
            </w:pPr>
            <w:r>
              <w:rPr>
                <w:rFonts w:hint="default" w:ascii="Times New Roman" w:hAnsi="Times New Roman" w:eastAsia="宋体" w:cs="Times New Roman"/>
                <w:color w:val="auto"/>
                <w:sz w:val="24"/>
                <w:szCs w:val="24"/>
                <w:highlight w:val="none"/>
                <w:lang w:val="zh-CN" w:eastAsia="zh-CN"/>
              </w:rPr>
              <w:t>本项目施工人员约 10 人，项目不设施工营地，施工人员均不在项目区内食宿，施工期的废水主要为施工人员产生的生活污水</w:t>
            </w:r>
            <w:r>
              <w:rPr>
                <w:rFonts w:hint="eastAsia" w:cs="Times New Roman"/>
                <w:color w:val="auto"/>
                <w:sz w:val="24"/>
                <w:szCs w:val="24"/>
                <w:highlight w:val="none"/>
                <w:lang w:val="zh-CN" w:eastAsia="zh-CN"/>
              </w:rPr>
              <w:t>及施工废水，</w:t>
            </w:r>
            <w:r>
              <w:rPr>
                <w:rFonts w:hint="default" w:ascii="Times New Roman" w:hAnsi="Times New Roman" w:eastAsia="宋体" w:cs="Times New Roman"/>
                <w:color w:val="auto"/>
                <w:sz w:val="24"/>
                <w:szCs w:val="24"/>
                <w:highlight w:val="none"/>
                <w:lang w:val="zh-CN" w:eastAsia="zh-CN"/>
              </w:rPr>
              <w:t>废水中主要污染因子为SS，</w:t>
            </w:r>
            <w:r>
              <w:rPr>
                <w:rFonts w:hint="eastAsia" w:cs="Times New Roman"/>
                <w:color w:val="auto"/>
                <w:sz w:val="24"/>
                <w:szCs w:val="24"/>
                <w:highlight w:val="none"/>
                <w:lang w:val="zh-CN" w:eastAsia="zh-CN"/>
              </w:rPr>
              <w:t>施工废水沉淀后回用于施工场地洒水降尘，不外排；生活污水</w:t>
            </w:r>
            <w:r>
              <w:rPr>
                <w:rFonts w:hint="default" w:ascii="Times New Roman" w:hAnsi="Times New Roman" w:eastAsia="宋体" w:cs="Times New Roman"/>
                <w:color w:val="auto"/>
                <w:sz w:val="24"/>
                <w:szCs w:val="24"/>
                <w:highlight w:val="none"/>
                <w:lang w:val="zh-CN" w:eastAsia="zh-CN"/>
              </w:rPr>
              <w:t>依托</w:t>
            </w:r>
            <w:r>
              <w:rPr>
                <w:rFonts w:hint="default" w:ascii="Times New Roman" w:hAnsi="Times New Roman" w:eastAsia="宋体" w:cs="Times New Roman"/>
                <w:color w:val="auto"/>
                <w:sz w:val="24"/>
                <w:szCs w:val="24"/>
                <w:highlight w:val="none"/>
                <w:lang w:val="en-US" w:eastAsia="zh-CN"/>
              </w:rPr>
              <w:t>昆明日盛玻璃制造有限公司</w:t>
            </w:r>
            <w:r>
              <w:rPr>
                <w:rFonts w:hint="default" w:ascii="Times New Roman" w:hAnsi="Times New Roman" w:eastAsia="宋体" w:cs="Times New Roman"/>
                <w:color w:val="auto"/>
                <w:sz w:val="24"/>
                <w:szCs w:val="24"/>
                <w:highlight w:val="none"/>
                <w:lang w:val="zh-CN" w:eastAsia="zh-CN"/>
              </w:rPr>
              <w:t>内已建好的化粪池及</w:t>
            </w:r>
            <w:r>
              <w:rPr>
                <w:rFonts w:hint="eastAsia" w:cs="Times New Roman"/>
                <w:color w:val="auto"/>
                <w:sz w:val="24"/>
                <w:szCs w:val="24"/>
                <w:highlight w:val="none"/>
                <w:lang w:val="zh-CN" w:eastAsia="zh-CN"/>
              </w:rPr>
              <w:t>生活</w:t>
            </w:r>
            <w:r>
              <w:rPr>
                <w:rFonts w:hint="default" w:ascii="Times New Roman" w:hAnsi="Times New Roman" w:eastAsia="宋体" w:cs="Times New Roman"/>
                <w:color w:val="auto"/>
                <w:sz w:val="24"/>
                <w:szCs w:val="24"/>
                <w:highlight w:val="none"/>
                <w:lang w:val="zh-CN" w:eastAsia="zh-CN"/>
              </w:rPr>
              <w:t>污水处理</w:t>
            </w:r>
            <w:r>
              <w:rPr>
                <w:rFonts w:hint="eastAsia" w:cs="Times New Roman"/>
                <w:color w:val="auto"/>
                <w:sz w:val="24"/>
                <w:szCs w:val="24"/>
                <w:highlight w:val="none"/>
                <w:lang w:val="zh-CN" w:eastAsia="zh-CN"/>
              </w:rPr>
              <w:t>站</w:t>
            </w:r>
            <w:r>
              <w:rPr>
                <w:rFonts w:hint="default" w:ascii="Times New Roman" w:hAnsi="Times New Roman" w:eastAsia="宋体" w:cs="Times New Roman"/>
                <w:color w:val="auto"/>
                <w:sz w:val="24"/>
                <w:szCs w:val="24"/>
                <w:highlight w:val="none"/>
                <w:lang w:val="zh-CN" w:eastAsia="zh-CN"/>
              </w:rPr>
              <w:t>收集处理，</w:t>
            </w:r>
            <w:r>
              <w:rPr>
                <w:rFonts w:ascii="宋体" w:hAnsi="宋体" w:eastAsia="宋体" w:cs="宋体"/>
                <w:color w:val="auto"/>
                <w:spacing w:val="4"/>
                <w:sz w:val="23"/>
                <w:szCs w:val="23"/>
                <w:highlight w:val="none"/>
              </w:rPr>
              <w:t>不外排。</w:t>
            </w:r>
          </w:p>
          <w:p w14:paraId="00981F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总之，本项目施工期废水能得到妥善处理，对地表水环境影响较小。施工期 产生的废水对地表水体的影响属短期影响，施工结束后即可终止，不会对地表水 体产生长期的不利影响。</w:t>
            </w:r>
          </w:p>
          <w:p w14:paraId="3851664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噪声</w:t>
            </w:r>
          </w:p>
          <w:p w14:paraId="3B8C7C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项目施工期的噪声主要来源于现场运输机械设备车辆的交通噪声、机械设备 安装碰撞噪声及施工人员的活动噪声。为了减缓施工期噪声的影响，应采取以下措施：</w:t>
            </w:r>
          </w:p>
          <w:p w14:paraId="2D5AA7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①从声源上控制：选用噪声相对较低的施工机械设备；</w:t>
            </w:r>
          </w:p>
          <w:p w14:paraId="32BD1A9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②严禁夜间施工，若必须进行夜间作业，需按要求提前向主管部门申请，</w:t>
            </w:r>
            <w:r>
              <w:rPr>
                <w:rFonts w:hint="eastAsia" w:cs="Times New Roman"/>
                <w:color w:val="auto"/>
                <w:kern w:val="2"/>
                <w:sz w:val="24"/>
                <w:szCs w:val="24"/>
                <w:highlight w:val="none"/>
                <w:lang w:val="en-US" w:eastAsia="zh-CN" w:bidi="ar-SA"/>
              </w:rPr>
              <w:t>并</w:t>
            </w:r>
            <w:r>
              <w:rPr>
                <w:rFonts w:hint="default" w:ascii="Times New Roman" w:hAnsi="Times New Roman" w:eastAsia="宋体" w:cs="Times New Roman"/>
                <w:color w:val="auto"/>
                <w:kern w:val="2"/>
                <w:sz w:val="24"/>
                <w:szCs w:val="24"/>
                <w:highlight w:val="none"/>
                <w:lang w:val="en-US" w:eastAsia="zh-CN" w:bidi="ar-SA"/>
              </w:rPr>
              <w:t>将施工信息告知周边住户及单位。</w:t>
            </w:r>
          </w:p>
          <w:p w14:paraId="3FBDDBE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③施工场地内可固定设备应尽量设置在设备专用房或操作间内，避免露天作业。</w:t>
            </w:r>
          </w:p>
          <w:p w14:paraId="45D846B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④在施工机械的设备与基础或连接部位之间采用弹簧减震、橡胶减震、管道减震、阻尼减震技术，可减少动量，降低噪声；</w:t>
            </w:r>
          </w:p>
          <w:p w14:paraId="5BD05F2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⑤施工场地的施工车辆出入地点应尽量远离敏感点，车辆出入现场时应低速、禁鸣。</w:t>
            </w:r>
          </w:p>
          <w:p w14:paraId="1927FF0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⑥建设管理部门应加强对施工场地的噪声管理，施工企业也应对施工噪声进行自律，合理安排工期，减短施工的时间；加强对施工人员的管理，做到文明施工，避免因施工噪声产生纠纷。</w:t>
            </w:r>
          </w:p>
          <w:p w14:paraId="0902DDC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通过以上措施的实施，可以最大限度的减小施工期机械噪声对环境的影响。项目</w:t>
            </w:r>
            <w:r>
              <w:rPr>
                <w:rFonts w:hint="default" w:ascii="Times New Roman" w:hAnsi="Times New Roman" w:eastAsia="宋体" w:cs="Times New Roman"/>
                <w:color w:val="auto"/>
                <w:kern w:val="2"/>
                <w:sz w:val="24"/>
                <w:szCs w:val="24"/>
                <w:highlight w:val="none"/>
                <w:lang w:val="en-US" w:eastAsia="zh-CN" w:bidi="ar-SA"/>
              </w:rPr>
              <w:t>施工期较短，施工期噪声的影响</w:t>
            </w:r>
            <w:r>
              <w:rPr>
                <w:rFonts w:hint="eastAsia" w:ascii="Times New Roman" w:hAnsi="Times New Roman" w:eastAsia="宋体" w:cs="Times New Roman"/>
                <w:color w:val="auto"/>
                <w:kern w:val="2"/>
                <w:sz w:val="24"/>
                <w:szCs w:val="24"/>
                <w:highlight w:val="none"/>
                <w:lang w:val="en-US" w:eastAsia="zh-CN" w:bidi="ar-SA"/>
              </w:rPr>
              <w:t>符合</w:t>
            </w:r>
            <w:r>
              <w:rPr>
                <w:rFonts w:hint="default" w:ascii="Times New Roman" w:hAnsi="Times New Roman" w:eastAsia="宋体" w:cs="Times New Roman"/>
                <w:color w:val="auto"/>
                <w:kern w:val="2"/>
                <w:sz w:val="24"/>
                <w:szCs w:val="24"/>
                <w:highlight w:val="none"/>
                <w:lang w:val="en-US" w:eastAsia="zh-CN" w:bidi="ar-SA"/>
              </w:rPr>
              <w:t>《建筑施工场界环境噪声排放标准》（GB 12523－2011）</w:t>
            </w:r>
            <w:r>
              <w:rPr>
                <w:rFonts w:hint="eastAsia" w:ascii="Times New Roman" w:hAnsi="Times New Roman" w:eastAsia="宋体" w:cs="Times New Roman"/>
                <w:color w:val="auto"/>
                <w:kern w:val="2"/>
                <w:sz w:val="24"/>
                <w:szCs w:val="24"/>
                <w:highlight w:val="none"/>
                <w:lang w:val="en-US" w:eastAsia="zh-CN" w:bidi="ar-SA"/>
              </w:rPr>
              <w:t>要求。</w:t>
            </w:r>
          </w:p>
          <w:p w14:paraId="3A7437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outlineLvl w:val="9"/>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4、固体废</w:t>
            </w:r>
            <w:r>
              <w:rPr>
                <w:rFonts w:hint="eastAsia" w:cs="Times New Roman"/>
                <w:b/>
                <w:bCs w:val="0"/>
                <w:color w:val="auto"/>
                <w:sz w:val="24"/>
                <w:szCs w:val="24"/>
                <w:highlight w:val="none"/>
                <w:lang w:val="en-US" w:eastAsia="zh-CN" w:bidi="ar"/>
              </w:rPr>
              <w:t>弃</w:t>
            </w:r>
            <w:r>
              <w:rPr>
                <w:rFonts w:hint="default" w:ascii="Times New Roman" w:hAnsi="Times New Roman" w:eastAsia="宋体" w:cs="Times New Roman"/>
                <w:b/>
                <w:bCs w:val="0"/>
                <w:color w:val="auto"/>
                <w:sz w:val="24"/>
                <w:szCs w:val="24"/>
                <w:highlight w:val="none"/>
                <w:lang w:val="en-US" w:eastAsia="zh-CN" w:bidi="ar"/>
              </w:rPr>
              <w:t>物</w:t>
            </w:r>
          </w:p>
          <w:p w14:paraId="5E364B41">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w:t>
            </w:r>
            <w:r>
              <w:rPr>
                <w:rFonts w:hint="eastAsia" w:cs="Times New Roman"/>
                <w:color w:val="auto"/>
                <w:sz w:val="24"/>
                <w:szCs w:val="24"/>
                <w:highlight w:val="none"/>
                <w:lang w:eastAsia="zh-CN"/>
              </w:rPr>
              <w:t>无动土工程</w:t>
            </w:r>
            <w:r>
              <w:rPr>
                <w:rFonts w:hint="eastAsia" w:ascii="Times New Roman" w:hAnsi="Times New Roman" w:eastAsia="宋体" w:cs="Times New Roman"/>
                <w:color w:val="auto"/>
                <w:sz w:val="24"/>
                <w:szCs w:val="24"/>
                <w:highlight w:val="none"/>
                <w:lang w:eastAsia="zh-CN"/>
              </w:rPr>
              <w:t>，施工期</w:t>
            </w:r>
            <w:r>
              <w:rPr>
                <w:rFonts w:hint="default" w:ascii="Times New Roman" w:hAnsi="Times New Roman" w:eastAsia="宋体" w:cs="Times New Roman"/>
                <w:color w:val="auto"/>
                <w:sz w:val="24"/>
                <w:szCs w:val="24"/>
                <w:highlight w:val="none"/>
              </w:rPr>
              <w:t>固体废弃物主要为</w:t>
            </w:r>
            <w:r>
              <w:rPr>
                <w:rFonts w:hint="eastAsia" w:eastAsia="宋体" w:cs="Times New Roman"/>
                <w:color w:val="auto"/>
                <w:sz w:val="24"/>
                <w:szCs w:val="24"/>
                <w:highlight w:val="none"/>
                <w:lang w:val="en-US" w:eastAsia="zh-CN"/>
              </w:rPr>
              <w:t>建筑垃圾</w:t>
            </w:r>
            <w:r>
              <w:rPr>
                <w:rFonts w:hint="default" w:ascii="Times New Roman" w:hAnsi="Times New Roman" w:eastAsia="宋体" w:cs="Times New Roman"/>
                <w:color w:val="auto"/>
                <w:sz w:val="24"/>
                <w:szCs w:val="24"/>
                <w:highlight w:val="none"/>
              </w:rPr>
              <w:t>和生活垃圾。</w:t>
            </w:r>
          </w:p>
          <w:p w14:paraId="77814B7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en-US" w:eastAsia="zh-CN" w:bidi="ar-SA"/>
              </w:rPr>
              <w:t>①将废包装材料和废弃施工材料进行简单分类，能够回收的回收利用，不能回收利用的运至政府部门指定地点妥善处置，禁止随意丢弃。</w:t>
            </w:r>
          </w:p>
          <w:p w14:paraId="436EA73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w:t>
            </w:r>
            <w:r>
              <w:rPr>
                <w:rFonts w:hint="default" w:ascii="Times New Roman" w:hAnsi="Times New Roman" w:eastAsia="宋体" w:cs="Times New Roman"/>
                <w:color w:val="auto"/>
                <w:kern w:val="2"/>
                <w:sz w:val="24"/>
                <w:szCs w:val="24"/>
                <w:highlight w:val="none"/>
                <w:lang w:val="en-US" w:eastAsia="zh-CN" w:bidi="ar-SA"/>
              </w:rPr>
              <w:t>施工人员每天产生的生活垃圾统一收集至生活垃圾桶及垃圾暂存区，生活垃圾收集后定期委托环卫部门进行清运、处置。</w:t>
            </w:r>
          </w:p>
          <w:p w14:paraId="0A4A5C6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kern w:val="2"/>
                <w:sz w:val="24"/>
                <w:szCs w:val="24"/>
                <w:highlight w:val="none"/>
                <w:lang w:val="en-US" w:eastAsia="zh-CN" w:bidi="ar-SA"/>
              </w:rPr>
              <w:t>综上分析，施工期固体废弃物产生量较少，处置方式合理、可行，去向明确，处置率达到100%，对周围环境影响不大。</w:t>
            </w:r>
          </w:p>
        </w:tc>
      </w:tr>
      <w:tr w14:paraId="45FE4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3" w:hRule="atLeast"/>
          <w:jc w:val="center"/>
        </w:trPr>
        <w:tc>
          <w:tcPr>
            <w:tcW w:w="358" w:type="dxa"/>
            <w:tcMar>
              <w:left w:w="28" w:type="dxa"/>
              <w:right w:w="28" w:type="dxa"/>
            </w:tcMar>
            <w:vAlign w:val="center"/>
          </w:tcPr>
          <w:p w14:paraId="7115BAF4">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2E733ABD">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6D1E6441">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03A6A4B6">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3FB8F0DF">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7F768D22">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14:paraId="38E53636">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14:paraId="78F9FE89">
            <w:pPr>
              <w:numPr>
                <w:ilvl w:val="0"/>
                <w:numId w:val="0"/>
              </w:numPr>
              <w:spacing w:line="360" w:lineRule="auto"/>
              <w:ind w:firstLine="482" w:firstLineChars="200"/>
              <w:rPr>
                <w:rFonts w:hint="eastAsia" w:ascii="Times New Roman" w:hAnsi="Times New Roman"/>
                <w:b/>
                <w:bCs/>
                <w:caps w:val="0"/>
                <w:smallCaps w:val="0"/>
                <w:color w:val="auto"/>
                <w:sz w:val="24"/>
                <w:szCs w:val="24"/>
                <w:highlight w:val="none"/>
                <w:lang w:val="en-US" w:eastAsia="zh-CN"/>
              </w:rPr>
            </w:pPr>
            <w:r>
              <w:rPr>
                <w:rFonts w:hint="eastAsia" w:ascii="Times New Roman" w:hAnsi="Times New Roman" w:eastAsia="宋体" w:cs="Times New Roman"/>
                <w:b/>
                <w:bCs/>
                <w:color w:val="auto"/>
                <w:sz w:val="24"/>
                <w:szCs w:val="28"/>
                <w:highlight w:val="none"/>
                <w:lang w:val="en-US" w:eastAsia="zh-CN"/>
              </w:rPr>
              <w:t>（1）</w:t>
            </w:r>
            <w:r>
              <w:rPr>
                <w:rFonts w:hint="eastAsia" w:ascii="Times New Roman" w:hAnsi="Times New Roman"/>
                <w:b/>
                <w:bCs/>
                <w:caps w:val="0"/>
                <w:smallCaps w:val="0"/>
                <w:color w:val="auto"/>
                <w:sz w:val="24"/>
                <w:szCs w:val="24"/>
                <w:highlight w:val="none"/>
                <w:lang w:val="en-US" w:eastAsia="zh-CN"/>
              </w:rPr>
              <w:t>废气污染源分析</w:t>
            </w:r>
          </w:p>
          <w:p w14:paraId="799A8290">
            <w:pPr>
              <w:pStyle w:val="35"/>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rPr>
                <w:rFonts w:hint="eastAsia"/>
                <w:color w:val="auto"/>
                <w:highlight w:val="none"/>
                <w:lang w:val="en-US" w:eastAsia="zh-CN"/>
              </w:rPr>
            </w:pPr>
            <w:r>
              <w:rPr>
                <w:rFonts w:hint="eastAsia" w:ascii="Times New Roman" w:hAnsi="Times New Roman" w:eastAsia="宋体" w:cs="Times New Roman"/>
                <w:color w:val="auto"/>
                <w:sz w:val="24"/>
                <w:highlight w:val="none"/>
                <w:shd w:val="clear" w:color="auto" w:fill="auto"/>
                <w:lang w:val="en-US" w:eastAsia="zh-CN"/>
              </w:rPr>
              <w:t>项目</w:t>
            </w:r>
            <w:r>
              <w:rPr>
                <w:rFonts w:hint="eastAsia" w:hAnsi="Times New Roman" w:cs="Times New Roman"/>
                <w:color w:val="auto"/>
                <w:sz w:val="24"/>
                <w:highlight w:val="none"/>
                <w:shd w:val="clear" w:color="auto" w:fill="auto"/>
                <w:lang w:val="en-US" w:eastAsia="zh-CN"/>
              </w:rPr>
              <w:t>运营过程中</w:t>
            </w:r>
            <w:r>
              <w:rPr>
                <w:rFonts w:hint="default" w:ascii="Times New Roman" w:hAnsi="Times New Roman" w:eastAsia="宋体" w:cs="Times New Roman"/>
                <w:color w:val="auto"/>
                <w:sz w:val="24"/>
                <w:highlight w:val="none"/>
                <w:shd w:val="clear" w:color="auto" w:fill="auto"/>
                <w:lang w:val="en-US" w:eastAsia="zh-CN"/>
              </w:rPr>
              <w:t>产生的废气主要为</w:t>
            </w:r>
            <w:r>
              <w:rPr>
                <w:rFonts w:hint="eastAsia" w:cs="Times New Roman"/>
                <w:color w:val="auto"/>
                <w:sz w:val="24"/>
                <w:highlight w:val="none"/>
                <w:shd w:val="clear" w:color="auto" w:fill="auto"/>
                <w:lang w:val="en-US" w:eastAsia="zh-CN"/>
              </w:rPr>
              <w:t>硫酸稀释过程产生的</w:t>
            </w:r>
            <w:r>
              <w:rPr>
                <w:rFonts w:hint="default" w:ascii="Times New Roman" w:hAnsi="Times New Roman" w:eastAsia="宋体" w:cs="Times New Roman"/>
                <w:color w:val="auto"/>
                <w:kern w:val="2"/>
                <w:sz w:val="24"/>
                <w:szCs w:val="24"/>
                <w:highlight w:val="none"/>
                <w:lang w:val="zh-CN" w:eastAsia="zh-CN" w:bidi="ar-SA"/>
              </w:rPr>
              <w:t>硫酸挥发废气</w:t>
            </w:r>
            <w:r>
              <w:rPr>
                <w:rFonts w:hint="eastAsia" w:cs="Times New Roman"/>
                <w:color w:val="auto"/>
                <w:kern w:val="2"/>
                <w:sz w:val="24"/>
                <w:szCs w:val="24"/>
                <w:highlight w:val="none"/>
                <w:lang w:val="zh-CN" w:eastAsia="zh-CN" w:bidi="ar-SA"/>
              </w:rPr>
              <w:t>（主要污染因子为硫酸雾）</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蒙砂液配制过程产生的</w:t>
            </w:r>
            <w:r>
              <w:rPr>
                <w:rFonts w:hint="default" w:ascii="Times New Roman" w:hAnsi="Times New Roman" w:eastAsia="宋体" w:cs="Times New Roman"/>
                <w:color w:val="auto"/>
                <w:kern w:val="2"/>
                <w:sz w:val="24"/>
                <w:szCs w:val="24"/>
                <w:highlight w:val="none"/>
                <w:lang w:val="zh-CN" w:eastAsia="zh-CN" w:bidi="ar-SA"/>
              </w:rPr>
              <w:t>配料废气</w:t>
            </w:r>
            <w:r>
              <w:rPr>
                <w:rFonts w:hint="eastAsia" w:cs="Times New Roman"/>
                <w:color w:val="auto"/>
                <w:kern w:val="2"/>
                <w:sz w:val="24"/>
                <w:szCs w:val="24"/>
                <w:highlight w:val="none"/>
                <w:lang w:val="zh-CN" w:eastAsia="zh-CN" w:bidi="ar-SA"/>
              </w:rPr>
              <w:t>（主要污染因子为颗粒物、氟化物、硫酸雾、</w:t>
            </w:r>
            <w:r>
              <w:rPr>
                <w:rFonts w:hint="eastAsia" w:cs="Times New Roman"/>
                <w:color w:val="auto"/>
                <w:sz w:val="24"/>
                <w:highlight w:val="none"/>
                <w:lang w:val="zh-CN" w:eastAsia="zh-CN"/>
              </w:rPr>
              <w:t>氯化氢</w:t>
            </w:r>
            <w:r>
              <w:rPr>
                <w:rFonts w:hint="eastAsia" w:cs="Times New Roman"/>
                <w:color w:val="auto"/>
                <w:kern w:val="2"/>
                <w:sz w:val="24"/>
                <w:szCs w:val="24"/>
                <w:highlight w:val="none"/>
                <w:lang w:val="zh-CN" w:eastAsia="zh-CN" w:bidi="ar-SA"/>
              </w:rPr>
              <w:t>）、蒙砂过程产生的蒙砂</w:t>
            </w:r>
            <w:r>
              <w:rPr>
                <w:rFonts w:hint="default" w:ascii="Times New Roman" w:hAnsi="Times New Roman" w:eastAsia="宋体" w:cs="Times New Roman"/>
                <w:color w:val="auto"/>
                <w:kern w:val="2"/>
                <w:sz w:val="24"/>
                <w:szCs w:val="24"/>
                <w:highlight w:val="none"/>
                <w:lang w:val="zh-CN" w:eastAsia="zh-CN" w:bidi="ar-SA"/>
              </w:rPr>
              <w:t>废气</w:t>
            </w:r>
            <w:r>
              <w:rPr>
                <w:rFonts w:hint="eastAsia" w:cs="Times New Roman"/>
                <w:color w:val="auto"/>
                <w:kern w:val="2"/>
                <w:sz w:val="24"/>
                <w:szCs w:val="24"/>
                <w:highlight w:val="none"/>
                <w:lang w:val="zh-CN" w:eastAsia="zh-CN" w:bidi="ar-SA"/>
              </w:rPr>
              <w:t>（主要污染因子为氟化物）</w:t>
            </w:r>
            <w:r>
              <w:rPr>
                <w:rFonts w:hint="eastAsia" w:cs="Times New Roman"/>
                <w:color w:val="auto"/>
                <w:sz w:val="24"/>
                <w:highlight w:val="none"/>
                <w:shd w:val="clear" w:color="auto" w:fill="auto"/>
                <w:lang w:val="en-US" w:eastAsia="zh-CN"/>
              </w:rPr>
              <w:t>、食堂油烟及异味</w:t>
            </w:r>
            <w:r>
              <w:rPr>
                <w:rFonts w:hint="eastAsia" w:ascii="Times New Roman" w:hAnsi="Times New Roman" w:eastAsia="宋体" w:cs="Times New Roman"/>
                <w:color w:val="auto"/>
                <w:sz w:val="24"/>
                <w:highlight w:val="none"/>
                <w:shd w:val="clear" w:color="auto" w:fill="auto"/>
                <w:lang w:val="en-US" w:eastAsia="zh-CN"/>
              </w:rPr>
              <w:t>。</w:t>
            </w:r>
          </w:p>
          <w:p w14:paraId="76FD2668">
            <w:pPr>
              <w:spacing w:line="360" w:lineRule="auto"/>
              <w:ind w:firstLine="480" w:firstLineChars="200"/>
              <w:jc w:val="left"/>
              <w:rPr>
                <w:rFonts w:hint="eastAsia"/>
                <w:color w:val="auto"/>
                <w:highlight w:val="none"/>
                <w:lang w:val="en-US" w:eastAsia="zh-CN"/>
              </w:rPr>
            </w:pPr>
            <w:r>
              <w:rPr>
                <w:rFonts w:hint="eastAsia" w:ascii="Times New Roman" w:hAnsi="Times New Roman"/>
                <w:color w:val="auto"/>
                <w:sz w:val="24"/>
                <w:szCs w:val="24"/>
                <w:highlight w:val="none"/>
              </w:rPr>
              <w:t>项目运营期废气排放源见</w:t>
            </w:r>
            <w:r>
              <w:rPr>
                <w:rFonts w:hint="eastAsia" w:ascii="Times New Roman" w:hAnsi="Times New Roman"/>
                <w:color w:val="auto"/>
                <w:sz w:val="24"/>
                <w:szCs w:val="24"/>
                <w:highlight w:val="none"/>
                <w:lang w:val="en-US" w:eastAsia="zh-CN"/>
              </w:rPr>
              <w:t>下表</w:t>
            </w:r>
            <w:r>
              <w:rPr>
                <w:rFonts w:hint="eastAsia" w:ascii="Times New Roman" w:hAnsi="Times New Roman"/>
                <w:color w:val="auto"/>
                <w:sz w:val="24"/>
                <w:szCs w:val="24"/>
                <w:highlight w:val="none"/>
              </w:rPr>
              <w:t>。</w:t>
            </w:r>
          </w:p>
          <w:p w14:paraId="378F31AD">
            <w:pPr>
              <w:pStyle w:val="15"/>
              <w:adjustRightInd w:val="0"/>
              <w:snapToGrid w:val="0"/>
              <w:spacing w:line="240" w:lineRule="auto"/>
              <w:jc w:val="center"/>
              <w:rPr>
                <w:rFonts w:ascii="Times New Roman" w:hAnsi="Times New Roman"/>
                <w:b/>
                <w:bCs/>
                <w:color w:val="auto"/>
                <w:sz w:val="21"/>
                <w:szCs w:val="21"/>
                <w:highlight w:val="none"/>
              </w:rPr>
            </w:pPr>
            <w:r>
              <w:rPr>
                <w:rFonts w:ascii="Times New Roman" w:hAnsi="Times New Roman"/>
                <w:b/>
                <w:color w:val="auto"/>
                <w:sz w:val="21"/>
                <w:szCs w:val="21"/>
                <w:highlight w:val="none"/>
              </w:rPr>
              <w:t>表4-</w:t>
            </w:r>
            <w:r>
              <w:rPr>
                <w:rFonts w:hint="eastAsia" w:ascii="Times New Roman" w:hAnsi="Times New Roman"/>
                <w:b/>
                <w:color w:val="auto"/>
                <w:sz w:val="21"/>
                <w:szCs w:val="21"/>
                <w:highlight w:val="none"/>
                <w:lang w:val="en-US" w:eastAsia="zh-CN"/>
              </w:rPr>
              <w:t>1</w:t>
            </w:r>
            <w:r>
              <w:rPr>
                <w:rFonts w:ascii="Times New Roman" w:hAnsi="Times New Roman"/>
                <w:b/>
                <w:color w:val="auto"/>
                <w:sz w:val="21"/>
                <w:szCs w:val="21"/>
                <w:highlight w:val="none"/>
              </w:rPr>
              <w:t xml:space="preserve">  </w:t>
            </w:r>
            <w:r>
              <w:rPr>
                <w:rFonts w:hint="eastAsia" w:ascii="Times New Roman" w:hAnsi="Times New Roman"/>
                <w:b/>
                <w:bCs/>
                <w:color w:val="auto"/>
                <w:sz w:val="21"/>
                <w:szCs w:val="21"/>
                <w:highlight w:val="none"/>
              </w:rPr>
              <w:t>项目运营期废气排放源一览表</w:t>
            </w:r>
          </w:p>
          <w:tbl>
            <w:tblPr>
              <w:tblStyle w:val="25"/>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032"/>
              <w:gridCol w:w="915"/>
              <w:gridCol w:w="915"/>
              <w:gridCol w:w="795"/>
              <w:gridCol w:w="945"/>
              <w:gridCol w:w="930"/>
              <w:gridCol w:w="960"/>
              <w:gridCol w:w="798"/>
              <w:gridCol w:w="807"/>
            </w:tblGrid>
            <w:tr w14:paraId="73DC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40" w:type="pct"/>
                  <w:gridSpan w:val="2"/>
                  <w:noWrap w:val="0"/>
                  <w:vAlign w:val="center"/>
                </w:tcPr>
                <w:p w14:paraId="473A138F">
                  <w:pPr>
                    <w:adjustRightInd w:val="0"/>
                    <w:snapToGrid w:val="0"/>
                    <w:jc w:val="center"/>
                    <w:rPr>
                      <w:b/>
                      <w:color w:val="auto"/>
                      <w:spacing w:val="-10"/>
                      <w:szCs w:val="21"/>
                      <w:highlight w:val="none"/>
                    </w:rPr>
                  </w:pPr>
                  <w:r>
                    <w:rPr>
                      <w:b/>
                      <w:color w:val="auto"/>
                      <w:spacing w:val="-10"/>
                      <w:szCs w:val="21"/>
                      <w:highlight w:val="none"/>
                    </w:rPr>
                    <w:t>产污排污环节</w:t>
                  </w:r>
                </w:p>
              </w:tc>
              <w:tc>
                <w:tcPr>
                  <w:tcW w:w="4159" w:type="pct"/>
                  <w:gridSpan w:val="8"/>
                  <w:noWrap w:val="0"/>
                  <w:vAlign w:val="center"/>
                </w:tcPr>
                <w:p w14:paraId="1BB76C56">
                  <w:pPr>
                    <w:adjustRightInd w:val="0"/>
                    <w:snapToGrid w:val="0"/>
                    <w:jc w:val="center"/>
                    <w:rPr>
                      <w:b/>
                      <w:color w:val="auto"/>
                      <w:spacing w:val="-10"/>
                      <w:szCs w:val="21"/>
                      <w:highlight w:val="none"/>
                    </w:rPr>
                  </w:pPr>
                  <w:r>
                    <w:rPr>
                      <w:rFonts w:hint="eastAsia"/>
                      <w:b w:val="0"/>
                      <w:bCs/>
                      <w:color w:val="auto"/>
                      <w:spacing w:val="-10"/>
                      <w:szCs w:val="21"/>
                      <w:highlight w:val="none"/>
                      <w:lang w:val="en-US" w:eastAsia="zh-CN"/>
                    </w:rPr>
                    <w:t>硫酸稀释、蒙砂液配制、蒙砂工序</w:t>
                  </w:r>
                </w:p>
              </w:tc>
            </w:tr>
            <w:tr w14:paraId="167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40" w:type="pct"/>
                  <w:gridSpan w:val="2"/>
                  <w:noWrap w:val="0"/>
                  <w:vAlign w:val="center"/>
                </w:tcPr>
                <w:p w14:paraId="063D63AE">
                  <w:pPr>
                    <w:adjustRightInd w:val="0"/>
                    <w:snapToGrid w:val="0"/>
                    <w:jc w:val="center"/>
                    <w:rPr>
                      <w:b/>
                      <w:color w:val="auto"/>
                      <w:spacing w:val="-10"/>
                      <w:szCs w:val="21"/>
                      <w:highlight w:val="none"/>
                    </w:rPr>
                  </w:pPr>
                  <w:r>
                    <w:rPr>
                      <w:b/>
                      <w:color w:val="auto"/>
                      <w:spacing w:val="-10"/>
                      <w:szCs w:val="21"/>
                      <w:highlight w:val="none"/>
                    </w:rPr>
                    <w:t>污染物种类</w:t>
                  </w:r>
                </w:p>
              </w:tc>
              <w:tc>
                <w:tcPr>
                  <w:tcW w:w="538" w:type="pct"/>
                  <w:noWrap w:val="0"/>
                  <w:vAlign w:val="center"/>
                </w:tcPr>
                <w:p w14:paraId="40B40FD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硫酸雾</w:t>
                  </w:r>
                </w:p>
              </w:tc>
              <w:tc>
                <w:tcPr>
                  <w:tcW w:w="538" w:type="pct"/>
                  <w:noWrap w:val="0"/>
                  <w:vAlign w:val="center"/>
                </w:tcPr>
                <w:p w14:paraId="4F0820B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氯化氢</w:t>
                  </w:r>
                </w:p>
              </w:tc>
              <w:tc>
                <w:tcPr>
                  <w:tcW w:w="468" w:type="pct"/>
                  <w:noWrap w:val="0"/>
                  <w:vAlign w:val="center"/>
                </w:tcPr>
                <w:p w14:paraId="533075E4">
                  <w:pPr>
                    <w:jc w:val="center"/>
                    <w:rPr>
                      <w:rFonts w:hint="eastAsia" w:eastAsia="宋体"/>
                      <w:color w:val="auto"/>
                      <w:szCs w:val="21"/>
                      <w:highlight w:val="none"/>
                      <w:lang w:eastAsia="zh-CN"/>
                    </w:rPr>
                  </w:pPr>
                  <w:r>
                    <w:rPr>
                      <w:rFonts w:hint="eastAsia"/>
                      <w:color w:val="auto"/>
                      <w:szCs w:val="21"/>
                      <w:highlight w:val="none"/>
                      <w:lang w:eastAsia="zh-CN"/>
                    </w:rPr>
                    <w:t>颗粒物</w:t>
                  </w:r>
                </w:p>
              </w:tc>
              <w:tc>
                <w:tcPr>
                  <w:tcW w:w="556" w:type="pct"/>
                  <w:noWrap w:val="0"/>
                  <w:vAlign w:val="center"/>
                </w:tcPr>
                <w:p w14:paraId="7E60DA1C">
                  <w:pPr>
                    <w:jc w:val="center"/>
                    <w:rPr>
                      <w:rFonts w:hint="eastAsia" w:eastAsia="宋体"/>
                      <w:color w:val="auto"/>
                      <w:szCs w:val="21"/>
                      <w:highlight w:val="none"/>
                      <w:lang w:eastAsia="zh-CN"/>
                    </w:rPr>
                  </w:pPr>
                  <w:r>
                    <w:rPr>
                      <w:rFonts w:hint="eastAsia"/>
                      <w:color w:val="auto"/>
                      <w:szCs w:val="21"/>
                      <w:highlight w:val="none"/>
                      <w:lang w:eastAsia="zh-CN"/>
                    </w:rPr>
                    <w:t>氟化物</w:t>
                  </w:r>
                </w:p>
              </w:tc>
              <w:tc>
                <w:tcPr>
                  <w:tcW w:w="547" w:type="pct"/>
                  <w:noWrap w:val="0"/>
                  <w:vAlign w:val="center"/>
                </w:tcPr>
                <w:p w14:paraId="34D4ED79">
                  <w:pPr>
                    <w:jc w:val="center"/>
                    <w:rPr>
                      <w:color w:val="auto"/>
                      <w:szCs w:val="21"/>
                      <w:highlight w:val="none"/>
                    </w:rPr>
                  </w:pPr>
                  <w:r>
                    <w:rPr>
                      <w:rFonts w:hint="eastAsia"/>
                      <w:color w:val="auto"/>
                      <w:szCs w:val="21"/>
                      <w:highlight w:val="none"/>
                      <w:lang w:eastAsia="zh-CN"/>
                    </w:rPr>
                    <w:t>硫酸雾</w:t>
                  </w:r>
                </w:p>
              </w:tc>
              <w:tc>
                <w:tcPr>
                  <w:tcW w:w="565" w:type="pct"/>
                  <w:noWrap w:val="0"/>
                  <w:vAlign w:val="center"/>
                </w:tcPr>
                <w:p w14:paraId="745D51F0">
                  <w:pPr>
                    <w:jc w:val="center"/>
                    <w:rPr>
                      <w:color w:val="auto"/>
                      <w:szCs w:val="21"/>
                      <w:highlight w:val="none"/>
                    </w:rPr>
                  </w:pPr>
                  <w:r>
                    <w:rPr>
                      <w:rFonts w:hint="eastAsia"/>
                      <w:color w:val="auto"/>
                      <w:szCs w:val="21"/>
                      <w:highlight w:val="none"/>
                      <w:lang w:val="zh-CN" w:eastAsia="zh-CN"/>
                    </w:rPr>
                    <w:t>氯化氢</w:t>
                  </w:r>
                </w:p>
              </w:tc>
              <w:tc>
                <w:tcPr>
                  <w:tcW w:w="469" w:type="pct"/>
                  <w:noWrap w:val="0"/>
                  <w:vAlign w:val="center"/>
                </w:tcPr>
                <w:p w14:paraId="4D7BFD0E">
                  <w:pPr>
                    <w:jc w:val="center"/>
                    <w:rPr>
                      <w:color w:val="auto"/>
                      <w:szCs w:val="21"/>
                      <w:highlight w:val="none"/>
                    </w:rPr>
                  </w:pPr>
                  <w:r>
                    <w:rPr>
                      <w:rFonts w:hint="eastAsia"/>
                      <w:color w:val="auto"/>
                      <w:szCs w:val="21"/>
                      <w:highlight w:val="none"/>
                      <w:lang w:eastAsia="zh-CN"/>
                    </w:rPr>
                    <w:t>颗粒物</w:t>
                  </w:r>
                </w:p>
              </w:tc>
              <w:tc>
                <w:tcPr>
                  <w:tcW w:w="475" w:type="pct"/>
                  <w:noWrap w:val="0"/>
                  <w:vAlign w:val="center"/>
                </w:tcPr>
                <w:p w14:paraId="75F21523">
                  <w:pPr>
                    <w:jc w:val="center"/>
                    <w:rPr>
                      <w:rFonts w:hint="eastAsia" w:eastAsia="宋体"/>
                      <w:color w:val="auto"/>
                      <w:szCs w:val="21"/>
                      <w:highlight w:val="none"/>
                      <w:lang w:val="en-US" w:eastAsia="zh-CN"/>
                    </w:rPr>
                  </w:pPr>
                  <w:r>
                    <w:rPr>
                      <w:rFonts w:hint="eastAsia"/>
                      <w:color w:val="auto"/>
                      <w:szCs w:val="21"/>
                      <w:highlight w:val="none"/>
                      <w:lang w:eastAsia="zh-CN"/>
                    </w:rPr>
                    <w:t>氟化物</w:t>
                  </w:r>
                </w:p>
              </w:tc>
            </w:tr>
            <w:tr w14:paraId="1073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gridSpan w:val="2"/>
                  <w:noWrap w:val="0"/>
                  <w:vAlign w:val="center"/>
                </w:tcPr>
                <w:p w14:paraId="08F8F837">
                  <w:pPr>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ind w:left="0" w:leftChars="0" w:right="0" w:rightChars="0" w:firstLine="0" w:firstLineChars="0"/>
                    <w:jc w:val="center"/>
                    <w:rPr>
                      <w:b/>
                      <w:color w:val="auto"/>
                      <w:spacing w:val="-10"/>
                      <w:szCs w:val="21"/>
                      <w:highlight w:val="none"/>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w:t>
                  </w:r>
                  <w:r>
                    <w:rPr>
                      <w:rFonts w:hint="eastAsia" w:ascii="Times New Roman" w:hAnsi="Times New Roman" w:cs="Times New Roman"/>
                      <w:b/>
                      <w:bCs w:val="0"/>
                      <w:color w:val="auto"/>
                      <w:spacing w:val="-10"/>
                      <w:sz w:val="21"/>
                      <w:szCs w:val="21"/>
                      <w:highlight w:val="none"/>
                      <w:vertAlign w:val="baseline"/>
                      <w:lang w:val="en-US" w:eastAsia="zh-CN"/>
                    </w:rPr>
                    <w:t>（t/a）</w:t>
                  </w:r>
                </w:p>
              </w:tc>
              <w:tc>
                <w:tcPr>
                  <w:tcW w:w="538" w:type="pct"/>
                  <w:noWrap w:val="0"/>
                  <w:vAlign w:val="center"/>
                </w:tcPr>
                <w:p w14:paraId="439CCD17">
                  <w:pPr>
                    <w:jc w:val="center"/>
                    <w:rPr>
                      <w:rFonts w:hint="default" w:eastAsia="宋体"/>
                      <w:color w:val="auto"/>
                      <w:szCs w:val="21"/>
                      <w:highlight w:val="none"/>
                      <w:lang w:val="en-US" w:eastAsia="zh-CN"/>
                    </w:rPr>
                  </w:pPr>
                  <w:r>
                    <w:rPr>
                      <w:rFonts w:hint="eastAsia"/>
                      <w:color w:val="auto"/>
                      <w:szCs w:val="21"/>
                      <w:highlight w:val="none"/>
                      <w:lang w:val="en-US" w:eastAsia="zh-CN"/>
                    </w:rPr>
                    <w:t>0.00016</w:t>
                  </w:r>
                </w:p>
              </w:tc>
              <w:tc>
                <w:tcPr>
                  <w:tcW w:w="538" w:type="pct"/>
                  <w:noWrap w:val="0"/>
                  <w:vAlign w:val="center"/>
                </w:tcPr>
                <w:p w14:paraId="60EE00C6">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0.0584</w:t>
                  </w:r>
                </w:p>
              </w:tc>
              <w:tc>
                <w:tcPr>
                  <w:tcW w:w="468" w:type="pct"/>
                  <w:noWrap w:val="0"/>
                  <w:vAlign w:val="center"/>
                </w:tcPr>
                <w:p w14:paraId="2400B5C9">
                  <w:pPr>
                    <w:jc w:val="center"/>
                    <w:rPr>
                      <w:rFonts w:hint="default" w:eastAsia="宋体"/>
                      <w:color w:val="auto"/>
                      <w:szCs w:val="21"/>
                      <w:highlight w:val="none"/>
                      <w:lang w:val="en-US" w:eastAsia="zh-CN"/>
                    </w:rPr>
                  </w:pPr>
                  <w:r>
                    <w:rPr>
                      <w:rFonts w:hint="eastAsia"/>
                      <w:color w:val="auto"/>
                      <w:szCs w:val="21"/>
                      <w:highlight w:val="none"/>
                      <w:lang w:val="en-US" w:eastAsia="zh-CN"/>
                    </w:rPr>
                    <w:t>0.09</w:t>
                  </w:r>
                </w:p>
              </w:tc>
              <w:tc>
                <w:tcPr>
                  <w:tcW w:w="556" w:type="pct"/>
                  <w:noWrap w:val="0"/>
                  <w:vAlign w:val="center"/>
                </w:tcPr>
                <w:p w14:paraId="2670F326">
                  <w:pPr>
                    <w:jc w:val="center"/>
                    <w:rPr>
                      <w:rFonts w:hint="default" w:eastAsia="宋体"/>
                      <w:color w:val="auto"/>
                      <w:szCs w:val="21"/>
                      <w:highlight w:val="none"/>
                      <w:lang w:val="en-US" w:eastAsia="zh-CN"/>
                    </w:rPr>
                  </w:pPr>
                  <w:r>
                    <w:rPr>
                      <w:rFonts w:hint="eastAsia"/>
                      <w:color w:val="auto"/>
                      <w:szCs w:val="21"/>
                      <w:highlight w:val="none"/>
                      <w:lang w:val="en-US" w:eastAsia="zh-CN"/>
                    </w:rPr>
                    <w:t xml:space="preserve">1.8766 </w:t>
                  </w:r>
                </w:p>
              </w:tc>
              <w:tc>
                <w:tcPr>
                  <w:tcW w:w="547" w:type="pct"/>
                  <w:noWrap w:val="0"/>
                  <w:vAlign w:val="center"/>
                </w:tcPr>
                <w:p w14:paraId="0581CFBE">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0.00002</w:t>
                  </w:r>
                </w:p>
              </w:tc>
              <w:tc>
                <w:tcPr>
                  <w:tcW w:w="565" w:type="pct"/>
                  <w:noWrap w:val="0"/>
                  <w:vAlign w:val="center"/>
                </w:tcPr>
                <w:p w14:paraId="7384CBF0">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0.0065</w:t>
                  </w:r>
                </w:p>
              </w:tc>
              <w:tc>
                <w:tcPr>
                  <w:tcW w:w="469" w:type="pct"/>
                  <w:noWrap w:val="0"/>
                  <w:vAlign w:val="center"/>
                </w:tcPr>
                <w:p w14:paraId="7D18D043">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0.01</w:t>
                  </w:r>
                </w:p>
              </w:tc>
              <w:tc>
                <w:tcPr>
                  <w:tcW w:w="475" w:type="pct"/>
                  <w:noWrap w:val="0"/>
                  <w:vAlign w:val="center"/>
                </w:tcPr>
                <w:p w14:paraId="0B5173BE">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 xml:space="preserve">0.2085 </w:t>
                  </w:r>
                </w:p>
              </w:tc>
            </w:tr>
            <w:tr w14:paraId="3CEA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gridSpan w:val="2"/>
                  <w:noWrap w:val="0"/>
                  <w:vAlign w:val="center"/>
                </w:tcPr>
                <w:p w14:paraId="06CBCACE">
                  <w:pPr>
                    <w:adjustRightInd w:val="0"/>
                    <w:snapToGrid w:val="0"/>
                    <w:jc w:val="center"/>
                    <w:rPr>
                      <w:b/>
                      <w:color w:val="auto"/>
                      <w:spacing w:val="-10"/>
                      <w:szCs w:val="21"/>
                      <w:highlight w:val="none"/>
                    </w:rPr>
                  </w:pPr>
                  <w:r>
                    <w:rPr>
                      <w:b/>
                      <w:color w:val="auto"/>
                      <w:spacing w:val="-10"/>
                      <w:szCs w:val="21"/>
                      <w:highlight w:val="none"/>
                    </w:rPr>
                    <w:t>排放形式</w:t>
                  </w:r>
                </w:p>
              </w:tc>
              <w:tc>
                <w:tcPr>
                  <w:tcW w:w="2101" w:type="pct"/>
                  <w:gridSpan w:val="4"/>
                  <w:noWrap w:val="0"/>
                  <w:vAlign w:val="center"/>
                </w:tcPr>
                <w:p w14:paraId="0F6C7B8F">
                  <w:pPr>
                    <w:jc w:val="center"/>
                    <w:rPr>
                      <w:color w:val="auto"/>
                      <w:szCs w:val="21"/>
                      <w:highlight w:val="none"/>
                    </w:rPr>
                  </w:pPr>
                  <w:r>
                    <w:rPr>
                      <w:color w:val="auto"/>
                      <w:szCs w:val="21"/>
                      <w:highlight w:val="none"/>
                    </w:rPr>
                    <w:t>有组织</w:t>
                  </w:r>
                </w:p>
              </w:tc>
              <w:tc>
                <w:tcPr>
                  <w:tcW w:w="2057" w:type="pct"/>
                  <w:gridSpan w:val="4"/>
                  <w:noWrap w:val="0"/>
                  <w:vAlign w:val="center"/>
                </w:tcPr>
                <w:p w14:paraId="1491B02B">
                  <w:pPr>
                    <w:jc w:val="center"/>
                    <w:rPr>
                      <w:color w:val="auto"/>
                      <w:szCs w:val="21"/>
                      <w:highlight w:val="none"/>
                    </w:rPr>
                  </w:pPr>
                  <w:r>
                    <w:rPr>
                      <w:color w:val="auto"/>
                      <w:szCs w:val="21"/>
                      <w:highlight w:val="none"/>
                    </w:rPr>
                    <w:t>无组织</w:t>
                  </w:r>
                </w:p>
              </w:tc>
            </w:tr>
            <w:tr w14:paraId="0BD4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33" w:type="pct"/>
                  <w:vMerge w:val="restart"/>
                  <w:noWrap w:val="0"/>
                  <w:vAlign w:val="center"/>
                </w:tcPr>
                <w:p w14:paraId="101F4242">
                  <w:pPr>
                    <w:adjustRightInd w:val="0"/>
                    <w:snapToGrid w:val="0"/>
                    <w:jc w:val="center"/>
                    <w:rPr>
                      <w:b/>
                      <w:color w:val="auto"/>
                      <w:spacing w:val="-10"/>
                      <w:szCs w:val="21"/>
                      <w:highlight w:val="none"/>
                    </w:rPr>
                  </w:pPr>
                  <w:r>
                    <w:rPr>
                      <w:b/>
                      <w:color w:val="auto"/>
                      <w:spacing w:val="-10"/>
                      <w:szCs w:val="21"/>
                      <w:highlight w:val="none"/>
                    </w:rPr>
                    <w:t>治理设施</w:t>
                  </w:r>
                </w:p>
              </w:tc>
              <w:tc>
                <w:tcPr>
                  <w:tcW w:w="607" w:type="pct"/>
                  <w:noWrap w:val="0"/>
                  <w:vAlign w:val="center"/>
                </w:tcPr>
                <w:p w14:paraId="58E45D37">
                  <w:pPr>
                    <w:adjustRightInd w:val="0"/>
                    <w:snapToGrid w:val="0"/>
                    <w:jc w:val="center"/>
                    <w:rPr>
                      <w:b/>
                      <w:color w:val="auto"/>
                      <w:spacing w:val="-10"/>
                      <w:szCs w:val="21"/>
                      <w:highlight w:val="none"/>
                    </w:rPr>
                  </w:pPr>
                  <w:r>
                    <w:rPr>
                      <w:b/>
                      <w:color w:val="auto"/>
                      <w:spacing w:val="-10"/>
                      <w:szCs w:val="21"/>
                      <w:highlight w:val="none"/>
                    </w:rPr>
                    <w:t>处理能力</w:t>
                  </w:r>
                </w:p>
              </w:tc>
              <w:tc>
                <w:tcPr>
                  <w:tcW w:w="2101" w:type="pct"/>
                  <w:gridSpan w:val="4"/>
                  <w:noWrap w:val="0"/>
                  <w:vAlign w:val="center"/>
                </w:tcPr>
                <w:p w14:paraId="54AE3A60">
                  <w:pPr>
                    <w:jc w:val="center"/>
                    <w:rPr>
                      <w:color w:val="auto"/>
                      <w:szCs w:val="21"/>
                      <w:highlight w:val="none"/>
                    </w:rPr>
                  </w:pPr>
                  <w:r>
                    <w:rPr>
                      <w:rFonts w:hint="eastAsia"/>
                      <w:color w:val="auto"/>
                      <w:szCs w:val="21"/>
                      <w:highlight w:val="none"/>
                      <w:lang w:val="en-US" w:eastAsia="zh-CN"/>
                    </w:rPr>
                    <w:t>100</w:t>
                  </w:r>
                  <w:r>
                    <w:rPr>
                      <w:color w:val="auto"/>
                      <w:szCs w:val="21"/>
                      <w:highlight w:val="none"/>
                    </w:rPr>
                    <w:t>00m</w:t>
                  </w:r>
                  <w:r>
                    <w:rPr>
                      <w:color w:val="auto"/>
                      <w:szCs w:val="21"/>
                      <w:highlight w:val="none"/>
                      <w:vertAlign w:val="superscript"/>
                    </w:rPr>
                    <w:t>3</w:t>
                  </w:r>
                  <w:r>
                    <w:rPr>
                      <w:color w:val="auto"/>
                      <w:szCs w:val="21"/>
                      <w:highlight w:val="none"/>
                    </w:rPr>
                    <w:t>/h</w:t>
                  </w:r>
                </w:p>
              </w:tc>
              <w:tc>
                <w:tcPr>
                  <w:tcW w:w="2057" w:type="pct"/>
                  <w:gridSpan w:val="4"/>
                  <w:noWrap w:val="0"/>
                  <w:vAlign w:val="center"/>
                </w:tcPr>
                <w:p w14:paraId="18D244A2">
                  <w:pPr>
                    <w:jc w:val="center"/>
                    <w:rPr>
                      <w:color w:val="auto"/>
                      <w:szCs w:val="21"/>
                      <w:highlight w:val="none"/>
                    </w:rPr>
                  </w:pPr>
                  <w:r>
                    <w:rPr>
                      <w:color w:val="auto"/>
                      <w:szCs w:val="21"/>
                      <w:highlight w:val="none"/>
                    </w:rPr>
                    <w:t>/</w:t>
                  </w:r>
                </w:p>
              </w:tc>
            </w:tr>
            <w:tr w14:paraId="5A7F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33" w:type="pct"/>
                  <w:vMerge w:val="continue"/>
                  <w:noWrap w:val="0"/>
                  <w:vAlign w:val="center"/>
                </w:tcPr>
                <w:p w14:paraId="28473AD7">
                  <w:pPr>
                    <w:adjustRightInd w:val="0"/>
                    <w:snapToGrid w:val="0"/>
                    <w:jc w:val="center"/>
                    <w:rPr>
                      <w:b/>
                      <w:color w:val="auto"/>
                      <w:spacing w:val="-10"/>
                      <w:szCs w:val="21"/>
                      <w:highlight w:val="none"/>
                    </w:rPr>
                  </w:pPr>
                </w:p>
              </w:tc>
              <w:tc>
                <w:tcPr>
                  <w:tcW w:w="607" w:type="pct"/>
                  <w:noWrap w:val="0"/>
                  <w:vAlign w:val="center"/>
                </w:tcPr>
                <w:p w14:paraId="31A32270">
                  <w:pPr>
                    <w:adjustRightInd w:val="0"/>
                    <w:snapToGrid w:val="0"/>
                    <w:jc w:val="center"/>
                    <w:rPr>
                      <w:b/>
                      <w:color w:val="auto"/>
                      <w:spacing w:val="-10"/>
                      <w:szCs w:val="21"/>
                      <w:highlight w:val="none"/>
                    </w:rPr>
                  </w:pPr>
                  <w:r>
                    <w:rPr>
                      <w:b/>
                      <w:color w:val="auto"/>
                      <w:spacing w:val="-10"/>
                      <w:szCs w:val="21"/>
                      <w:highlight w:val="none"/>
                    </w:rPr>
                    <w:t>收集效率</w:t>
                  </w:r>
                </w:p>
              </w:tc>
              <w:tc>
                <w:tcPr>
                  <w:tcW w:w="2101" w:type="pct"/>
                  <w:gridSpan w:val="4"/>
                  <w:noWrap w:val="0"/>
                  <w:vAlign w:val="center"/>
                </w:tcPr>
                <w:p w14:paraId="0344FD71">
                  <w:pPr>
                    <w:jc w:val="center"/>
                    <w:rPr>
                      <w:color w:val="auto"/>
                      <w:szCs w:val="21"/>
                      <w:highlight w:val="none"/>
                    </w:rPr>
                  </w:pPr>
                  <w:r>
                    <w:rPr>
                      <w:color w:val="auto"/>
                      <w:szCs w:val="21"/>
                      <w:highlight w:val="none"/>
                    </w:rPr>
                    <w:t>90%</w:t>
                  </w:r>
                </w:p>
              </w:tc>
              <w:tc>
                <w:tcPr>
                  <w:tcW w:w="2057" w:type="pct"/>
                  <w:gridSpan w:val="4"/>
                  <w:noWrap w:val="0"/>
                  <w:vAlign w:val="center"/>
                </w:tcPr>
                <w:p w14:paraId="19B54415">
                  <w:pPr>
                    <w:jc w:val="center"/>
                    <w:rPr>
                      <w:color w:val="auto"/>
                      <w:szCs w:val="21"/>
                      <w:highlight w:val="none"/>
                    </w:rPr>
                  </w:pPr>
                  <w:r>
                    <w:rPr>
                      <w:color w:val="auto"/>
                      <w:szCs w:val="21"/>
                      <w:highlight w:val="none"/>
                    </w:rPr>
                    <w:t>/</w:t>
                  </w:r>
                </w:p>
              </w:tc>
            </w:tr>
            <w:tr w14:paraId="55AC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33" w:type="pct"/>
                  <w:vMerge w:val="continue"/>
                  <w:noWrap w:val="0"/>
                  <w:vAlign w:val="center"/>
                </w:tcPr>
                <w:p w14:paraId="0F9ECE69">
                  <w:pPr>
                    <w:adjustRightInd w:val="0"/>
                    <w:snapToGrid w:val="0"/>
                    <w:jc w:val="center"/>
                    <w:rPr>
                      <w:b/>
                      <w:color w:val="auto"/>
                      <w:spacing w:val="-10"/>
                      <w:szCs w:val="21"/>
                      <w:highlight w:val="none"/>
                    </w:rPr>
                  </w:pPr>
                </w:p>
              </w:tc>
              <w:tc>
                <w:tcPr>
                  <w:tcW w:w="607" w:type="pct"/>
                  <w:noWrap w:val="0"/>
                  <w:vAlign w:val="center"/>
                </w:tcPr>
                <w:p w14:paraId="68C8C178">
                  <w:pPr>
                    <w:adjustRightInd w:val="0"/>
                    <w:snapToGrid w:val="0"/>
                    <w:jc w:val="center"/>
                    <w:rPr>
                      <w:b/>
                      <w:color w:val="auto"/>
                      <w:spacing w:val="-10"/>
                      <w:szCs w:val="21"/>
                      <w:highlight w:val="none"/>
                    </w:rPr>
                  </w:pPr>
                  <w:r>
                    <w:rPr>
                      <w:b/>
                      <w:color w:val="auto"/>
                      <w:spacing w:val="-10"/>
                      <w:szCs w:val="21"/>
                      <w:highlight w:val="none"/>
                    </w:rPr>
                    <w:t>治理工艺</w:t>
                  </w:r>
                </w:p>
              </w:tc>
              <w:tc>
                <w:tcPr>
                  <w:tcW w:w="2101" w:type="pct"/>
                  <w:gridSpan w:val="4"/>
                  <w:noWrap w:val="0"/>
                  <w:vAlign w:val="center"/>
                </w:tcPr>
                <w:p w14:paraId="62031500">
                  <w:pPr>
                    <w:jc w:val="center"/>
                    <w:rPr>
                      <w:color w:val="auto"/>
                      <w:highlight w:val="none"/>
                    </w:rPr>
                  </w:pPr>
                  <w:r>
                    <w:rPr>
                      <w:rFonts w:hint="eastAsia"/>
                      <w:color w:val="auto"/>
                      <w:highlight w:val="none"/>
                      <w:lang w:val="zh-CN" w:eastAsia="zh-CN"/>
                    </w:rPr>
                    <w:t>封闭生产车间</w:t>
                  </w:r>
                  <w:r>
                    <w:rPr>
                      <w:rFonts w:hint="eastAsia"/>
                      <w:color w:val="auto"/>
                      <w:highlight w:val="none"/>
                      <w:lang w:val="en-US" w:eastAsia="zh-CN"/>
                    </w:rPr>
                    <w:t>集气管道+碱液喷淋洗涤塔+</w:t>
                  </w:r>
                  <w:r>
                    <w:rPr>
                      <w:rFonts w:hint="default"/>
                      <w:color w:val="auto"/>
                      <w:highlight w:val="none"/>
                      <w:lang w:val="en-US" w:eastAsia="zh-CN"/>
                    </w:rPr>
                    <w:t>15m</w:t>
                  </w:r>
                  <w:r>
                    <w:rPr>
                      <w:rFonts w:hint="eastAsia"/>
                      <w:color w:val="auto"/>
                      <w:highlight w:val="none"/>
                      <w:lang w:val="en-US" w:eastAsia="zh-CN"/>
                    </w:rPr>
                    <w:t>高的排气筒</w:t>
                  </w:r>
                </w:p>
              </w:tc>
              <w:tc>
                <w:tcPr>
                  <w:tcW w:w="2057" w:type="pct"/>
                  <w:gridSpan w:val="4"/>
                  <w:noWrap w:val="0"/>
                  <w:vAlign w:val="center"/>
                </w:tcPr>
                <w:p w14:paraId="38AB3B7F">
                  <w:pPr>
                    <w:jc w:val="center"/>
                    <w:rPr>
                      <w:color w:val="auto"/>
                      <w:szCs w:val="21"/>
                      <w:highlight w:val="none"/>
                    </w:rPr>
                  </w:pPr>
                  <w:r>
                    <w:rPr>
                      <w:color w:val="auto"/>
                      <w:szCs w:val="21"/>
                      <w:highlight w:val="none"/>
                    </w:rPr>
                    <w:t>/</w:t>
                  </w:r>
                </w:p>
              </w:tc>
            </w:tr>
            <w:tr w14:paraId="48DE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noWrap w:val="0"/>
                  <w:vAlign w:val="center"/>
                </w:tcPr>
                <w:p w14:paraId="7CA08BBF">
                  <w:pPr>
                    <w:adjustRightInd w:val="0"/>
                    <w:snapToGrid w:val="0"/>
                    <w:jc w:val="center"/>
                    <w:rPr>
                      <w:b/>
                      <w:color w:val="auto"/>
                      <w:spacing w:val="-10"/>
                      <w:szCs w:val="21"/>
                      <w:highlight w:val="none"/>
                    </w:rPr>
                  </w:pPr>
                </w:p>
              </w:tc>
              <w:tc>
                <w:tcPr>
                  <w:tcW w:w="607" w:type="pct"/>
                  <w:noWrap w:val="0"/>
                  <w:vAlign w:val="center"/>
                </w:tcPr>
                <w:p w14:paraId="2F23B225">
                  <w:pPr>
                    <w:adjustRightInd w:val="0"/>
                    <w:snapToGrid w:val="0"/>
                    <w:jc w:val="center"/>
                    <w:rPr>
                      <w:b/>
                      <w:color w:val="auto"/>
                      <w:spacing w:val="-10"/>
                      <w:szCs w:val="21"/>
                      <w:highlight w:val="none"/>
                    </w:rPr>
                  </w:pPr>
                  <w:r>
                    <w:rPr>
                      <w:b/>
                      <w:color w:val="auto"/>
                      <w:spacing w:val="-10"/>
                      <w:szCs w:val="21"/>
                      <w:highlight w:val="none"/>
                    </w:rPr>
                    <w:t>治理工艺去除率</w:t>
                  </w:r>
                </w:p>
              </w:tc>
              <w:tc>
                <w:tcPr>
                  <w:tcW w:w="538" w:type="pct"/>
                  <w:noWrap w:val="0"/>
                  <w:vAlign w:val="center"/>
                </w:tcPr>
                <w:p w14:paraId="2CD2D20B">
                  <w:pPr>
                    <w:jc w:val="center"/>
                    <w:rPr>
                      <w:color w:val="auto"/>
                      <w:szCs w:val="21"/>
                      <w:highlight w:val="none"/>
                    </w:rPr>
                  </w:pPr>
                  <w:r>
                    <w:rPr>
                      <w:rFonts w:hint="eastAsia" w:cs="Times New Roman"/>
                      <w:color w:val="auto"/>
                      <w:w w:val="100"/>
                      <w:kern w:val="2"/>
                      <w:sz w:val="21"/>
                      <w:szCs w:val="21"/>
                      <w:highlight w:val="none"/>
                      <w:lang w:val="en-US" w:eastAsia="zh-CN" w:bidi="ar-SA"/>
                    </w:rPr>
                    <w:t>90</w:t>
                  </w:r>
                  <w:r>
                    <w:rPr>
                      <w:rFonts w:hint="eastAsia" w:ascii="Times New Roman" w:hAnsi="Times New Roman" w:eastAsia="宋体" w:cs="Times New Roman"/>
                      <w:color w:val="auto"/>
                      <w:w w:val="100"/>
                      <w:kern w:val="2"/>
                      <w:sz w:val="21"/>
                      <w:szCs w:val="21"/>
                      <w:highlight w:val="none"/>
                      <w:lang w:val="en-US" w:eastAsia="zh-CN" w:bidi="ar-SA"/>
                    </w:rPr>
                    <w:t>%</w:t>
                  </w:r>
                </w:p>
              </w:tc>
              <w:tc>
                <w:tcPr>
                  <w:tcW w:w="538" w:type="pct"/>
                  <w:noWrap w:val="0"/>
                  <w:vAlign w:val="center"/>
                </w:tcPr>
                <w:p w14:paraId="05BB6D77">
                  <w:pPr>
                    <w:jc w:val="center"/>
                    <w:rPr>
                      <w:rFonts w:hint="eastAsia" w:ascii="Times New Roman" w:hAnsi="Times New Roman" w:eastAsia="宋体" w:cs="Times New Roman"/>
                      <w:color w:val="auto"/>
                      <w:w w:val="100"/>
                      <w:kern w:val="2"/>
                      <w:sz w:val="21"/>
                      <w:szCs w:val="21"/>
                      <w:highlight w:val="none"/>
                      <w:lang w:val="en-US" w:eastAsia="zh-CN" w:bidi="ar-SA"/>
                    </w:rPr>
                  </w:pPr>
                  <w:r>
                    <w:rPr>
                      <w:rFonts w:hint="eastAsia"/>
                      <w:color w:val="auto"/>
                      <w:szCs w:val="21"/>
                      <w:highlight w:val="none"/>
                      <w:lang w:val="en-US" w:eastAsia="zh-CN"/>
                    </w:rPr>
                    <w:t>90%</w:t>
                  </w:r>
                </w:p>
              </w:tc>
              <w:tc>
                <w:tcPr>
                  <w:tcW w:w="468" w:type="pct"/>
                  <w:noWrap w:val="0"/>
                  <w:vAlign w:val="center"/>
                </w:tcPr>
                <w:p w14:paraId="1B3E0969">
                  <w:pPr>
                    <w:jc w:val="center"/>
                    <w:rPr>
                      <w:rFonts w:hint="default"/>
                      <w:color w:val="auto"/>
                      <w:szCs w:val="21"/>
                      <w:highlight w:val="none"/>
                      <w:lang w:val="en-US" w:eastAsia="zh-CN"/>
                    </w:rPr>
                  </w:pPr>
                  <w:r>
                    <w:rPr>
                      <w:rFonts w:hint="eastAsia"/>
                      <w:color w:val="auto"/>
                      <w:szCs w:val="21"/>
                      <w:highlight w:val="none"/>
                      <w:lang w:val="en-US" w:eastAsia="zh-CN"/>
                    </w:rPr>
                    <w:t>70%</w:t>
                  </w:r>
                </w:p>
              </w:tc>
              <w:tc>
                <w:tcPr>
                  <w:tcW w:w="556" w:type="pct"/>
                  <w:noWrap w:val="0"/>
                  <w:vAlign w:val="center"/>
                </w:tcPr>
                <w:p w14:paraId="3AEA29EB">
                  <w:pPr>
                    <w:jc w:val="center"/>
                    <w:rPr>
                      <w:rFonts w:hint="default"/>
                      <w:color w:val="auto"/>
                      <w:szCs w:val="21"/>
                      <w:highlight w:val="none"/>
                      <w:lang w:val="en-US" w:eastAsia="zh-CN"/>
                    </w:rPr>
                  </w:pPr>
                  <w:r>
                    <w:rPr>
                      <w:rFonts w:hint="eastAsia"/>
                      <w:color w:val="auto"/>
                      <w:szCs w:val="21"/>
                      <w:highlight w:val="none"/>
                      <w:lang w:val="en-US" w:eastAsia="zh-CN"/>
                    </w:rPr>
                    <w:t>90%</w:t>
                  </w:r>
                </w:p>
              </w:tc>
              <w:tc>
                <w:tcPr>
                  <w:tcW w:w="2057" w:type="pct"/>
                  <w:gridSpan w:val="4"/>
                  <w:noWrap w:val="0"/>
                  <w:vAlign w:val="center"/>
                </w:tcPr>
                <w:p w14:paraId="3BA175E0">
                  <w:pPr>
                    <w:jc w:val="center"/>
                    <w:rPr>
                      <w:color w:val="auto"/>
                      <w:szCs w:val="21"/>
                      <w:highlight w:val="none"/>
                    </w:rPr>
                  </w:pPr>
                  <w:r>
                    <w:rPr>
                      <w:color w:val="auto"/>
                      <w:szCs w:val="21"/>
                      <w:highlight w:val="none"/>
                    </w:rPr>
                    <w:t>/</w:t>
                  </w:r>
                </w:p>
              </w:tc>
            </w:tr>
            <w:tr w14:paraId="371F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 w:type="pct"/>
                  <w:vMerge w:val="continue"/>
                  <w:noWrap w:val="0"/>
                  <w:vAlign w:val="center"/>
                </w:tcPr>
                <w:p w14:paraId="720CD93C">
                  <w:pPr>
                    <w:adjustRightInd w:val="0"/>
                    <w:snapToGrid w:val="0"/>
                    <w:jc w:val="center"/>
                    <w:rPr>
                      <w:b/>
                      <w:color w:val="auto"/>
                      <w:spacing w:val="-10"/>
                      <w:szCs w:val="21"/>
                      <w:highlight w:val="none"/>
                    </w:rPr>
                  </w:pPr>
                </w:p>
              </w:tc>
              <w:tc>
                <w:tcPr>
                  <w:tcW w:w="607" w:type="pct"/>
                  <w:noWrap w:val="0"/>
                  <w:vAlign w:val="center"/>
                </w:tcPr>
                <w:p w14:paraId="7F8764E4">
                  <w:pPr>
                    <w:adjustRightInd w:val="0"/>
                    <w:snapToGrid w:val="0"/>
                    <w:jc w:val="center"/>
                    <w:rPr>
                      <w:b/>
                      <w:color w:val="auto"/>
                      <w:spacing w:val="-10"/>
                      <w:szCs w:val="21"/>
                      <w:highlight w:val="none"/>
                    </w:rPr>
                  </w:pPr>
                  <w:r>
                    <w:rPr>
                      <w:b/>
                      <w:color w:val="auto"/>
                      <w:spacing w:val="-10"/>
                      <w:szCs w:val="21"/>
                      <w:highlight w:val="none"/>
                    </w:rPr>
                    <w:t>是否为可行技术</w:t>
                  </w:r>
                </w:p>
              </w:tc>
              <w:tc>
                <w:tcPr>
                  <w:tcW w:w="2101" w:type="pct"/>
                  <w:gridSpan w:val="4"/>
                  <w:noWrap w:val="0"/>
                  <w:vAlign w:val="center"/>
                </w:tcPr>
                <w:p w14:paraId="302D6BCE">
                  <w:pPr>
                    <w:jc w:val="center"/>
                    <w:rPr>
                      <w:color w:val="auto"/>
                      <w:szCs w:val="21"/>
                      <w:highlight w:val="none"/>
                    </w:rPr>
                  </w:pPr>
                  <w:r>
                    <w:rPr>
                      <w:rFonts w:hint="eastAsia"/>
                      <w:color w:val="auto"/>
                      <w:szCs w:val="21"/>
                      <w:highlight w:val="none"/>
                      <w:lang w:eastAsia="zh-CN"/>
                    </w:rPr>
                    <w:t>是</w:t>
                  </w:r>
                </w:p>
              </w:tc>
              <w:tc>
                <w:tcPr>
                  <w:tcW w:w="2057" w:type="pct"/>
                  <w:gridSpan w:val="4"/>
                  <w:noWrap w:val="0"/>
                  <w:vAlign w:val="center"/>
                </w:tcPr>
                <w:p w14:paraId="60F668B6">
                  <w:pPr>
                    <w:jc w:val="center"/>
                    <w:rPr>
                      <w:color w:val="auto"/>
                      <w:szCs w:val="21"/>
                      <w:highlight w:val="none"/>
                    </w:rPr>
                  </w:pPr>
                  <w:r>
                    <w:rPr>
                      <w:color w:val="auto"/>
                      <w:szCs w:val="21"/>
                      <w:highlight w:val="none"/>
                    </w:rPr>
                    <w:t>/</w:t>
                  </w:r>
                </w:p>
              </w:tc>
            </w:tr>
            <w:tr w14:paraId="2717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gridSpan w:val="2"/>
                  <w:noWrap w:val="0"/>
                  <w:vAlign w:val="center"/>
                </w:tcPr>
                <w:p w14:paraId="40DB603E">
                  <w:pPr>
                    <w:adjustRightInd w:val="0"/>
                    <w:snapToGrid w:val="0"/>
                    <w:jc w:val="center"/>
                    <w:rPr>
                      <w:b/>
                      <w:color w:val="auto"/>
                      <w:spacing w:val="-10"/>
                      <w:szCs w:val="21"/>
                      <w:highlight w:val="none"/>
                    </w:rPr>
                  </w:pPr>
                  <w:r>
                    <w:rPr>
                      <w:b/>
                      <w:color w:val="auto"/>
                      <w:spacing w:val="-10"/>
                      <w:szCs w:val="21"/>
                      <w:highlight w:val="none"/>
                    </w:rPr>
                    <w:t>污染物排放浓度（mg/m</w:t>
                  </w:r>
                  <w:r>
                    <w:rPr>
                      <w:b/>
                      <w:color w:val="auto"/>
                      <w:spacing w:val="-10"/>
                      <w:szCs w:val="21"/>
                      <w:highlight w:val="none"/>
                      <w:vertAlign w:val="superscript"/>
                    </w:rPr>
                    <w:t>3</w:t>
                  </w:r>
                  <w:r>
                    <w:rPr>
                      <w:b/>
                      <w:color w:val="auto"/>
                      <w:spacing w:val="-10"/>
                      <w:szCs w:val="21"/>
                      <w:highlight w:val="none"/>
                    </w:rPr>
                    <w:t>）</w:t>
                  </w:r>
                </w:p>
              </w:tc>
              <w:tc>
                <w:tcPr>
                  <w:tcW w:w="538" w:type="pct"/>
                  <w:noWrap w:val="0"/>
                  <w:vAlign w:val="center"/>
                </w:tcPr>
                <w:p w14:paraId="42E88380">
                  <w:pPr>
                    <w:jc w:val="center"/>
                    <w:rPr>
                      <w:rFonts w:hint="default"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0.05（最大）</w:t>
                  </w:r>
                </w:p>
              </w:tc>
              <w:tc>
                <w:tcPr>
                  <w:tcW w:w="538" w:type="pct"/>
                  <w:noWrap w:val="0"/>
                  <w:vAlign w:val="center"/>
                </w:tcPr>
                <w:p w14:paraId="4F9C0394">
                  <w:pPr>
                    <w:jc w:val="center"/>
                    <w:rPr>
                      <w:rFonts w:hint="default"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19.47</w:t>
                  </w:r>
                </w:p>
              </w:tc>
              <w:tc>
                <w:tcPr>
                  <w:tcW w:w="468" w:type="pct"/>
                  <w:noWrap w:val="0"/>
                  <w:vAlign w:val="center"/>
                </w:tcPr>
                <w:p w14:paraId="4F80849D">
                  <w:pPr>
                    <w:jc w:val="center"/>
                    <w:rPr>
                      <w:rFonts w:hint="default"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22.5</w:t>
                  </w:r>
                </w:p>
              </w:tc>
              <w:tc>
                <w:tcPr>
                  <w:tcW w:w="556" w:type="pct"/>
                  <w:noWrap w:val="0"/>
                  <w:vAlign w:val="center"/>
                </w:tcPr>
                <w:p w14:paraId="7B01505E">
                  <w:pPr>
                    <w:jc w:val="center"/>
                    <w:rPr>
                      <w:rFonts w:hint="eastAsia"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3.91（最大）</w:t>
                  </w:r>
                </w:p>
              </w:tc>
              <w:tc>
                <w:tcPr>
                  <w:tcW w:w="2057" w:type="pct"/>
                  <w:gridSpan w:val="4"/>
                  <w:noWrap w:val="0"/>
                  <w:vAlign w:val="center"/>
                </w:tcPr>
                <w:p w14:paraId="5BC06C8B">
                  <w:pPr>
                    <w:jc w:val="center"/>
                    <w:rPr>
                      <w:color w:val="auto"/>
                      <w:szCs w:val="21"/>
                      <w:highlight w:val="none"/>
                    </w:rPr>
                  </w:pPr>
                  <w:r>
                    <w:rPr>
                      <w:color w:val="auto"/>
                      <w:szCs w:val="21"/>
                      <w:highlight w:val="none"/>
                    </w:rPr>
                    <w:t>/</w:t>
                  </w:r>
                </w:p>
              </w:tc>
            </w:tr>
            <w:tr w14:paraId="6854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40" w:type="pct"/>
                  <w:gridSpan w:val="2"/>
                  <w:noWrap w:val="0"/>
                  <w:vAlign w:val="center"/>
                </w:tcPr>
                <w:p w14:paraId="4D6F4ADF">
                  <w:pPr>
                    <w:adjustRightInd w:val="0"/>
                    <w:snapToGrid w:val="0"/>
                    <w:jc w:val="center"/>
                    <w:rPr>
                      <w:b/>
                      <w:color w:val="auto"/>
                      <w:spacing w:val="-10"/>
                      <w:szCs w:val="21"/>
                      <w:highlight w:val="none"/>
                    </w:rPr>
                  </w:pPr>
                  <w:r>
                    <w:rPr>
                      <w:b/>
                      <w:color w:val="auto"/>
                      <w:spacing w:val="-10"/>
                      <w:szCs w:val="21"/>
                      <w:highlight w:val="none"/>
                    </w:rPr>
                    <w:t>污染物排放速率（kg/h）</w:t>
                  </w:r>
                </w:p>
              </w:tc>
              <w:tc>
                <w:tcPr>
                  <w:tcW w:w="538" w:type="pct"/>
                  <w:noWrap w:val="0"/>
                  <w:vAlign w:val="center"/>
                </w:tcPr>
                <w:p w14:paraId="7E7D3844">
                  <w:pPr>
                    <w:jc w:val="center"/>
                    <w:rPr>
                      <w:rFonts w:hint="default"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0.0005（最大）</w:t>
                  </w:r>
                </w:p>
              </w:tc>
              <w:tc>
                <w:tcPr>
                  <w:tcW w:w="538" w:type="pct"/>
                  <w:noWrap w:val="0"/>
                  <w:vAlign w:val="center"/>
                </w:tcPr>
                <w:p w14:paraId="0A855C17">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0.1947</w:t>
                  </w:r>
                </w:p>
              </w:tc>
              <w:tc>
                <w:tcPr>
                  <w:tcW w:w="468" w:type="pct"/>
                  <w:noWrap w:val="0"/>
                  <w:vAlign w:val="center"/>
                </w:tcPr>
                <w:p w14:paraId="4FB81758">
                  <w:pPr>
                    <w:jc w:val="center"/>
                    <w:rPr>
                      <w:rFonts w:hint="default" w:eastAsia="宋体"/>
                      <w:color w:val="auto"/>
                      <w:szCs w:val="21"/>
                      <w:highlight w:val="none"/>
                      <w:lang w:val="en-US" w:eastAsia="zh-CN"/>
                    </w:rPr>
                  </w:pPr>
                  <w:r>
                    <w:rPr>
                      <w:rFonts w:hint="eastAsia"/>
                      <w:color w:val="auto"/>
                      <w:szCs w:val="21"/>
                      <w:highlight w:val="none"/>
                      <w:lang w:val="en-US" w:eastAsia="zh-CN"/>
                    </w:rPr>
                    <w:t>0.225</w:t>
                  </w:r>
                </w:p>
              </w:tc>
              <w:tc>
                <w:tcPr>
                  <w:tcW w:w="556" w:type="pct"/>
                  <w:noWrap w:val="0"/>
                  <w:vAlign w:val="center"/>
                </w:tcPr>
                <w:p w14:paraId="6575FAE7">
                  <w:pPr>
                    <w:jc w:val="center"/>
                    <w:rPr>
                      <w:rFonts w:hint="default" w:eastAsia="宋体"/>
                      <w:color w:val="auto"/>
                      <w:szCs w:val="21"/>
                      <w:highlight w:val="none"/>
                      <w:lang w:val="en-US" w:eastAsia="zh-CN"/>
                    </w:rPr>
                  </w:pPr>
                  <w:r>
                    <w:rPr>
                      <w:rFonts w:hint="eastAsia"/>
                      <w:color w:val="auto"/>
                      <w:szCs w:val="21"/>
                      <w:highlight w:val="none"/>
                      <w:lang w:val="en-US" w:eastAsia="zh-CN"/>
                    </w:rPr>
                    <w:t xml:space="preserve"> 0.0391</w:t>
                  </w:r>
                  <w:r>
                    <w:rPr>
                      <w:rFonts w:hint="eastAsia" w:cs="Times New Roman"/>
                      <w:color w:val="auto"/>
                      <w:w w:val="100"/>
                      <w:kern w:val="2"/>
                      <w:sz w:val="21"/>
                      <w:szCs w:val="21"/>
                      <w:highlight w:val="none"/>
                      <w:lang w:val="en-US" w:eastAsia="zh-CN" w:bidi="ar-SA"/>
                    </w:rPr>
                    <w:t>（最大）</w:t>
                  </w:r>
                </w:p>
              </w:tc>
              <w:tc>
                <w:tcPr>
                  <w:tcW w:w="547" w:type="pct"/>
                  <w:noWrap w:val="0"/>
                  <w:vAlign w:val="center"/>
                </w:tcPr>
                <w:p w14:paraId="6106A880">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0.0006（最大）</w:t>
                  </w:r>
                </w:p>
              </w:tc>
              <w:tc>
                <w:tcPr>
                  <w:tcW w:w="565" w:type="pct"/>
                  <w:noWrap w:val="0"/>
                  <w:vAlign w:val="center"/>
                </w:tcPr>
                <w:p w14:paraId="1D9F87FF">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0.2163</w:t>
                  </w:r>
                </w:p>
              </w:tc>
              <w:tc>
                <w:tcPr>
                  <w:tcW w:w="469" w:type="pct"/>
                  <w:noWrap w:val="0"/>
                  <w:vAlign w:val="center"/>
                </w:tcPr>
                <w:p w14:paraId="7BCF9BD2">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0.0833</w:t>
                  </w:r>
                </w:p>
              </w:tc>
              <w:tc>
                <w:tcPr>
                  <w:tcW w:w="475" w:type="pct"/>
                  <w:noWrap w:val="0"/>
                  <w:vAlign w:val="center"/>
                </w:tcPr>
                <w:p w14:paraId="64721456">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0.0564（最大）</w:t>
                  </w:r>
                </w:p>
              </w:tc>
            </w:tr>
            <w:tr w14:paraId="6C2C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gridSpan w:val="2"/>
                  <w:noWrap w:val="0"/>
                  <w:vAlign w:val="center"/>
                </w:tcPr>
                <w:p w14:paraId="535B4A9A">
                  <w:pPr>
                    <w:adjustRightInd w:val="0"/>
                    <w:snapToGrid w:val="0"/>
                    <w:jc w:val="center"/>
                    <w:rPr>
                      <w:b/>
                      <w:color w:val="auto"/>
                      <w:spacing w:val="-10"/>
                      <w:szCs w:val="21"/>
                      <w:highlight w:val="none"/>
                    </w:rPr>
                  </w:pPr>
                  <w:r>
                    <w:rPr>
                      <w:b/>
                      <w:color w:val="auto"/>
                      <w:spacing w:val="-10"/>
                      <w:szCs w:val="21"/>
                      <w:highlight w:val="none"/>
                    </w:rPr>
                    <w:t>污染物排放量（</w:t>
                  </w:r>
                  <w:r>
                    <w:rPr>
                      <w:rFonts w:hint="eastAsia"/>
                      <w:b/>
                      <w:color w:val="auto"/>
                      <w:spacing w:val="-10"/>
                      <w:szCs w:val="21"/>
                      <w:highlight w:val="none"/>
                      <w:lang w:val="en-US" w:eastAsia="zh-CN"/>
                    </w:rPr>
                    <w:t>t</w:t>
                  </w:r>
                  <w:r>
                    <w:rPr>
                      <w:b/>
                      <w:color w:val="auto"/>
                      <w:spacing w:val="-10"/>
                      <w:szCs w:val="21"/>
                      <w:highlight w:val="none"/>
                    </w:rPr>
                    <w:t>/a）</w:t>
                  </w:r>
                </w:p>
              </w:tc>
              <w:tc>
                <w:tcPr>
                  <w:tcW w:w="538" w:type="pct"/>
                  <w:noWrap w:val="0"/>
                  <w:vAlign w:val="center"/>
                </w:tcPr>
                <w:p w14:paraId="522CF427">
                  <w:pPr>
                    <w:jc w:val="center"/>
                    <w:rPr>
                      <w:rFonts w:hint="default"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0.00002</w:t>
                  </w:r>
                </w:p>
              </w:tc>
              <w:tc>
                <w:tcPr>
                  <w:tcW w:w="538" w:type="pct"/>
                  <w:noWrap w:val="0"/>
                  <w:vAlign w:val="center"/>
                </w:tcPr>
                <w:p w14:paraId="059FBEF6">
                  <w:pPr>
                    <w:jc w:val="center"/>
                    <w:rPr>
                      <w:rFonts w:hint="default"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0.00584</w:t>
                  </w:r>
                </w:p>
              </w:tc>
              <w:tc>
                <w:tcPr>
                  <w:tcW w:w="468" w:type="pct"/>
                  <w:noWrap w:val="0"/>
                  <w:vAlign w:val="center"/>
                </w:tcPr>
                <w:p w14:paraId="7B19AC88">
                  <w:pPr>
                    <w:jc w:val="center"/>
                    <w:rPr>
                      <w:rFonts w:hint="default" w:eastAsia="宋体"/>
                      <w:color w:val="auto"/>
                      <w:szCs w:val="21"/>
                      <w:highlight w:val="none"/>
                      <w:lang w:val="en-US" w:eastAsia="zh-CN"/>
                    </w:rPr>
                  </w:pPr>
                  <w:r>
                    <w:rPr>
                      <w:rFonts w:hint="eastAsia"/>
                      <w:color w:val="auto"/>
                      <w:szCs w:val="21"/>
                      <w:highlight w:val="none"/>
                      <w:lang w:val="en-US" w:eastAsia="zh-CN"/>
                    </w:rPr>
                    <w:t>0.027</w:t>
                  </w:r>
                </w:p>
              </w:tc>
              <w:tc>
                <w:tcPr>
                  <w:tcW w:w="556" w:type="pct"/>
                  <w:noWrap w:val="0"/>
                  <w:vAlign w:val="center"/>
                </w:tcPr>
                <w:p w14:paraId="7539D19C">
                  <w:pPr>
                    <w:jc w:val="center"/>
                    <w:rPr>
                      <w:rFonts w:hint="default" w:eastAsia="宋体"/>
                      <w:color w:val="auto"/>
                      <w:szCs w:val="21"/>
                      <w:highlight w:val="none"/>
                      <w:lang w:val="en-US" w:eastAsia="zh-CN"/>
                    </w:rPr>
                  </w:pPr>
                  <w:r>
                    <w:rPr>
                      <w:rFonts w:hint="eastAsia"/>
                      <w:color w:val="auto"/>
                      <w:szCs w:val="21"/>
                      <w:highlight w:val="none"/>
                      <w:lang w:val="en-US" w:eastAsia="zh-CN"/>
                    </w:rPr>
                    <w:t xml:space="preserve"> 0.1877</w:t>
                  </w:r>
                </w:p>
              </w:tc>
              <w:tc>
                <w:tcPr>
                  <w:tcW w:w="547" w:type="pct"/>
                  <w:noWrap w:val="0"/>
                  <w:vAlign w:val="center"/>
                </w:tcPr>
                <w:p w14:paraId="520330E1">
                  <w:pPr>
                    <w:jc w:val="center"/>
                    <w:rPr>
                      <w:rFonts w:hint="default"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0.00002</w:t>
                  </w:r>
                </w:p>
              </w:tc>
              <w:tc>
                <w:tcPr>
                  <w:tcW w:w="565" w:type="pct"/>
                  <w:noWrap w:val="0"/>
                  <w:vAlign w:val="center"/>
                </w:tcPr>
                <w:p w14:paraId="72B58A1F">
                  <w:pPr>
                    <w:jc w:val="center"/>
                    <w:rPr>
                      <w:rFonts w:hint="default"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0.0065</w:t>
                  </w:r>
                </w:p>
              </w:tc>
              <w:tc>
                <w:tcPr>
                  <w:tcW w:w="469" w:type="pct"/>
                  <w:noWrap w:val="0"/>
                  <w:vAlign w:val="center"/>
                </w:tcPr>
                <w:p w14:paraId="404E6B55">
                  <w:pPr>
                    <w:jc w:val="center"/>
                    <w:rPr>
                      <w:rFonts w:hint="default" w:eastAsia="宋体"/>
                      <w:color w:val="auto"/>
                      <w:szCs w:val="21"/>
                      <w:highlight w:val="none"/>
                      <w:lang w:val="en-US" w:eastAsia="zh-CN"/>
                    </w:rPr>
                  </w:pPr>
                  <w:r>
                    <w:rPr>
                      <w:rFonts w:hint="eastAsia" w:cs="Times New Roman"/>
                      <w:color w:val="auto"/>
                      <w:w w:val="100"/>
                      <w:kern w:val="2"/>
                      <w:sz w:val="21"/>
                      <w:szCs w:val="21"/>
                      <w:highlight w:val="none"/>
                      <w:lang w:val="en-US" w:eastAsia="zh-CN" w:bidi="ar-SA"/>
                    </w:rPr>
                    <w:t>0.01</w:t>
                  </w:r>
                </w:p>
              </w:tc>
              <w:tc>
                <w:tcPr>
                  <w:tcW w:w="475" w:type="pct"/>
                  <w:noWrap w:val="0"/>
                  <w:vAlign w:val="center"/>
                </w:tcPr>
                <w:p w14:paraId="798C7EE9">
                  <w:pPr>
                    <w:jc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0.2085</w:t>
                  </w:r>
                </w:p>
              </w:tc>
            </w:tr>
            <w:tr w14:paraId="1FA5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restart"/>
                  <w:noWrap w:val="0"/>
                  <w:vAlign w:val="center"/>
                </w:tcPr>
                <w:p w14:paraId="4B1AE507">
                  <w:pPr>
                    <w:adjustRightInd w:val="0"/>
                    <w:snapToGrid w:val="0"/>
                    <w:jc w:val="center"/>
                    <w:rPr>
                      <w:b/>
                      <w:color w:val="auto"/>
                      <w:spacing w:val="-10"/>
                      <w:szCs w:val="21"/>
                      <w:highlight w:val="none"/>
                    </w:rPr>
                  </w:pPr>
                  <w:r>
                    <w:rPr>
                      <w:b/>
                      <w:color w:val="auto"/>
                      <w:spacing w:val="-10"/>
                      <w:szCs w:val="21"/>
                      <w:highlight w:val="none"/>
                    </w:rPr>
                    <w:t>排放口基本情况</w:t>
                  </w:r>
                </w:p>
              </w:tc>
              <w:tc>
                <w:tcPr>
                  <w:tcW w:w="607" w:type="pct"/>
                  <w:noWrap w:val="0"/>
                  <w:vAlign w:val="center"/>
                </w:tcPr>
                <w:p w14:paraId="397A35C1">
                  <w:pPr>
                    <w:adjustRightInd w:val="0"/>
                    <w:snapToGrid w:val="0"/>
                    <w:jc w:val="center"/>
                    <w:rPr>
                      <w:b/>
                      <w:color w:val="auto"/>
                      <w:spacing w:val="-10"/>
                      <w:szCs w:val="21"/>
                      <w:highlight w:val="none"/>
                    </w:rPr>
                  </w:pPr>
                  <w:r>
                    <w:rPr>
                      <w:b/>
                      <w:color w:val="auto"/>
                      <w:spacing w:val="-10"/>
                      <w:szCs w:val="21"/>
                      <w:highlight w:val="none"/>
                    </w:rPr>
                    <w:t>排气筒高度</w:t>
                  </w:r>
                </w:p>
              </w:tc>
              <w:tc>
                <w:tcPr>
                  <w:tcW w:w="2101" w:type="pct"/>
                  <w:gridSpan w:val="4"/>
                  <w:noWrap w:val="0"/>
                  <w:vAlign w:val="center"/>
                </w:tcPr>
                <w:p w14:paraId="49A9FCFB">
                  <w:pPr>
                    <w:jc w:val="center"/>
                    <w:rPr>
                      <w:rFonts w:hint="default" w:eastAsia="宋体"/>
                      <w:color w:val="auto"/>
                      <w:szCs w:val="21"/>
                      <w:highlight w:val="none"/>
                      <w:lang w:val="en-US" w:eastAsia="zh-CN"/>
                    </w:rPr>
                  </w:pPr>
                  <w:r>
                    <w:rPr>
                      <w:rFonts w:hint="eastAsia"/>
                      <w:color w:val="auto"/>
                      <w:szCs w:val="21"/>
                      <w:highlight w:val="none"/>
                      <w:lang w:val="en-US" w:eastAsia="zh-CN"/>
                    </w:rPr>
                    <w:t>15m</w:t>
                  </w:r>
                </w:p>
              </w:tc>
              <w:tc>
                <w:tcPr>
                  <w:tcW w:w="2057" w:type="pct"/>
                  <w:gridSpan w:val="4"/>
                  <w:noWrap w:val="0"/>
                  <w:vAlign w:val="center"/>
                </w:tcPr>
                <w:p w14:paraId="0DFF74B7">
                  <w:pPr>
                    <w:jc w:val="center"/>
                    <w:rPr>
                      <w:color w:val="auto"/>
                      <w:szCs w:val="21"/>
                      <w:highlight w:val="none"/>
                    </w:rPr>
                  </w:pPr>
                  <w:r>
                    <w:rPr>
                      <w:color w:val="auto"/>
                      <w:szCs w:val="21"/>
                      <w:highlight w:val="none"/>
                    </w:rPr>
                    <w:t>/</w:t>
                  </w:r>
                </w:p>
              </w:tc>
            </w:tr>
            <w:tr w14:paraId="721F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noWrap w:val="0"/>
                  <w:vAlign w:val="center"/>
                </w:tcPr>
                <w:p w14:paraId="44B36D85">
                  <w:pPr>
                    <w:adjustRightInd w:val="0"/>
                    <w:snapToGrid w:val="0"/>
                    <w:jc w:val="center"/>
                    <w:rPr>
                      <w:b/>
                      <w:color w:val="auto"/>
                      <w:spacing w:val="-10"/>
                      <w:szCs w:val="21"/>
                      <w:highlight w:val="none"/>
                    </w:rPr>
                  </w:pPr>
                </w:p>
              </w:tc>
              <w:tc>
                <w:tcPr>
                  <w:tcW w:w="607" w:type="pct"/>
                  <w:noWrap w:val="0"/>
                  <w:vAlign w:val="center"/>
                </w:tcPr>
                <w:p w14:paraId="2A98C434">
                  <w:pPr>
                    <w:adjustRightInd w:val="0"/>
                    <w:snapToGrid w:val="0"/>
                    <w:jc w:val="center"/>
                    <w:rPr>
                      <w:b/>
                      <w:color w:val="auto"/>
                      <w:spacing w:val="-10"/>
                      <w:szCs w:val="21"/>
                      <w:highlight w:val="none"/>
                    </w:rPr>
                  </w:pPr>
                  <w:r>
                    <w:rPr>
                      <w:b/>
                      <w:color w:val="auto"/>
                      <w:spacing w:val="-10"/>
                      <w:szCs w:val="21"/>
                      <w:highlight w:val="none"/>
                    </w:rPr>
                    <w:t>排气筒内径</w:t>
                  </w:r>
                </w:p>
              </w:tc>
              <w:tc>
                <w:tcPr>
                  <w:tcW w:w="2101" w:type="pct"/>
                  <w:gridSpan w:val="4"/>
                  <w:noWrap w:val="0"/>
                  <w:vAlign w:val="center"/>
                </w:tcPr>
                <w:p w14:paraId="7906CBC6">
                  <w:pPr>
                    <w:jc w:val="center"/>
                    <w:rPr>
                      <w:color w:val="auto"/>
                      <w:szCs w:val="21"/>
                      <w:highlight w:val="none"/>
                    </w:rPr>
                  </w:pPr>
                  <w:r>
                    <w:rPr>
                      <w:rFonts w:hint="eastAsia"/>
                      <w:color w:val="auto"/>
                      <w:szCs w:val="21"/>
                      <w:highlight w:val="none"/>
                      <w:lang w:val="en-US" w:eastAsia="zh-CN"/>
                    </w:rPr>
                    <w:t>0.5</w:t>
                  </w:r>
                  <w:r>
                    <w:rPr>
                      <w:color w:val="auto"/>
                      <w:szCs w:val="21"/>
                      <w:highlight w:val="none"/>
                    </w:rPr>
                    <w:t>m</w:t>
                  </w:r>
                </w:p>
              </w:tc>
              <w:tc>
                <w:tcPr>
                  <w:tcW w:w="2057" w:type="pct"/>
                  <w:gridSpan w:val="4"/>
                  <w:noWrap w:val="0"/>
                  <w:vAlign w:val="center"/>
                </w:tcPr>
                <w:p w14:paraId="1A3C0BB3">
                  <w:pPr>
                    <w:jc w:val="center"/>
                    <w:rPr>
                      <w:color w:val="auto"/>
                      <w:szCs w:val="21"/>
                      <w:highlight w:val="none"/>
                    </w:rPr>
                  </w:pPr>
                  <w:r>
                    <w:rPr>
                      <w:color w:val="auto"/>
                      <w:szCs w:val="21"/>
                      <w:highlight w:val="none"/>
                    </w:rPr>
                    <w:t>/</w:t>
                  </w:r>
                </w:p>
              </w:tc>
            </w:tr>
            <w:tr w14:paraId="3A37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noWrap w:val="0"/>
                  <w:vAlign w:val="center"/>
                </w:tcPr>
                <w:p w14:paraId="035BAF09">
                  <w:pPr>
                    <w:adjustRightInd w:val="0"/>
                    <w:snapToGrid w:val="0"/>
                    <w:jc w:val="center"/>
                    <w:rPr>
                      <w:b/>
                      <w:color w:val="auto"/>
                      <w:spacing w:val="-10"/>
                      <w:szCs w:val="21"/>
                      <w:highlight w:val="none"/>
                    </w:rPr>
                  </w:pPr>
                </w:p>
              </w:tc>
              <w:tc>
                <w:tcPr>
                  <w:tcW w:w="607" w:type="pct"/>
                  <w:noWrap w:val="0"/>
                  <w:vAlign w:val="center"/>
                </w:tcPr>
                <w:p w14:paraId="7438E8E9">
                  <w:pPr>
                    <w:adjustRightInd w:val="0"/>
                    <w:snapToGrid w:val="0"/>
                    <w:jc w:val="center"/>
                    <w:rPr>
                      <w:b/>
                      <w:color w:val="auto"/>
                      <w:spacing w:val="-10"/>
                      <w:szCs w:val="21"/>
                      <w:highlight w:val="none"/>
                    </w:rPr>
                  </w:pPr>
                  <w:r>
                    <w:rPr>
                      <w:b/>
                      <w:color w:val="auto"/>
                      <w:spacing w:val="-10"/>
                      <w:szCs w:val="21"/>
                      <w:highlight w:val="none"/>
                    </w:rPr>
                    <w:t>温度</w:t>
                  </w:r>
                </w:p>
              </w:tc>
              <w:tc>
                <w:tcPr>
                  <w:tcW w:w="2101" w:type="pct"/>
                  <w:gridSpan w:val="4"/>
                  <w:noWrap w:val="0"/>
                  <w:vAlign w:val="center"/>
                </w:tcPr>
                <w:p w14:paraId="45E672E4">
                  <w:pPr>
                    <w:jc w:val="center"/>
                    <w:rPr>
                      <w:rFonts w:hint="eastAsia" w:eastAsia="宋体"/>
                      <w:color w:val="auto"/>
                      <w:szCs w:val="21"/>
                      <w:highlight w:val="none"/>
                      <w:lang w:eastAsia="zh-CN"/>
                    </w:rPr>
                  </w:pPr>
                  <w:r>
                    <w:rPr>
                      <w:rFonts w:hint="eastAsia"/>
                      <w:color w:val="auto"/>
                      <w:szCs w:val="21"/>
                      <w:highlight w:val="none"/>
                      <w:lang w:eastAsia="zh-CN"/>
                    </w:rPr>
                    <w:t>常温</w:t>
                  </w:r>
                </w:p>
              </w:tc>
              <w:tc>
                <w:tcPr>
                  <w:tcW w:w="2057" w:type="pct"/>
                  <w:gridSpan w:val="4"/>
                  <w:noWrap w:val="0"/>
                  <w:vAlign w:val="center"/>
                </w:tcPr>
                <w:p w14:paraId="78D5DA5C">
                  <w:pPr>
                    <w:jc w:val="center"/>
                    <w:rPr>
                      <w:color w:val="auto"/>
                      <w:szCs w:val="21"/>
                      <w:highlight w:val="none"/>
                    </w:rPr>
                  </w:pPr>
                  <w:r>
                    <w:rPr>
                      <w:color w:val="auto"/>
                      <w:szCs w:val="21"/>
                      <w:highlight w:val="none"/>
                    </w:rPr>
                    <w:t>/</w:t>
                  </w:r>
                </w:p>
              </w:tc>
            </w:tr>
            <w:tr w14:paraId="27F8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noWrap w:val="0"/>
                  <w:vAlign w:val="center"/>
                </w:tcPr>
                <w:p w14:paraId="4B1A3D79">
                  <w:pPr>
                    <w:adjustRightInd w:val="0"/>
                    <w:snapToGrid w:val="0"/>
                    <w:jc w:val="center"/>
                    <w:rPr>
                      <w:b/>
                      <w:color w:val="auto"/>
                      <w:spacing w:val="-10"/>
                      <w:szCs w:val="21"/>
                      <w:highlight w:val="none"/>
                    </w:rPr>
                  </w:pPr>
                </w:p>
              </w:tc>
              <w:tc>
                <w:tcPr>
                  <w:tcW w:w="607" w:type="pct"/>
                  <w:noWrap w:val="0"/>
                  <w:vAlign w:val="center"/>
                </w:tcPr>
                <w:p w14:paraId="43490CA3">
                  <w:pPr>
                    <w:adjustRightInd w:val="0"/>
                    <w:snapToGrid w:val="0"/>
                    <w:jc w:val="center"/>
                    <w:rPr>
                      <w:b/>
                      <w:color w:val="auto"/>
                      <w:spacing w:val="-10"/>
                      <w:szCs w:val="21"/>
                      <w:highlight w:val="none"/>
                    </w:rPr>
                  </w:pPr>
                  <w:r>
                    <w:rPr>
                      <w:b/>
                      <w:color w:val="auto"/>
                      <w:spacing w:val="-10"/>
                      <w:szCs w:val="21"/>
                      <w:highlight w:val="none"/>
                    </w:rPr>
                    <w:t>编号</w:t>
                  </w:r>
                </w:p>
              </w:tc>
              <w:tc>
                <w:tcPr>
                  <w:tcW w:w="2101" w:type="pct"/>
                  <w:gridSpan w:val="4"/>
                  <w:noWrap w:val="0"/>
                  <w:vAlign w:val="center"/>
                </w:tcPr>
                <w:p w14:paraId="771065FE">
                  <w:pPr>
                    <w:jc w:val="center"/>
                    <w:rPr>
                      <w:color w:val="auto"/>
                      <w:szCs w:val="21"/>
                      <w:highlight w:val="none"/>
                    </w:rPr>
                  </w:pPr>
                  <w:r>
                    <w:rPr>
                      <w:rFonts w:hint="eastAsia"/>
                      <w:color w:val="auto"/>
                      <w:szCs w:val="21"/>
                      <w:highlight w:val="none"/>
                      <w:lang w:val="en-US" w:eastAsia="zh-CN"/>
                    </w:rPr>
                    <w:t>DA002</w:t>
                  </w:r>
                </w:p>
              </w:tc>
              <w:tc>
                <w:tcPr>
                  <w:tcW w:w="2057" w:type="pct"/>
                  <w:gridSpan w:val="4"/>
                  <w:noWrap w:val="0"/>
                  <w:vAlign w:val="center"/>
                </w:tcPr>
                <w:p w14:paraId="48066108">
                  <w:pPr>
                    <w:jc w:val="center"/>
                    <w:rPr>
                      <w:color w:val="auto"/>
                      <w:szCs w:val="21"/>
                      <w:highlight w:val="none"/>
                    </w:rPr>
                  </w:pPr>
                  <w:r>
                    <w:rPr>
                      <w:color w:val="auto"/>
                      <w:szCs w:val="21"/>
                      <w:highlight w:val="none"/>
                    </w:rPr>
                    <w:t>/</w:t>
                  </w:r>
                </w:p>
              </w:tc>
            </w:tr>
            <w:tr w14:paraId="7D7D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noWrap w:val="0"/>
                  <w:vAlign w:val="center"/>
                </w:tcPr>
                <w:p w14:paraId="6C152B51">
                  <w:pPr>
                    <w:adjustRightInd w:val="0"/>
                    <w:snapToGrid w:val="0"/>
                    <w:jc w:val="center"/>
                    <w:rPr>
                      <w:b/>
                      <w:color w:val="auto"/>
                      <w:spacing w:val="-10"/>
                      <w:szCs w:val="21"/>
                      <w:highlight w:val="none"/>
                    </w:rPr>
                  </w:pPr>
                </w:p>
              </w:tc>
              <w:tc>
                <w:tcPr>
                  <w:tcW w:w="607" w:type="pct"/>
                  <w:noWrap w:val="0"/>
                  <w:vAlign w:val="center"/>
                </w:tcPr>
                <w:p w14:paraId="53E9257F">
                  <w:pPr>
                    <w:adjustRightInd w:val="0"/>
                    <w:snapToGrid w:val="0"/>
                    <w:jc w:val="center"/>
                    <w:rPr>
                      <w:b/>
                      <w:color w:val="auto"/>
                      <w:spacing w:val="-10"/>
                      <w:szCs w:val="21"/>
                      <w:highlight w:val="none"/>
                    </w:rPr>
                  </w:pPr>
                  <w:r>
                    <w:rPr>
                      <w:b/>
                      <w:color w:val="auto"/>
                      <w:spacing w:val="-10"/>
                      <w:szCs w:val="21"/>
                      <w:highlight w:val="none"/>
                    </w:rPr>
                    <w:t>类型</w:t>
                  </w:r>
                </w:p>
              </w:tc>
              <w:tc>
                <w:tcPr>
                  <w:tcW w:w="2101" w:type="pct"/>
                  <w:gridSpan w:val="4"/>
                  <w:noWrap w:val="0"/>
                  <w:vAlign w:val="center"/>
                </w:tcPr>
                <w:p w14:paraId="47279039">
                  <w:pPr>
                    <w:jc w:val="center"/>
                    <w:rPr>
                      <w:color w:val="auto"/>
                      <w:szCs w:val="21"/>
                      <w:highlight w:val="none"/>
                    </w:rPr>
                  </w:pPr>
                  <w:r>
                    <w:rPr>
                      <w:color w:val="auto"/>
                      <w:szCs w:val="21"/>
                      <w:highlight w:val="none"/>
                    </w:rPr>
                    <w:t>一般排放口</w:t>
                  </w:r>
                </w:p>
              </w:tc>
              <w:tc>
                <w:tcPr>
                  <w:tcW w:w="2057" w:type="pct"/>
                  <w:gridSpan w:val="4"/>
                  <w:noWrap w:val="0"/>
                  <w:vAlign w:val="center"/>
                </w:tcPr>
                <w:p w14:paraId="0EF4AF79">
                  <w:pPr>
                    <w:jc w:val="center"/>
                    <w:rPr>
                      <w:color w:val="auto"/>
                      <w:szCs w:val="21"/>
                      <w:highlight w:val="none"/>
                    </w:rPr>
                  </w:pPr>
                  <w:r>
                    <w:rPr>
                      <w:color w:val="auto"/>
                      <w:szCs w:val="21"/>
                      <w:highlight w:val="none"/>
                    </w:rPr>
                    <w:t>/</w:t>
                  </w:r>
                </w:p>
              </w:tc>
            </w:tr>
            <w:tr w14:paraId="6F28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continue"/>
                  <w:noWrap w:val="0"/>
                  <w:vAlign w:val="center"/>
                </w:tcPr>
                <w:p w14:paraId="2CBB2537">
                  <w:pPr>
                    <w:adjustRightInd w:val="0"/>
                    <w:snapToGrid w:val="0"/>
                    <w:jc w:val="center"/>
                    <w:rPr>
                      <w:b/>
                      <w:color w:val="auto"/>
                      <w:spacing w:val="-10"/>
                      <w:szCs w:val="21"/>
                      <w:highlight w:val="none"/>
                    </w:rPr>
                  </w:pPr>
                </w:p>
              </w:tc>
              <w:tc>
                <w:tcPr>
                  <w:tcW w:w="607" w:type="pct"/>
                  <w:noWrap w:val="0"/>
                  <w:vAlign w:val="center"/>
                </w:tcPr>
                <w:p w14:paraId="259636A9">
                  <w:pPr>
                    <w:adjustRightInd w:val="0"/>
                    <w:snapToGrid w:val="0"/>
                    <w:jc w:val="center"/>
                    <w:rPr>
                      <w:b/>
                      <w:color w:val="auto"/>
                      <w:spacing w:val="-10"/>
                      <w:szCs w:val="21"/>
                      <w:highlight w:val="none"/>
                    </w:rPr>
                  </w:pPr>
                  <w:r>
                    <w:rPr>
                      <w:b/>
                      <w:color w:val="auto"/>
                      <w:spacing w:val="-10"/>
                      <w:szCs w:val="21"/>
                      <w:highlight w:val="none"/>
                    </w:rPr>
                    <w:t>地理坐标</w:t>
                  </w:r>
                </w:p>
              </w:tc>
              <w:tc>
                <w:tcPr>
                  <w:tcW w:w="2101" w:type="pct"/>
                  <w:gridSpan w:val="4"/>
                  <w:noWrap w:val="0"/>
                  <w:vAlign w:val="center"/>
                </w:tcPr>
                <w:p w14:paraId="076C87FC">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highlight w:val="none"/>
                      <w:lang w:val="en-US" w:eastAsia="zh-CN"/>
                    </w:rPr>
                    <w:t>103°</w:t>
                  </w:r>
                  <w:r>
                    <w:rPr>
                      <w:rFonts w:hint="eastAsia"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23.384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highlight w:val="none"/>
                      <w:lang w:val="en-US" w:eastAsia="zh-CN"/>
                    </w:rPr>
                    <w:t>25°</w:t>
                  </w: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44.081</w:t>
                  </w:r>
                  <w:r>
                    <w:rPr>
                      <w:rFonts w:hint="default" w:ascii="Times New Roman" w:hAnsi="Times New Roman" w:cs="Times New Roman"/>
                      <w:color w:val="auto"/>
                      <w:sz w:val="21"/>
                      <w:szCs w:val="21"/>
                      <w:highlight w:val="none"/>
                      <w:lang w:val="en-US" w:eastAsia="zh-CN"/>
                    </w:rPr>
                    <w:t>″</w:t>
                  </w:r>
                </w:p>
              </w:tc>
              <w:tc>
                <w:tcPr>
                  <w:tcW w:w="2057" w:type="pct"/>
                  <w:gridSpan w:val="4"/>
                  <w:noWrap w:val="0"/>
                  <w:vAlign w:val="center"/>
                </w:tcPr>
                <w:p w14:paraId="60D37515">
                  <w:pPr>
                    <w:jc w:val="center"/>
                    <w:rPr>
                      <w:color w:val="auto"/>
                      <w:szCs w:val="21"/>
                      <w:highlight w:val="none"/>
                    </w:rPr>
                  </w:pPr>
                  <w:r>
                    <w:rPr>
                      <w:color w:val="auto"/>
                      <w:szCs w:val="21"/>
                      <w:highlight w:val="none"/>
                    </w:rPr>
                    <w:t>/</w:t>
                  </w:r>
                </w:p>
              </w:tc>
            </w:tr>
            <w:tr w14:paraId="6DE3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gridSpan w:val="2"/>
                  <w:noWrap w:val="0"/>
                  <w:vAlign w:val="center"/>
                </w:tcPr>
                <w:p w14:paraId="176C4C41">
                  <w:pPr>
                    <w:adjustRightInd w:val="0"/>
                    <w:snapToGrid w:val="0"/>
                    <w:jc w:val="center"/>
                    <w:rPr>
                      <w:b/>
                      <w:color w:val="auto"/>
                      <w:spacing w:val="-10"/>
                      <w:szCs w:val="21"/>
                      <w:highlight w:val="none"/>
                    </w:rPr>
                  </w:pPr>
                  <w:r>
                    <w:rPr>
                      <w:b/>
                      <w:color w:val="auto"/>
                      <w:spacing w:val="-10"/>
                      <w:szCs w:val="21"/>
                      <w:highlight w:val="none"/>
                    </w:rPr>
                    <w:t>排放标准</w:t>
                  </w:r>
                </w:p>
              </w:tc>
              <w:tc>
                <w:tcPr>
                  <w:tcW w:w="2101" w:type="pct"/>
                  <w:gridSpan w:val="4"/>
                  <w:noWrap w:val="0"/>
                  <w:vAlign w:val="center"/>
                </w:tcPr>
                <w:p w14:paraId="30A70645">
                  <w:pPr>
                    <w:jc w:val="center"/>
                    <w:rPr>
                      <w:rFonts w:hint="eastAsia" w:eastAsia="宋体"/>
                      <w:color w:val="auto"/>
                      <w:szCs w:val="21"/>
                      <w:highlight w:val="none"/>
                      <w:lang w:eastAsia="zh-CN"/>
                    </w:rPr>
                  </w:pPr>
                  <w:r>
                    <w:rPr>
                      <w:rFonts w:hint="eastAsia"/>
                      <w:color w:val="auto"/>
                      <w:szCs w:val="21"/>
                      <w:highlight w:val="none"/>
                      <w:lang w:eastAsia="zh-CN"/>
                    </w:rPr>
                    <w:t>颗粒物、</w:t>
                  </w:r>
                  <w:r>
                    <w:rPr>
                      <w:rFonts w:hint="eastAsia"/>
                      <w:color w:val="auto"/>
                      <w:szCs w:val="21"/>
                      <w:highlight w:val="none"/>
                      <w:lang w:val="zh-CN" w:eastAsia="zh-CN"/>
                    </w:rPr>
                    <w:t>氯化氢、氟化物有组织</w:t>
                  </w:r>
                  <w:r>
                    <w:rPr>
                      <w:rFonts w:hint="eastAsia"/>
                      <w:color w:val="auto"/>
                      <w:szCs w:val="21"/>
                      <w:highlight w:val="none"/>
                      <w:lang w:eastAsia="zh-CN"/>
                    </w:rPr>
                    <w:t>排放执行《玻璃工业大气污染物排放标准》（</w:t>
                  </w:r>
                  <w:r>
                    <w:rPr>
                      <w:rFonts w:hint="eastAsia"/>
                      <w:color w:val="auto"/>
                      <w:szCs w:val="21"/>
                      <w:highlight w:val="none"/>
                      <w:lang w:val="en-US" w:eastAsia="zh-CN"/>
                    </w:rPr>
                    <w:t>GB 26453-2022</w:t>
                  </w:r>
                  <w:r>
                    <w:rPr>
                      <w:rFonts w:hint="eastAsia"/>
                      <w:color w:val="auto"/>
                      <w:szCs w:val="21"/>
                      <w:highlight w:val="none"/>
                      <w:lang w:eastAsia="zh-CN"/>
                    </w:rPr>
                    <w:t>）表</w:t>
                  </w:r>
                  <w:r>
                    <w:rPr>
                      <w:rFonts w:hint="eastAsia"/>
                      <w:color w:val="auto"/>
                      <w:szCs w:val="21"/>
                      <w:highlight w:val="none"/>
                      <w:lang w:val="en-US" w:eastAsia="zh-CN"/>
                    </w:rPr>
                    <w:t>1中在线镀膜尾气处理系统排放限值，</w:t>
                  </w:r>
                  <w:r>
                    <w:rPr>
                      <w:rFonts w:hint="eastAsia"/>
                      <w:color w:val="auto"/>
                      <w:szCs w:val="21"/>
                      <w:highlight w:val="none"/>
                      <w:lang w:val="zh-CN" w:eastAsia="zh-CN"/>
                    </w:rPr>
                    <w:t>硫酸雾有组织</w:t>
                  </w:r>
                  <w:r>
                    <w:rPr>
                      <w:rFonts w:hint="eastAsia"/>
                      <w:color w:val="auto"/>
                      <w:szCs w:val="21"/>
                      <w:highlight w:val="none"/>
                      <w:lang w:eastAsia="zh-CN"/>
                    </w:rPr>
                    <w:t>排放执行《大气污染物综合排放标准》（GB16297-1996）表2二级标准，</w:t>
                  </w:r>
                  <w:r>
                    <w:rPr>
                      <w:rFonts w:hint="eastAsia"/>
                      <w:color w:val="auto"/>
                      <w:szCs w:val="21"/>
                      <w:highlight w:val="none"/>
                      <w:lang w:val="zh-CN" w:eastAsia="zh-CN"/>
                    </w:rPr>
                    <w:t>排放速率严格50%要求</w:t>
                  </w:r>
                </w:p>
              </w:tc>
              <w:tc>
                <w:tcPr>
                  <w:tcW w:w="2057" w:type="pct"/>
                  <w:gridSpan w:val="4"/>
                  <w:noWrap w:val="0"/>
                  <w:vAlign w:val="center"/>
                </w:tcPr>
                <w:p w14:paraId="18382579">
                  <w:pPr>
                    <w:jc w:val="center"/>
                    <w:rPr>
                      <w:color w:val="auto"/>
                      <w:szCs w:val="21"/>
                      <w:highlight w:val="none"/>
                    </w:rPr>
                  </w:pPr>
                  <w:r>
                    <w:rPr>
                      <w:color w:val="auto"/>
                      <w:szCs w:val="21"/>
                      <w:highlight w:val="none"/>
                    </w:rPr>
                    <w:t>《大气污染物综合排放标准》（GB16297-1996）表2</w:t>
                  </w:r>
                  <w:r>
                    <w:rPr>
                      <w:rFonts w:hint="eastAsia"/>
                      <w:color w:val="auto"/>
                      <w:szCs w:val="21"/>
                      <w:highlight w:val="none"/>
                      <w:lang w:eastAsia="zh-CN"/>
                    </w:rPr>
                    <w:t>中</w:t>
                  </w:r>
                  <w:r>
                    <w:rPr>
                      <w:color w:val="auto"/>
                      <w:szCs w:val="21"/>
                      <w:highlight w:val="none"/>
                    </w:rPr>
                    <w:t>无组织排放监控浓度限值</w:t>
                  </w:r>
                </w:p>
              </w:tc>
            </w:tr>
            <w:tr w14:paraId="5BAD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Merge w:val="restart"/>
                  <w:noWrap w:val="0"/>
                  <w:vAlign w:val="center"/>
                </w:tcPr>
                <w:p w14:paraId="163255B3">
                  <w:pPr>
                    <w:adjustRightInd w:val="0"/>
                    <w:snapToGrid w:val="0"/>
                    <w:jc w:val="center"/>
                    <w:rPr>
                      <w:b/>
                      <w:color w:val="auto"/>
                      <w:spacing w:val="-10"/>
                      <w:szCs w:val="21"/>
                      <w:highlight w:val="none"/>
                    </w:rPr>
                  </w:pPr>
                  <w:r>
                    <w:rPr>
                      <w:b/>
                      <w:color w:val="auto"/>
                      <w:spacing w:val="-10"/>
                      <w:szCs w:val="21"/>
                      <w:highlight w:val="none"/>
                    </w:rPr>
                    <w:t>监测要求</w:t>
                  </w:r>
                </w:p>
              </w:tc>
              <w:tc>
                <w:tcPr>
                  <w:tcW w:w="607" w:type="pct"/>
                  <w:noWrap w:val="0"/>
                  <w:vAlign w:val="center"/>
                </w:tcPr>
                <w:p w14:paraId="70E96B16">
                  <w:pPr>
                    <w:adjustRightInd w:val="0"/>
                    <w:snapToGrid w:val="0"/>
                    <w:jc w:val="center"/>
                    <w:rPr>
                      <w:b/>
                      <w:color w:val="auto"/>
                      <w:spacing w:val="-10"/>
                      <w:szCs w:val="21"/>
                      <w:highlight w:val="none"/>
                    </w:rPr>
                  </w:pPr>
                  <w:r>
                    <w:rPr>
                      <w:b/>
                      <w:color w:val="auto"/>
                      <w:spacing w:val="-10"/>
                      <w:szCs w:val="21"/>
                      <w:highlight w:val="none"/>
                    </w:rPr>
                    <w:t>监测点位</w:t>
                  </w:r>
                </w:p>
              </w:tc>
              <w:tc>
                <w:tcPr>
                  <w:tcW w:w="2101" w:type="pct"/>
                  <w:gridSpan w:val="4"/>
                  <w:noWrap w:val="0"/>
                  <w:vAlign w:val="center"/>
                </w:tcPr>
                <w:p w14:paraId="7B9B5465">
                  <w:pPr>
                    <w:jc w:val="center"/>
                    <w:rPr>
                      <w:rFonts w:hint="eastAsia"/>
                      <w:color w:val="auto"/>
                      <w:szCs w:val="21"/>
                      <w:highlight w:val="none"/>
                    </w:rPr>
                  </w:pPr>
                  <w:r>
                    <w:rPr>
                      <w:rFonts w:hint="eastAsia"/>
                      <w:color w:val="auto"/>
                      <w:szCs w:val="21"/>
                      <w:highlight w:val="none"/>
                      <w:lang w:val="en-US" w:eastAsia="zh-CN"/>
                    </w:rPr>
                    <w:t>DA002</w:t>
                  </w:r>
                  <w:r>
                    <w:rPr>
                      <w:rFonts w:hint="eastAsia"/>
                      <w:color w:val="auto"/>
                      <w:szCs w:val="21"/>
                      <w:highlight w:val="none"/>
                    </w:rPr>
                    <w:t>排气口，</w:t>
                  </w:r>
                  <w:r>
                    <w:rPr>
                      <w:rFonts w:hint="eastAsia"/>
                      <w:color w:val="auto"/>
                      <w:szCs w:val="21"/>
                      <w:highlight w:val="none"/>
                      <w:lang w:val="en-US" w:eastAsia="zh-CN"/>
                    </w:rPr>
                    <w:t>根据《固定源废气监测技术规范》（HJ/T 397-2007）</w:t>
                  </w:r>
                  <w:r>
                    <w:rPr>
                      <w:rFonts w:hint="eastAsia"/>
                      <w:color w:val="auto"/>
                      <w:szCs w:val="21"/>
                      <w:highlight w:val="none"/>
                    </w:rPr>
                    <w:t>（排放口要求：</w:t>
                  </w:r>
                  <w:r>
                    <w:rPr>
                      <w:rFonts w:hint="eastAsia"/>
                      <w:color w:val="auto"/>
                      <w:highlight w:val="none"/>
                    </w:rPr>
                    <w:t>≥3</w:t>
                  </w:r>
                  <w:r>
                    <w:rPr>
                      <w:rFonts w:hint="eastAsia"/>
                      <w:color w:val="auto"/>
                      <w:highlight w:val="none"/>
                      <w:lang w:val="en-US" w:eastAsia="zh-CN"/>
                    </w:rPr>
                    <w:t>倍管道内径</w:t>
                  </w:r>
                  <w:r>
                    <w:rPr>
                      <w:rFonts w:hint="eastAsia"/>
                      <w:color w:val="auto"/>
                      <w:highlight w:val="none"/>
                    </w:rPr>
                    <w:t>，</w:t>
                  </w:r>
                  <w:r>
                    <w:rPr>
                      <w:rFonts w:hint="eastAsia"/>
                      <w:color w:val="auto"/>
                      <w:highlight w:val="none"/>
                      <w:lang w:eastAsia="zh-CN"/>
                    </w:rPr>
                    <w:t>及</w:t>
                  </w:r>
                  <w:r>
                    <w:rPr>
                      <w:rFonts w:hint="eastAsia"/>
                      <w:color w:val="auto"/>
                      <w:highlight w:val="none"/>
                    </w:rPr>
                    <w:t>少≥1.5</w:t>
                  </w:r>
                  <w:r>
                    <w:rPr>
                      <w:rFonts w:hint="eastAsia"/>
                      <w:color w:val="auto"/>
                      <w:highlight w:val="none"/>
                      <w:lang w:val="en-US" w:eastAsia="zh-CN"/>
                    </w:rPr>
                    <w:t>倍管道内径</w:t>
                  </w:r>
                  <w:r>
                    <w:rPr>
                      <w:rFonts w:hint="eastAsia"/>
                      <w:color w:val="auto"/>
                      <w:highlight w:val="none"/>
                    </w:rPr>
                    <w:t>，采样位置应优先选择在垂直管段，应避开烟道弯头和断面急剧变化的部位，对矩形烟道，其当量直径D=2AB/(A+B)，式中A、B为边长。采样断面的气流速度最好在5m/s以上）</w:t>
                  </w:r>
                </w:p>
              </w:tc>
              <w:tc>
                <w:tcPr>
                  <w:tcW w:w="2057" w:type="pct"/>
                  <w:gridSpan w:val="4"/>
                  <w:noWrap w:val="0"/>
                  <w:vAlign w:val="center"/>
                </w:tcPr>
                <w:p w14:paraId="77493084">
                  <w:pPr>
                    <w:jc w:val="center"/>
                    <w:rPr>
                      <w:rFonts w:hint="default" w:eastAsia="宋体"/>
                      <w:color w:val="auto"/>
                      <w:szCs w:val="21"/>
                      <w:highlight w:val="none"/>
                      <w:lang w:val="en-US" w:eastAsia="zh-CN"/>
                    </w:rPr>
                  </w:pPr>
                  <w:r>
                    <w:rPr>
                      <w:color w:val="auto"/>
                      <w:szCs w:val="21"/>
                      <w:highlight w:val="none"/>
                    </w:rPr>
                    <w:t>厂界</w:t>
                  </w:r>
                  <w:r>
                    <w:rPr>
                      <w:rFonts w:hint="eastAsia"/>
                      <w:color w:val="auto"/>
                      <w:szCs w:val="21"/>
                      <w:highlight w:val="none"/>
                      <w:lang w:val="en-US" w:eastAsia="zh-CN"/>
                    </w:rPr>
                    <w:t>上风向1个点、下风向3个点。</w:t>
                  </w:r>
                </w:p>
              </w:tc>
            </w:tr>
            <w:tr w14:paraId="580D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3" w:type="pct"/>
                  <w:vMerge w:val="continue"/>
                  <w:noWrap w:val="0"/>
                  <w:vAlign w:val="center"/>
                </w:tcPr>
                <w:p w14:paraId="10204347">
                  <w:pPr>
                    <w:adjustRightInd w:val="0"/>
                    <w:snapToGrid w:val="0"/>
                    <w:jc w:val="center"/>
                    <w:rPr>
                      <w:b/>
                      <w:color w:val="auto"/>
                      <w:spacing w:val="-10"/>
                      <w:szCs w:val="21"/>
                      <w:highlight w:val="none"/>
                    </w:rPr>
                  </w:pPr>
                </w:p>
              </w:tc>
              <w:tc>
                <w:tcPr>
                  <w:tcW w:w="607" w:type="pct"/>
                  <w:noWrap w:val="0"/>
                  <w:vAlign w:val="center"/>
                </w:tcPr>
                <w:p w14:paraId="148C08FD">
                  <w:pPr>
                    <w:adjustRightInd w:val="0"/>
                    <w:snapToGrid w:val="0"/>
                    <w:jc w:val="center"/>
                    <w:rPr>
                      <w:b/>
                      <w:color w:val="auto"/>
                      <w:spacing w:val="-10"/>
                      <w:szCs w:val="21"/>
                      <w:highlight w:val="none"/>
                    </w:rPr>
                  </w:pPr>
                  <w:r>
                    <w:rPr>
                      <w:b/>
                      <w:color w:val="auto"/>
                      <w:spacing w:val="-10"/>
                      <w:szCs w:val="21"/>
                      <w:highlight w:val="none"/>
                    </w:rPr>
                    <w:t>监测因子</w:t>
                  </w:r>
                </w:p>
              </w:tc>
              <w:tc>
                <w:tcPr>
                  <w:tcW w:w="2101" w:type="pct"/>
                  <w:gridSpan w:val="4"/>
                  <w:noWrap w:val="0"/>
                  <w:vAlign w:val="center"/>
                </w:tcPr>
                <w:p w14:paraId="5BFCBDF4">
                  <w:pPr>
                    <w:jc w:val="center"/>
                    <w:rPr>
                      <w:rFonts w:hint="eastAsia" w:eastAsia="宋体"/>
                      <w:color w:val="auto"/>
                      <w:szCs w:val="21"/>
                      <w:highlight w:val="none"/>
                      <w:lang w:eastAsia="zh-CN"/>
                    </w:rPr>
                  </w:pPr>
                  <w:r>
                    <w:rPr>
                      <w:color w:val="auto"/>
                      <w:szCs w:val="21"/>
                      <w:highlight w:val="none"/>
                    </w:rPr>
                    <w:t>硫酸雾</w:t>
                  </w:r>
                  <w:r>
                    <w:rPr>
                      <w:rFonts w:hint="eastAsia"/>
                      <w:color w:val="auto"/>
                      <w:szCs w:val="21"/>
                      <w:highlight w:val="none"/>
                      <w:lang w:eastAsia="zh-CN"/>
                    </w:rPr>
                    <w:t>、</w:t>
                  </w:r>
                  <w:r>
                    <w:rPr>
                      <w:rFonts w:hint="eastAsia"/>
                      <w:color w:val="auto"/>
                      <w:szCs w:val="21"/>
                      <w:highlight w:val="none"/>
                      <w:lang w:val="zh-CN" w:eastAsia="zh-CN"/>
                    </w:rPr>
                    <w:t>氯化氢</w:t>
                  </w:r>
                  <w:r>
                    <w:rPr>
                      <w:rFonts w:hint="eastAsia"/>
                      <w:color w:val="auto"/>
                      <w:szCs w:val="21"/>
                      <w:highlight w:val="none"/>
                      <w:lang w:eastAsia="zh-CN"/>
                    </w:rPr>
                    <w:t>、颗粒物、氟化物</w:t>
                  </w:r>
                </w:p>
              </w:tc>
              <w:tc>
                <w:tcPr>
                  <w:tcW w:w="2057" w:type="pct"/>
                  <w:gridSpan w:val="4"/>
                  <w:noWrap w:val="0"/>
                  <w:vAlign w:val="center"/>
                </w:tcPr>
                <w:p w14:paraId="606D0D72">
                  <w:pPr>
                    <w:jc w:val="center"/>
                    <w:rPr>
                      <w:rFonts w:hint="default" w:eastAsia="宋体"/>
                      <w:color w:val="auto"/>
                      <w:szCs w:val="21"/>
                      <w:highlight w:val="none"/>
                      <w:lang w:val="en-US" w:eastAsia="zh-CN"/>
                    </w:rPr>
                  </w:pPr>
                  <w:r>
                    <w:rPr>
                      <w:color w:val="auto"/>
                      <w:szCs w:val="21"/>
                      <w:highlight w:val="none"/>
                    </w:rPr>
                    <w:t>硫酸雾</w:t>
                  </w:r>
                  <w:r>
                    <w:rPr>
                      <w:rFonts w:hint="eastAsia"/>
                      <w:color w:val="auto"/>
                      <w:szCs w:val="21"/>
                      <w:highlight w:val="none"/>
                      <w:lang w:eastAsia="zh-CN"/>
                    </w:rPr>
                    <w:t>、</w:t>
                  </w:r>
                  <w:r>
                    <w:rPr>
                      <w:rFonts w:hint="eastAsia"/>
                      <w:color w:val="auto"/>
                      <w:szCs w:val="21"/>
                      <w:highlight w:val="none"/>
                      <w:lang w:val="zh-CN" w:eastAsia="zh-CN"/>
                    </w:rPr>
                    <w:t>氯化氢</w:t>
                  </w:r>
                  <w:r>
                    <w:rPr>
                      <w:rFonts w:hint="eastAsia"/>
                      <w:color w:val="auto"/>
                      <w:szCs w:val="21"/>
                      <w:highlight w:val="none"/>
                      <w:lang w:eastAsia="zh-CN"/>
                    </w:rPr>
                    <w:t>、颗粒物、氟化物</w:t>
                  </w:r>
                </w:p>
              </w:tc>
            </w:tr>
            <w:tr w14:paraId="5370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 w:type="pct"/>
                  <w:vMerge w:val="continue"/>
                  <w:noWrap w:val="0"/>
                  <w:vAlign w:val="center"/>
                </w:tcPr>
                <w:p w14:paraId="5B5F4859">
                  <w:pPr>
                    <w:adjustRightInd w:val="0"/>
                    <w:snapToGrid w:val="0"/>
                    <w:jc w:val="center"/>
                    <w:rPr>
                      <w:b/>
                      <w:color w:val="auto"/>
                      <w:spacing w:val="-10"/>
                      <w:szCs w:val="21"/>
                      <w:highlight w:val="none"/>
                    </w:rPr>
                  </w:pPr>
                </w:p>
              </w:tc>
              <w:tc>
                <w:tcPr>
                  <w:tcW w:w="607" w:type="pct"/>
                  <w:noWrap w:val="0"/>
                  <w:vAlign w:val="center"/>
                </w:tcPr>
                <w:p w14:paraId="5D0D05CA">
                  <w:pPr>
                    <w:adjustRightInd w:val="0"/>
                    <w:snapToGrid w:val="0"/>
                    <w:jc w:val="center"/>
                    <w:rPr>
                      <w:b/>
                      <w:color w:val="auto"/>
                      <w:spacing w:val="-10"/>
                      <w:szCs w:val="21"/>
                      <w:highlight w:val="none"/>
                    </w:rPr>
                  </w:pPr>
                  <w:r>
                    <w:rPr>
                      <w:b/>
                      <w:color w:val="auto"/>
                      <w:spacing w:val="-10"/>
                      <w:szCs w:val="21"/>
                      <w:highlight w:val="none"/>
                    </w:rPr>
                    <w:t>监测频次</w:t>
                  </w:r>
                </w:p>
              </w:tc>
              <w:tc>
                <w:tcPr>
                  <w:tcW w:w="4159" w:type="pct"/>
                  <w:gridSpan w:val="8"/>
                  <w:noWrap w:val="0"/>
                  <w:vAlign w:val="center"/>
                </w:tcPr>
                <w:p w14:paraId="7F3B84A0">
                  <w:pPr>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1次/半年</w:t>
                  </w:r>
                </w:p>
              </w:tc>
            </w:tr>
          </w:tbl>
          <w:p w14:paraId="789E2756">
            <w:pPr>
              <w:spacing w:line="360" w:lineRule="auto"/>
              <w:ind w:firstLine="482" w:firstLineChars="200"/>
              <w:rPr>
                <w:rFonts w:hint="eastAsia" w:ascii="Times New Roman" w:hAnsi="Times New Roman"/>
                <w:b/>
                <w:bCs/>
                <w:caps w:val="0"/>
                <w:smallCaps w:val="0"/>
                <w:color w:val="auto"/>
                <w:sz w:val="24"/>
                <w:szCs w:val="24"/>
                <w:highlight w:val="none"/>
                <w:lang w:val="en-US" w:eastAsia="zh-CN"/>
              </w:rPr>
            </w:pPr>
            <w:r>
              <w:rPr>
                <w:rFonts w:hint="eastAsia" w:ascii="Times New Roman" w:hAnsi="Times New Roman"/>
                <w:b/>
                <w:bCs/>
                <w:caps w:val="0"/>
                <w:smallCaps w:val="0"/>
                <w:color w:val="auto"/>
                <w:sz w:val="24"/>
                <w:szCs w:val="24"/>
                <w:highlight w:val="none"/>
                <w:lang w:val="en-US" w:eastAsia="zh-CN"/>
              </w:rPr>
              <w:t>（2）废气污染源核算过程</w:t>
            </w:r>
          </w:p>
          <w:p w14:paraId="5CB3DCE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本项目运营过程中</w:t>
            </w:r>
            <w:r>
              <w:rPr>
                <w:rFonts w:hint="default" w:ascii="Times New Roman" w:hAnsi="Times New Roman" w:eastAsia="宋体" w:cs="Times New Roman"/>
                <w:color w:val="auto"/>
                <w:kern w:val="2"/>
                <w:sz w:val="24"/>
                <w:szCs w:val="24"/>
                <w:highlight w:val="none"/>
                <w:lang w:val="zh-CN" w:eastAsia="zh-CN" w:bidi="ar-SA"/>
              </w:rPr>
              <w:t>硫酸雾</w:t>
            </w:r>
            <w:r>
              <w:rPr>
                <w:rFonts w:hint="eastAsia" w:cs="Times New Roman"/>
                <w:color w:val="auto"/>
                <w:kern w:val="2"/>
                <w:sz w:val="24"/>
                <w:szCs w:val="24"/>
                <w:highlight w:val="none"/>
                <w:lang w:val="zh-CN" w:eastAsia="zh-CN" w:bidi="ar-SA"/>
              </w:rPr>
              <w:t>、</w:t>
            </w:r>
            <w:r>
              <w:rPr>
                <w:rFonts w:hint="eastAsia" w:cs="Times New Roman"/>
                <w:color w:val="auto"/>
                <w:sz w:val="24"/>
                <w:highlight w:val="none"/>
                <w:lang w:val="zh-CN" w:eastAsia="zh-CN"/>
              </w:rPr>
              <w:t>氯化氢</w:t>
            </w:r>
            <w:r>
              <w:rPr>
                <w:rFonts w:hint="eastAsia" w:cs="Times New Roman"/>
                <w:color w:val="auto"/>
                <w:kern w:val="2"/>
                <w:sz w:val="24"/>
                <w:szCs w:val="24"/>
                <w:highlight w:val="none"/>
                <w:lang w:val="zh-CN" w:eastAsia="zh-CN" w:bidi="ar-SA"/>
              </w:rPr>
              <w:t>、氟化氢</w:t>
            </w:r>
            <w:r>
              <w:rPr>
                <w:rFonts w:hint="default" w:ascii="Times New Roman" w:hAnsi="Times New Roman" w:eastAsia="宋体" w:cs="Times New Roman"/>
                <w:color w:val="auto"/>
                <w:kern w:val="2"/>
                <w:sz w:val="24"/>
                <w:szCs w:val="24"/>
                <w:highlight w:val="none"/>
                <w:lang w:val="zh-CN" w:eastAsia="zh-CN" w:bidi="ar-SA"/>
              </w:rPr>
              <w:t>废气</w:t>
            </w:r>
            <w:r>
              <w:rPr>
                <w:rFonts w:hint="eastAsia" w:cs="Times New Roman"/>
                <w:color w:val="auto"/>
                <w:kern w:val="2"/>
                <w:sz w:val="24"/>
                <w:szCs w:val="24"/>
                <w:highlight w:val="none"/>
                <w:lang w:val="zh-CN" w:eastAsia="zh-CN" w:bidi="ar-SA"/>
              </w:rPr>
              <w:t>的产生速率</w:t>
            </w:r>
            <w:r>
              <w:rPr>
                <w:rFonts w:hint="default" w:ascii="Times New Roman" w:hAnsi="Times New Roman" w:eastAsia="宋体" w:cs="Times New Roman"/>
                <w:color w:val="auto"/>
                <w:kern w:val="2"/>
                <w:sz w:val="24"/>
                <w:szCs w:val="24"/>
                <w:highlight w:val="none"/>
                <w:lang w:val="zh-CN" w:eastAsia="zh-CN" w:bidi="ar-SA"/>
              </w:rPr>
              <w:t>根据四川科学技术出版社的《环境统计手册》中P72页液体蒸发量的计算公式进行计算：</w:t>
            </w:r>
          </w:p>
          <w:p w14:paraId="5C8420D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jc w:val="center"/>
              <w:textAlignment w:val="baseline"/>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zh-CN" w:eastAsia="zh-CN" w:bidi="ar-SA"/>
              </w:rPr>
              <w:t>Gz=M</w:t>
            </w:r>
            <w:r>
              <w:rPr>
                <w:rFonts w:hint="default" w:ascii="Arial" w:hAnsi="Arial" w:eastAsia="宋体" w:cs="Arial"/>
                <w:b w:val="0"/>
                <w:bCs w:val="0"/>
                <w:color w:val="auto"/>
                <w:kern w:val="2"/>
                <w:sz w:val="24"/>
                <w:szCs w:val="24"/>
                <w:highlight w:val="none"/>
                <w:lang w:val="zh-CN" w:eastAsia="zh-CN" w:bidi="ar-SA"/>
              </w:rPr>
              <w:t>×</w:t>
            </w:r>
            <w:r>
              <w:rPr>
                <w:rFonts w:hint="default" w:ascii="Times New Roman" w:hAnsi="Times New Roman" w:eastAsia="宋体" w:cs="Times New Roman"/>
                <w:b w:val="0"/>
                <w:bCs w:val="0"/>
                <w:color w:val="auto"/>
                <w:kern w:val="2"/>
                <w:sz w:val="24"/>
                <w:szCs w:val="24"/>
                <w:highlight w:val="none"/>
                <w:lang w:val="zh-CN" w:eastAsia="zh-CN" w:bidi="ar-SA"/>
              </w:rPr>
              <w:t>（0.000352+0.000786V）</w:t>
            </w:r>
            <w:r>
              <w:rPr>
                <w:rFonts w:hint="default" w:ascii="Arial" w:hAnsi="Arial" w:eastAsia="宋体" w:cs="Arial"/>
                <w:b w:val="0"/>
                <w:bCs w:val="0"/>
                <w:color w:val="auto"/>
                <w:kern w:val="2"/>
                <w:sz w:val="24"/>
                <w:szCs w:val="24"/>
                <w:highlight w:val="none"/>
                <w:lang w:val="zh-CN" w:eastAsia="zh-CN" w:bidi="ar-SA"/>
              </w:rPr>
              <w:t>×</w:t>
            </w:r>
            <w:r>
              <w:rPr>
                <w:rFonts w:hint="default" w:ascii="Times New Roman" w:hAnsi="Times New Roman" w:eastAsia="宋体" w:cs="Times New Roman"/>
                <w:b w:val="0"/>
                <w:bCs w:val="0"/>
                <w:color w:val="auto"/>
                <w:kern w:val="2"/>
                <w:sz w:val="24"/>
                <w:szCs w:val="24"/>
                <w:highlight w:val="none"/>
                <w:lang w:val="zh-CN" w:eastAsia="zh-CN" w:bidi="ar-SA"/>
              </w:rPr>
              <w:t>P</w:t>
            </w:r>
            <w:r>
              <w:rPr>
                <w:rFonts w:hint="default" w:ascii="Arial" w:hAnsi="Arial" w:eastAsia="宋体" w:cs="Arial"/>
                <w:b w:val="0"/>
                <w:bCs w:val="0"/>
                <w:color w:val="auto"/>
                <w:kern w:val="2"/>
                <w:sz w:val="24"/>
                <w:szCs w:val="24"/>
                <w:highlight w:val="none"/>
                <w:lang w:val="zh-CN" w:eastAsia="zh-CN" w:bidi="ar-SA"/>
              </w:rPr>
              <w:t>×</w:t>
            </w:r>
            <w:r>
              <w:rPr>
                <w:rFonts w:hint="default" w:ascii="Times New Roman" w:hAnsi="Times New Roman" w:eastAsia="宋体" w:cs="Times New Roman"/>
                <w:b w:val="0"/>
                <w:bCs w:val="0"/>
                <w:color w:val="auto"/>
                <w:kern w:val="2"/>
                <w:sz w:val="24"/>
                <w:szCs w:val="24"/>
                <w:highlight w:val="none"/>
                <w:lang w:val="zh-CN" w:eastAsia="zh-CN" w:bidi="ar-SA"/>
              </w:rPr>
              <w:t>F</w:t>
            </w:r>
            <w:r>
              <w:rPr>
                <w:rFonts w:hint="eastAsia" w:cs="Times New Roman"/>
                <w:b w:val="0"/>
                <w:bCs w:val="0"/>
                <w:color w:val="auto"/>
                <w:kern w:val="2"/>
                <w:sz w:val="24"/>
                <w:szCs w:val="24"/>
                <w:highlight w:val="none"/>
                <w:lang w:val="en-US" w:eastAsia="zh-CN" w:bidi="ar-SA"/>
              </w:rPr>
              <w:t xml:space="preserve">        公式（1）</w:t>
            </w:r>
          </w:p>
          <w:p w14:paraId="58EC57B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其中，Gz一液体蒸发量（kg/h）；</w:t>
            </w:r>
          </w:p>
          <w:p w14:paraId="0208CC3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M一液体</w:t>
            </w:r>
            <w:r>
              <w:rPr>
                <w:rFonts w:hint="eastAsia" w:cs="Times New Roman"/>
                <w:color w:val="auto"/>
                <w:kern w:val="2"/>
                <w:sz w:val="24"/>
                <w:szCs w:val="24"/>
                <w:highlight w:val="none"/>
                <w:lang w:val="zh-CN" w:eastAsia="zh-CN" w:bidi="ar-SA"/>
              </w:rPr>
              <w:t>的</w:t>
            </w:r>
            <w:r>
              <w:rPr>
                <w:rFonts w:hint="default" w:ascii="Times New Roman" w:hAnsi="Times New Roman" w:eastAsia="宋体" w:cs="Times New Roman"/>
                <w:color w:val="auto"/>
                <w:kern w:val="2"/>
                <w:sz w:val="24"/>
                <w:szCs w:val="24"/>
                <w:highlight w:val="none"/>
                <w:lang w:val="zh-CN" w:eastAsia="zh-CN" w:bidi="ar-SA"/>
              </w:rPr>
              <w:t>分子量</w:t>
            </w:r>
            <w:r>
              <w:rPr>
                <w:rFonts w:hint="eastAsia" w:cs="Times New Roman"/>
                <w:color w:val="auto"/>
                <w:kern w:val="2"/>
                <w:sz w:val="24"/>
                <w:szCs w:val="24"/>
                <w:highlight w:val="none"/>
                <w:lang w:val="zh-CN" w:eastAsia="zh-CN" w:bidi="ar-SA"/>
              </w:rPr>
              <w:t>。硫酸</w:t>
            </w:r>
            <w:r>
              <w:rPr>
                <w:rFonts w:hint="default" w:ascii="Times New Roman" w:hAnsi="Times New Roman" w:eastAsia="宋体" w:cs="Times New Roman"/>
                <w:color w:val="auto"/>
                <w:kern w:val="2"/>
                <w:sz w:val="24"/>
                <w:szCs w:val="24"/>
                <w:highlight w:val="none"/>
                <w:lang w:val="zh-CN" w:eastAsia="zh-CN" w:bidi="ar-SA"/>
              </w:rPr>
              <w:t>取98</w:t>
            </w:r>
            <w:r>
              <w:rPr>
                <w:rFonts w:hint="eastAsia" w:cs="Times New Roman"/>
                <w:color w:val="auto"/>
                <w:kern w:val="2"/>
                <w:sz w:val="24"/>
                <w:szCs w:val="24"/>
                <w:highlight w:val="none"/>
                <w:lang w:val="zh-CN" w:eastAsia="zh-CN" w:bidi="ar-SA"/>
              </w:rPr>
              <w:t>、盐酸取</w:t>
            </w:r>
            <w:r>
              <w:rPr>
                <w:rFonts w:hint="eastAsia" w:cs="Times New Roman"/>
                <w:color w:val="auto"/>
                <w:kern w:val="2"/>
                <w:sz w:val="24"/>
                <w:szCs w:val="24"/>
                <w:highlight w:val="none"/>
                <w:lang w:val="en-US" w:eastAsia="zh-CN" w:bidi="ar-SA"/>
              </w:rPr>
              <w:t>36.5、氟化氢取20</w:t>
            </w:r>
            <w:r>
              <w:rPr>
                <w:rFonts w:hint="eastAsia" w:cs="Times New Roman"/>
                <w:color w:val="auto"/>
                <w:kern w:val="2"/>
                <w:sz w:val="24"/>
                <w:szCs w:val="24"/>
                <w:highlight w:val="none"/>
                <w:lang w:val="zh-CN" w:eastAsia="zh-CN" w:bidi="ar-SA"/>
              </w:rPr>
              <w:t>；</w:t>
            </w:r>
          </w:p>
          <w:p w14:paraId="52F7DFC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zh-CN" w:eastAsia="zh-CN" w:bidi="ar-SA"/>
              </w:rPr>
              <w:t>V—蒸发液体表面上的空气流速（m/s），以实测数据为准</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无条件实测</w:t>
            </w:r>
            <w:r>
              <w:rPr>
                <w:rFonts w:hint="eastAsia" w:cs="Times New Roman"/>
                <w:color w:val="auto"/>
                <w:kern w:val="2"/>
                <w:sz w:val="24"/>
                <w:szCs w:val="24"/>
                <w:highlight w:val="none"/>
                <w:lang w:val="zh-CN" w:eastAsia="zh-CN" w:bidi="ar-SA"/>
              </w:rPr>
              <w:t>时</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可查表</w:t>
            </w:r>
            <w:r>
              <w:rPr>
                <w:rFonts w:hint="eastAsia" w:cs="Times New Roman"/>
                <w:color w:val="auto"/>
                <w:kern w:val="2"/>
                <w:sz w:val="24"/>
                <w:szCs w:val="24"/>
                <w:highlight w:val="none"/>
                <w:lang w:val="en-US" w:eastAsia="zh-CN" w:bidi="ar-SA"/>
              </w:rPr>
              <w:t>4-10，</w:t>
            </w:r>
            <w:r>
              <w:rPr>
                <w:rFonts w:hint="default" w:ascii="Times New Roman" w:hAnsi="Times New Roman" w:eastAsia="宋体" w:cs="Times New Roman"/>
                <w:color w:val="auto"/>
                <w:kern w:val="2"/>
                <w:sz w:val="24"/>
                <w:szCs w:val="24"/>
                <w:highlight w:val="none"/>
                <w:lang w:val="zh-CN" w:eastAsia="zh-CN" w:bidi="ar-SA"/>
              </w:rPr>
              <w:t>一般取0.2~0.5</w:t>
            </w:r>
            <w:r>
              <w:rPr>
                <w:rFonts w:hint="eastAsia" w:cs="Times New Roman"/>
                <w:color w:val="auto"/>
                <w:kern w:val="2"/>
                <w:sz w:val="24"/>
                <w:szCs w:val="24"/>
                <w:highlight w:val="none"/>
                <w:lang w:val="zh-CN" w:eastAsia="zh-CN" w:bidi="ar-SA"/>
              </w:rPr>
              <w:t>；本项目硫酸稀释、蒙砂液配制以及蒙砂过程</w:t>
            </w:r>
            <w:r>
              <w:rPr>
                <w:rFonts w:hint="default" w:ascii="Times New Roman" w:hAnsi="Times New Roman" w:eastAsia="宋体" w:cs="Times New Roman"/>
                <w:color w:val="auto"/>
                <w:kern w:val="2"/>
                <w:sz w:val="24"/>
                <w:szCs w:val="24"/>
                <w:highlight w:val="none"/>
                <w:lang w:val="zh-CN" w:eastAsia="zh-CN" w:bidi="ar-SA"/>
              </w:rPr>
              <w:t>V</w:t>
            </w:r>
            <w:r>
              <w:rPr>
                <w:rFonts w:hint="eastAsia" w:cs="Times New Roman"/>
                <w:color w:val="auto"/>
                <w:kern w:val="2"/>
                <w:sz w:val="24"/>
                <w:szCs w:val="24"/>
                <w:highlight w:val="none"/>
                <w:lang w:val="zh-CN" w:eastAsia="zh-CN" w:bidi="ar-SA"/>
              </w:rPr>
              <w:t>值均</w:t>
            </w:r>
            <w:r>
              <w:rPr>
                <w:rFonts w:hint="eastAsia" w:cs="Times New Roman"/>
                <w:color w:val="auto"/>
                <w:kern w:val="2"/>
                <w:sz w:val="24"/>
                <w:szCs w:val="24"/>
                <w:highlight w:val="none"/>
                <w:lang w:val="en-US" w:eastAsia="zh-CN" w:bidi="ar-SA"/>
              </w:rPr>
              <w:t>取0.35</w:t>
            </w:r>
            <w:r>
              <w:rPr>
                <w:rFonts w:hint="default" w:ascii="Times New Roman" w:hAnsi="Times New Roman" w:eastAsia="宋体" w:cs="Times New Roman"/>
                <w:color w:val="auto"/>
                <w:kern w:val="2"/>
                <w:sz w:val="24"/>
                <w:szCs w:val="24"/>
                <w:highlight w:val="none"/>
                <w:lang w:val="zh-CN" w:eastAsia="zh-CN" w:bidi="ar-SA"/>
              </w:rPr>
              <w:t>m/s；</w:t>
            </w:r>
          </w:p>
          <w:p w14:paraId="31D997B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zh-CN" w:eastAsia="zh-CN" w:bidi="ar-SA"/>
              </w:rPr>
              <w:t>P一相应于液体温度下的空气</w:t>
            </w:r>
            <w:r>
              <w:rPr>
                <w:rFonts w:hint="eastAsia" w:cs="Times New Roman"/>
                <w:color w:val="auto"/>
                <w:kern w:val="2"/>
                <w:sz w:val="24"/>
                <w:szCs w:val="24"/>
                <w:highlight w:val="none"/>
                <w:lang w:val="zh-CN" w:eastAsia="zh-CN" w:bidi="ar-SA"/>
              </w:rPr>
              <w:t>中的</w:t>
            </w:r>
            <w:r>
              <w:rPr>
                <w:rFonts w:hint="default" w:ascii="Times New Roman" w:hAnsi="Times New Roman" w:eastAsia="宋体" w:cs="Times New Roman"/>
                <w:color w:val="auto"/>
                <w:kern w:val="2"/>
                <w:sz w:val="24"/>
                <w:szCs w:val="24"/>
                <w:highlight w:val="none"/>
                <w:lang w:val="zh-CN" w:eastAsia="zh-CN" w:bidi="ar-SA"/>
              </w:rPr>
              <w:t>蒸汽分压力（mmHg）</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当液体浓度（重量）低于10%时，可用水溶液的</w:t>
            </w:r>
            <w:r>
              <w:rPr>
                <w:rFonts w:hint="eastAsia" w:cs="Times New Roman"/>
                <w:color w:val="auto"/>
                <w:kern w:val="2"/>
                <w:sz w:val="24"/>
                <w:szCs w:val="24"/>
                <w:highlight w:val="none"/>
                <w:lang w:val="zh-CN" w:eastAsia="zh-CN" w:bidi="ar-SA"/>
              </w:rPr>
              <w:t>饱和蒸汽</w:t>
            </w:r>
            <w:r>
              <w:rPr>
                <w:rFonts w:hint="default" w:ascii="Times New Roman" w:hAnsi="Times New Roman" w:eastAsia="宋体" w:cs="Times New Roman"/>
                <w:color w:val="auto"/>
                <w:kern w:val="2"/>
                <w:sz w:val="24"/>
                <w:szCs w:val="24"/>
                <w:highlight w:val="none"/>
                <w:lang w:val="zh-CN" w:eastAsia="zh-CN" w:bidi="ar-SA"/>
              </w:rPr>
              <w:t>压代替</w:t>
            </w:r>
            <w:r>
              <w:rPr>
                <w:rFonts w:hint="eastAsia" w:cs="Times New Roman"/>
                <w:color w:val="auto"/>
                <w:kern w:val="2"/>
                <w:sz w:val="24"/>
                <w:szCs w:val="24"/>
                <w:highlight w:val="none"/>
                <w:lang w:val="zh-CN" w:eastAsia="zh-CN" w:bidi="ar-SA"/>
              </w:rPr>
              <w:t>，查表</w:t>
            </w:r>
            <w:r>
              <w:rPr>
                <w:rFonts w:hint="eastAsia" w:cs="Times New Roman"/>
                <w:color w:val="auto"/>
                <w:kern w:val="2"/>
                <w:sz w:val="24"/>
                <w:szCs w:val="24"/>
                <w:highlight w:val="none"/>
                <w:lang w:val="en-US" w:eastAsia="zh-CN" w:bidi="ar-SA"/>
              </w:rPr>
              <w:t>4-15</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zh-CN" w:eastAsia="zh-CN" w:bidi="ar-SA"/>
              </w:rPr>
              <w:t>当液体重量浓度高于</w:t>
            </w:r>
            <w:r>
              <w:rPr>
                <w:rFonts w:hint="eastAsia" w:ascii="Times New Roman" w:hAnsi="Times New Roman" w:eastAsia="宋体" w:cs="Times New Roman"/>
                <w:color w:val="auto"/>
                <w:kern w:val="2"/>
                <w:sz w:val="24"/>
                <w:szCs w:val="24"/>
                <w:highlight w:val="none"/>
                <w:lang w:val="en-US" w:eastAsia="zh-CN" w:bidi="ar-SA"/>
              </w:rPr>
              <w:t>10%时，</w:t>
            </w:r>
            <w:r>
              <w:rPr>
                <w:rFonts w:hint="eastAsia" w:cs="Times New Roman"/>
                <w:color w:val="auto"/>
                <w:kern w:val="2"/>
                <w:sz w:val="24"/>
                <w:szCs w:val="24"/>
                <w:highlight w:val="none"/>
                <w:lang w:val="en-US" w:eastAsia="zh-CN" w:bidi="ar-SA"/>
              </w:rPr>
              <w:t>可查表</w:t>
            </w:r>
            <w:r>
              <w:rPr>
                <w:rFonts w:hint="default" w:ascii="Times New Roman" w:hAnsi="Times New Roman" w:eastAsia="宋体" w:cs="Times New Roman"/>
                <w:color w:val="auto"/>
                <w:kern w:val="2"/>
                <w:sz w:val="24"/>
                <w:szCs w:val="24"/>
                <w:highlight w:val="none"/>
                <w:lang w:val="zh-CN" w:eastAsia="zh-CN" w:bidi="ar-SA"/>
              </w:rPr>
              <w:t>4-11</w:t>
            </w:r>
            <w:r>
              <w:rPr>
                <w:rFonts w:hint="eastAsia"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4-12、4-13、4-14；</w:t>
            </w:r>
          </w:p>
          <w:p w14:paraId="799E348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F一液体蒸发</w:t>
            </w:r>
            <w:r>
              <w:rPr>
                <w:rFonts w:hint="eastAsia" w:cs="Times New Roman"/>
                <w:color w:val="auto"/>
                <w:kern w:val="2"/>
                <w:sz w:val="24"/>
                <w:szCs w:val="24"/>
                <w:highlight w:val="none"/>
                <w:lang w:val="zh-CN" w:eastAsia="zh-CN" w:bidi="ar-SA"/>
              </w:rPr>
              <w:t>面的</w:t>
            </w:r>
            <w:r>
              <w:rPr>
                <w:rFonts w:hint="default" w:ascii="Times New Roman" w:hAnsi="Times New Roman" w:eastAsia="宋体" w:cs="Times New Roman"/>
                <w:color w:val="auto"/>
                <w:kern w:val="2"/>
                <w:sz w:val="24"/>
                <w:szCs w:val="24"/>
                <w:highlight w:val="none"/>
                <w:lang w:val="zh-CN" w:eastAsia="zh-CN" w:bidi="ar-SA"/>
              </w:rPr>
              <w:t>表面积（m</w:t>
            </w:r>
            <w:r>
              <w:rPr>
                <w:rFonts w:hint="default" w:ascii="Times New Roman" w:hAnsi="Times New Roman" w:eastAsia="宋体" w:cs="Times New Roman"/>
                <w:color w:val="auto"/>
                <w:kern w:val="2"/>
                <w:sz w:val="24"/>
                <w:szCs w:val="24"/>
                <w:highlight w:val="none"/>
                <w:vertAlign w:val="super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。本项目使用的弱酸液配制桶和蒙砂液配制桶尺寸均为Φ280×360mm，单只桶的表面积均为</w:t>
            </w:r>
            <w:r>
              <w:rPr>
                <w:rFonts w:hint="eastAsia" w:cs="Times New Roman"/>
                <w:color w:val="auto"/>
                <w:kern w:val="2"/>
                <w:sz w:val="24"/>
                <w:szCs w:val="24"/>
                <w:highlight w:val="none"/>
                <w:lang w:val="en-US" w:eastAsia="zh-CN" w:bidi="ar-SA"/>
              </w:rPr>
              <w:t>0.06</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2</w:t>
            </w:r>
            <w:r>
              <w:rPr>
                <w:rFonts w:hint="eastAsia"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蒙砂槽</w:t>
            </w:r>
            <w:r>
              <w:rPr>
                <w:rFonts w:hint="default" w:ascii="Times New Roman" w:hAnsi="Times New Roman" w:eastAsia="宋体" w:cs="Times New Roman"/>
                <w:color w:val="auto"/>
                <w:kern w:val="2"/>
                <w:sz w:val="24"/>
                <w:szCs w:val="24"/>
                <w:highlight w:val="none"/>
                <w:lang w:val="zh-CN" w:eastAsia="zh-CN" w:bidi="ar-SA"/>
              </w:rPr>
              <w:t>的表面积为</w:t>
            </w:r>
            <w:r>
              <w:rPr>
                <w:rFonts w:hint="eastAsia" w:cs="Times New Roman"/>
                <w:color w:val="auto"/>
                <w:kern w:val="2"/>
                <w:sz w:val="24"/>
                <w:szCs w:val="24"/>
                <w:highlight w:val="none"/>
                <w:lang w:val="en-US" w:eastAsia="zh-CN" w:bidi="ar-SA"/>
              </w:rPr>
              <w:t>1.96</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w:t>
            </w:r>
          </w:p>
          <w:p w14:paraId="61C2A89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both"/>
              <w:textAlignment w:val="baseline"/>
              <w:rPr>
                <w:rFonts w:hint="default" w:ascii="Times New Roman" w:hAnsi="Times New Roman" w:eastAsia="宋体" w:cs="Times New Roman"/>
                <w:b/>
                <w:bCs/>
                <w:color w:val="auto"/>
                <w:kern w:val="2"/>
                <w:sz w:val="24"/>
                <w:szCs w:val="24"/>
                <w:highlight w:val="none"/>
                <w:lang w:val="zh-CN" w:eastAsia="zh-CN" w:bidi="ar-SA"/>
              </w:rPr>
            </w:pPr>
            <w:r>
              <w:rPr>
                <w:rFonts w:hint="eastAsia"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zh-CN" w:eastAsia="zh-CN" w:bidi="ar-SA"/>
              </w:rPr>
              <w:t>硫酸挥发废气</w:t>
            </w:r>
          </w:p>
          <w:p w14:paraId="4F7D9F6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本项目</w:t>
            </w:r>
            <w:r>
              <w:rPr>
                <w:rFonts w:hint="eastAsia" w:cs="Times New Roman"/>
                <w:color w:val="auto"/>
                <w:kern w:val="2"/>
                <w:sz w:val="24"/>
                <w:szCs w:val="24"/>
                <w:highlight w:val="none"/>
                <w:lang w:val="zh-CN" w:eastAsia="zh-CN" w:bidi="ar-SA"/>
              </w:rPr>
              <w:t>弱酸清洗过程</w:t>
            </w:r>
            <w:r>
              <w:rPr>
                <w:rFonts w:hint="default" w:ascii="Times New Roman" w:hAnsi="Times New Roman" w:eastAsia="宋体" w:cs="Times New Roman"/>
                <w:color w:val="auto"/>
                <w:kern w:val="2"/>
                <w:sz w:val="24"/>
                <w:szCs w:val="24"/>
                <w:highlight w:val="none"/>
                <w:lang w:val="zh-CN" w:eastAsia="zh-CN" w:bidi="ar-SA"/>
              </w:rPr>
              <w:t>采用1%稀硫酸清洗，是由98%</w:t>
            </w:r>
            <w:r>
              <w:rPr>
                <w:rFonts w:hint="eastAsia" w:cs="Times New Roman"/>
                <w:color w:val="auto"/>
                <w:kern w:val="2"/>
                <w:sz w:val="24"/>
                <w:szCs w:val="24"/>
                <w:highlight w:val="none"/>
                <w:lang w:val="zh-CN" w:eastAsia="zh-CN" w:bidi="ar-SA"/>
              </w:rPr>
              <w:t>浓</w:t>
            </w:r>
            <w:r>
              <w:rPr>
                <w:rFonts w:hint="default" w:ascii="Times New Roman" w:hAnsi="Times New Roman" w:eastAsia="宋体" w:cs="Times New Roman"/>
                <w:color w:val="auto"/>
                <w:kern w:val="2"/>
                <w:sz w:val="24"/>
                <w:szCs w:val="24"/>
                <w:highlight w:val="none"/>
                <w:lang w:val="zh-CN" w:eastAsia="zh-CN" w:bidi="ar-SA"/>
              </w:rPr>
              <w:t>硫酸稀释而成。弱酸</w:t>
            </w:r>
            <w:r>
              <w:rPr>
                <w:rFonts w:hint="default" w:cs="Times New Roman"/>
                <w:color w:val="auto"/>
                <w:kern w:val="2"/>
                <w:sz w:val="24"/>
                <w:szCs w:val="24"/>
                <w:highlight w:val="none"/>
                <w:lang w:val="zh-CN" w:eastAsia="zh-CN" w:bidi="ar-SA"/>
              </w:rPr>
              <w:t>清洗液每天配制</w:t>
            </w:r>
            <w:r>
              <w:rPr>
                <w:rFonts w:hint="eastAsia" w:cs="Times New Roman"/>
                <w:color w:val="auto"/>
                <w:kern w:val="2"/>
                <w:sz w:val="24"/>
                <w:szCs w:val="24"/>
                <w:highlight w:val="none"/>
                <w:lang w:val="en-US" w:eastAsia="zh-CN" w:bidi="ar-SA"/>
              </w:rPr>
              <w:t>2</w:t>
            </w:r>
            <w:r>
              <w:rPr>
                <w:rFonts w:hint="default" w:cs="Times New Roman"/>
                <w:color w:val="auto"/>
                <w:kern w:val="2"/>
                <w:sz w:val="24"/>
                <w:szCs w:val="24"/>
                <w:highlight w:val="none"/>
                <w:lang w:val="zh-CN" w:eastAsia="zh-CN" w:bidi="ar-SA"/>
              </w:rPr>
              <w:t>次</w:t>
            </w:r>
            <w:r>
              <w:rPr>
                <w:rFonts w:hint="eastAsia" w:cs="Times New Roman"/>
                <w:color w:val="auto"/>
                <w:kern w:val="2"/>
                <w:sz w:val="24"/>
                <w:szCs w:val="24"/>
                <w:highlight w:val="none"/>
                <w:lang w:val="zh-CN" w:eastAsia="zh-CN" w:bidi="ar-SA"/>
              </w:rPr>
              <w:t>（每班配制</w:t>
            </w:r>
            <w:r>
              <w:rPr>
                <w:rFonts w:hint="eastAsia" w:cs="Times New Roman"/>
                <w:color w:val="auto"/>
                <w:kern w:val="2"/>
                <w:sz w:val="24"/>
                <w:szCs w:val="24"/>
                <w:highlight w:val="none"/>
                <w:lang w:val="en-US" w:eastAsia="zh-CN" w:bidi="ar-SA"/>
              </w:rPr>
              <w:t>1次</w:t>
            </w:r>
            <w:r>
              <w:rPr>
                <w:rFonts w:hint="eastAsia" w:cs="Times New Roman"/>
                <w:color w:val="auto"/>
                <w:kern w:val="2"/>
                <w:sz w:val="24"/>
                <w:szCs w:val="24"/>
                <w:highlight w:val="none"/>
                <w:lang w:val="zh-CN" w:eastAsia="zh-CN" w:bidi="ar-SA"/>
              </w:rPr>
              <w:t>）</w:t>
            </w:r>
            <w:r>
              <w:rPr>
                <w:rFonts w:hint="default"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每次配制</w:t>
            </w:r>
            <w:r>
              <w:rPr>
                <w:rFonts w:hint="eastAsia" w:cs="Times New Roman"/>
                <w:color w:val="auto"/>
                <w:kern w:val="2"/>
                <w:sz w:val="24"/>
                <w:szCs w:val="24"/>
                <w:highlight w:val="none"/>
                <w:lang w:val="en-US" w:eastAsia="zh-CN" w:bidi="ar-SA"/>
              </w:rPr>
              <w:t>10桶，</w:t>
            </w:r>
            <w:r>
              <w:rPr>
                <w:rFonts w:hint="default" w:cs="Times New Roman"/>
                <w:color w:val="auto"/>
                <w:kern w:val="2"/>
                <w:sz w:val="24"/>
                <w:szCs w:val="24"/>
                <w:highlight w:val="none"/>
                <w:lang w:val="zh-CN" w:eastAsia="zh-CN" w:bidi="ar-SA"/>
              </w:rPr>
              <w:t>配制过程有硫酸雾产生。建设单位</w:t>
            </w:r>
            <w:r>
              <w:rPr>
                <w:rFonts w:hint="eastAsia" w:cs="Times New Roman"/>
                <w:color w:val="auto"/>
                <w:kern w:val="2"/>
                <w:sz w:val="24"/>
                <w:szCs w:val="24"/>
                <w:highlight w:val="none"/>
                <w:lang w:val="zh-CN" w:eastAsia="zh-CN" w:bidi="ar-SA"/>
              </w:rPr>
              <w:t>拟将硫酸稀释与蒙砂液配制、蒙砂工序共同置于封闭生产车间内，生产车间保持负压状态，并在上方设置集气管道，</w:t>
            </w:r>
            <w:r>
              <w:rPr>
                <w:rFonts w:hint="default" w:cs="Times New Roman"/>
                <w:color w:val="auto"/>
                <w:kern w:val="2"/>
                <w:sz w:val="24"/>
                <w:szCs w:val="24"/>
                <w:highlight w:val="none"/>
                <w:lang w:val="zh-CN" w:eastAsia="zh-CN" w:bidi="ar-SA"/>
              </w:rPr>
              <w:t>硫酸挥发废气、配料废气</w:t>
            </w:r>
            <w:r>
              <w:rPr>
                <w:rFonts w:hint="eastAsia" w:cs="Times New Roman"/>
                <w:color w:val="auto"/>
                <w:kern w:val="2"/>
                <w:sz w:val="24"/>
                <w:szCs w:val="24"/>
                <w:highlight w:val="none"/>
                <w:lang w:val="zh-CN" w:eastAsia="zh-CN" w:bidi="ar-SA"/>
              </w:rPr>
              <w:t>和蒙砂</w:t>
            </w:r>
            <w:r>
              <w:rPr>
                <w:rFonts w:hint="default" w:cs="Times New Roman"/>
                <w:color w:val="auto"/>
                <w:kern w:val="2"/>
                <w:sz w:val="24"/>
                <w:szCs w:val="24"/>
                <w:highlight w:val="none"/>
                <w:lang w:val="zh-CN" w:eastAsia="zh-CN" w:bidi="ar-SA"/>
              </w:rPr>
              <w:t>废气由</w:t>
            </w:r>
            <w:r>
              <w:rPr>
                <w:rFonts w:hint="eastAsia" w:cs="Times New Roman"/>
                <w:color w:val="auto"/>
                <w:kern w:val="2"/>
                <w:sz w:val="24"/>
                <w:szCs w:val="24"/>
                <w:highlight w:val="none"/>
                <w:lang w:val="zh-CN" w:eastAsia="zh-CN" w:bidi="ar-SA"/>
              </w:rPr>
              <w:t>封</w:t>
            </w:r>
            <w:r>
              <w:rPr>
                <w:rFonts w:hint="default" w:cs="Times New Roman"/>
                <w:color w:val="auto"/>
                <w:kern w:val="2"/>
                <w:sz w:val="24"/>
                <w:szCs w:val="24"/>
                <w:highlight w:val="none"/>
                <w:lang w:val="zh-CN" w:eastAsia="zh-CN" w:bidi="ar-SA"/>
              </w:rPr>
              <w:t>闭生产</w:t>
            </w:r>
            <w:r>
              <w:rPr>
                <w:rFonts w:hint="eastAsia" w:cs="Times New Roman"/>
                <w:color w:val="auto"/>
                <w:kern w:val="2"/>
                <w:sz w:val="24"/>
                <w:szCs w:val="24"/>
                <w:highlight w:val="none"/>
                <w:lang w:val="zh-CN" w:eastAsia="zh-CN" w:bidi="ar-SA"/>
              </w:rPr>
              <w:t>车间</w:t>
            </w:r>
            <w:r>
              <w:rPr>
                <w:rFonts w:hint="default" w:cs="Times New Roman"/>
                <w:color w:val="auto"/>
                <w:kern w:val="2"/>
                <w:sz w:val="24"/>
                <w:szCs w:val="24"/>
                <w:highlight w:val="none"/>
                <w:lang w:val="en-US" w:eastAsia="zh-CN" w:bidi="ar-SA"/>
              </w:rPr>
              <w:t>集气管道</w:t>
            </w:r>
            <w:r>
              <w:rPr>
                <w:rFonts w:hint="default" w:cs="Times New Roman"/>
                <w:color w:val="auto"/>
                <w:kern w:val="2"/>
                <w:sz w:val="24"/>
                <w:szCs w:val="24"/>
                <w:highlight w:val="none"/>
                <w:lang w:val="zh-CN" w:eastAsia="zh-CN" w:bidi="ar-SA"/>
              </w:rPr>
              <w:t>收集后，</w:t>
            </w:r>
            <w:r>
              <w:rPr>
                <w:rFonts w:hint="eastAsia" w:cs="Times New Roman"/>
                <w:color w:val="auto"/>
                <w:kern w:val="2"/>
                <w:sz w:val="24"/>
                <w:szCs w:val="24"/>
                <w:highlight w:val="none"/>
                <w:lang w:val="zh-CN" w:eastAsia="zh-CN" w:bidi="ar-SA"/>
              </w:rPr>
              <w:t>通过</w:t>
            </w:r>
            <w:r>
              <w:rPr>
                <w:rFonts w:hint="default" w:cs="Times New Roman"/>
                <w:color w:val="auto"/>
                <w:kern w:val="2"/>
                <w:sz w:val="24"/>
                <w:szCs w:val="24"/>
                <w:highlight w:val="none"/>
                <w:lang w:val="zh-CN" w:eastAsia="zh-CN" w:bidi="ar-SA"/>
              </w:rPr>
              <w:t>一套碱液喷淋洗涤塔废气治理设施处理，</w:t>
            </w:r>
            <w:r>
              <w:rPr>
                <w:rFonts w:hint="eastAsia" w:cs="Times New Roman"/>
                <w:color w:val="auto"/>
                <w:kern w:val="2"/>
                <w:sz w:val="24"/>
                <w:szCs w:val="24"/>
                <w:highlight w:val="none"/>
                <w:lang w:val="zh-CN" w:eastAsia="zh-CN" w:bidi="ar-SA"/>
              </w:rPr>
              <w:t>后</w:t>
            </w:r>
            <w:r>
              <w:rPr>
                <w:rFonts w:hint="default" w:cs="Times New Roman"/>
                <w:color w:val="auto"/>
                <w:kern w:val="2"/>
                <w:sz w:val="24"/>
                <w:szCs w:val="24"/>
                <w:highlight w:val="none"/>
                <w:lang w:val="zh-CN" w:eastAsia="zh-CN" w:bidi="ar-SA"/>
              </w:rPr>
              <w:t>经15m高排气筒（</w:t>
            </w:r>
            <w:r>
              <w:rPr>
                <w:rFonts w:hint="default" w:cs="Times New Roman"/>
                <w:color w:val="auto"/>
                <w:kern w:val="2"/>
                <w:sz w:val="24"/>
                <w:szCs w:val="24"/>
                <w:highlight w:val="none"/>
                <w:lang w:val="en-US" w:eastAsia="zh-CN" w:bidi="ar-SA"/>
              </w:rPr>
              <w:t>DA002</w:t>
            </w:r>
            <w:r>
              <w:rPr>
                <w:rFonts w:hint="default" w:cs="Times New Roman"/>
                <w:color w:val="auto"/>
                <w:kern w:val="2"/>
                <w:sz w:val="24"/>
                <w:szCs w:val="24"/>
                <w:highlight w:val="none"/>
                <w:lang w:val="zh-CN" w:eastAsia="zh-CN" w:bidi="ar-SA"/>
              </w:rPr>
              <w:t>）排放。根据硫酸的理化性质可知，1%的稀硫酸不易挥发。</w:t>
            </w:r>
          </w:p>
          <w:p w14:paraId="6A92B29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弱酸液配制工序</w:t>
            </w:r>
            <w:r>
              <w:rPr>
                <w:rFonts w:hint="default" w:ascii="Times New Roman" w:hAnsi="Times New Roman" w:eastAsia="宋体" w:cs="Times New Roman"/>
                <w:b/>
                <w:bCs/>
                <w:color w:val="auto"/>
                <w:kern w:val="2"/>
                <w:sz w:val="24"/>
                <w:szCs w:val="24"/>
                <w:highlight w:val="none"/>
                <w:lang w:val="zh-CN" w:eastAsia="zh-CN" w:bidi="ar-SA"/>
              </w:rPr>
              <w:t>硫酸雾的产生速率</w:t>
            </w:r>
            <w:r>
              <w:rPr>
                <w:rFonts w:hint="eastAsia" w:cs="Times New Roman"/>
                <w:b/>
                <w:bCs/>
                <w:color w:val="auto"/>
                <w:kern w:val="2"/>
                <w:sz w:val="24"/>
                <w:szCs w:val="24"/>
                <w:highlight w:val="none"/>
                <w:lang w:val="zh-CN" w:eastAsia="zh-CN" w:bidi="ar-SA"/>
              </w:rPr>
              <w:t>用公式（</w:t>
            </w:r>
            <w:r>
              <w:rPr>
                <w:rFonts w:hint="eastAsia"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进行计算。</w:t>
            </w:r>
            <w:r>
              <w:rPr>
                <w:rFonts w:hint="default" w:ascii="Times New Roman" w:hAnsi="Times New Roman" w:eastAsia="宋体" w:cs="Times New Roman"/>
                <w:color w:val="auto"/>
                <w:kern w:val="2"/>
                <w:sz w:val="24"/>
                <w:szCs w:val="24"/>
                <w:highlight w:val="none"/>
                <w:lang w:val="zh-CN" w:eastAsia="zh-CN" w:bidi="ar-SA"/>
              </w:rPr>
              <w:t>本</w:t>
            </w:r>
            <w:r>
              <w:rPr>
                <w:rFonts w:hint="eastAsia" w:cs="Times New Roman"/>
                <w:color w:val="auto"/>
                <w:kern w:val="2"/>
                <w:sz w:val="24"/>
                <w:szCs w:val="24"/>
                <w:highlight w:val="none"/>
                <w:lang w:val="zh-CN" w:eastAsia="zh-CN" w:bidi="ar-SA"/>
              </w:rPr>
              <w:t>工序</w:t>
            </w:r>
            <w:r>
              <w:rPr>
                <w:rFonts w:hint="eastAsia" w:ascii="Times New Roman" w:hAnsi="Times New Roman" w:eastAsia="宋体" w:cs="Times New Roman"/>
                <w:color w:val="auto"/>
                <w:kern w:val="2"/>
                <w:sz w:val="24"/>
                <w:szCs w:val="24"/>
                <w:highlight w:val="none"/>
                <w:lang w:val="zh-CN" w:eastAsia="zh-CN" w:bidi="ar-SA"/>
              </w:rPr>
              <w:t>弱酸</w:t>
            </w:r>
            <w:r>
              <w:rPr>
                <w:rFonts w:hint="default" w:ascii="Times New Roman" w:hAnsi="Times New Roman" w:eastAsia="宋体" w:cs="Times New Roman"/>
                <w:color w:val="auto"/>
                <w:kern w:val="2"/>
                <w:sz w:val="24"/>
                <w:szCs w:val="24"/>
                <w:highlight w:val="none"/>
                <w:lang w:val="zh-CN" w:eastAsia="zh-CN" w:bidi="ar-SA"/>
              </w:rPr>
              <w:t>液</w:t>
            </w:r>
            <w:r>
              <w:rPr>
                <w:rFonts w:hint="eastAsia" w:cs="Times New Roman"/>
                <w:color w:val="auto"/>
                <w:kern w:val="2"/>
                <w:sz w:val="24"/>
                <w:szCs w:val="24"/>
                <w:highlight w:val="none"/>
                <w:lang w:val="zh-CN" w:eastAsia="zh-CN" w:bidi="ar-SA"/>
              </w:rPr>
              <w:t>配制时使用的硫酸</w:t>
            </w:r>
            <w:r>
              <w:rPr>
                <w:rFonts w:hint="default" w:ascii="Times New Roman" w:hAnsi="Times New Roman" w:eastAsia="宋体" w:cs="Times New Roman"/>
                <w:color w:val="auto"/>
                <w:kern w:val="2"/>
                <w:sz w:val="24"/>
                <w:szCs w:val="24"/>
                <w:highlight w:val="none"/>
                <w:lang w:val="zh-CN" w:eastAsia="zh-CN" w:bidi="ar-SA"/>
              </w:rPr>
              <w:t>为</w:t>
            </w:r>
            <w:r>
              <w:rPr>
                <w:rFonts w:hint="eastAsia" w:cs="Times New Roman"/>
                <w:color w:val="auto"/>
                <w:kern w:val="2"/>
                <w:sz w:val="24"/>
                <w:szCs w:val="24"/>
                <w:highlight w:val="none"/>
                <w:lang w:val="en-US" w:eastAsia="zh-CN" w:bidi="ar-SA"/>
              </w:rPr>
              <w:t>98</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zh-CN" w:eastAsia="zh-CN" w:bidi="ar-SA"/>
              </w:rPr>
              <w:t>硫酸</w:t>
            </w:r>
            <w:r>
              <w:rPr>
                <w:rFonts w:hint="default" w:ascii="Times New Roman" w:hAnsi="Times New Roman" w:eastAsia="宋体" w:cs="Times New Roman"/>
                <w:color w:val="auto"/>
                <w:kern w:val="2"/>
                <w:sz w:val="24"/>
                <w:szCs w:val="24"/>
                <w:highlight w:val="none"/>
                <w:lang w:val="zh-CN" w:eastAsia="zh-CN" w:bidi="ar-SA"/>
              </w:rPr>
              <w:t>，查《环境统计手册》表4-1</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zh-CN" w:eastAsia="zh-CN" w:bidi="ar-SA"/>
              </w:rPr>
              <w:t>中室温（20℃）硫酸溶液的硫酸分压</w:t>
            </w:r>
            <w:r>
              <w:rPr>
                <w:rFonts w:hint="eastAsia" w:ascii="Times New Roman" w:hAnsi="Times New Roman" w:eastAsia="宋体" w:cs="Times New Roman"/>
                <w:color w:val="auto"/>
                <w:kern w:val="2"/>
                <w:sz w:val="24"/>
                <w:szCs w:val="24"/>
                <w:highlight w:val="none"/>
                <w:lang w:val="zh-CN" w:eastAsia="zh-CN" w:bidi="ar-SA"/>
              </w:rPr>
              <w:t>，因没有</w:t>
            </w:r>
            <w:r>
              <w:rPr>
                <w:rFonts w:hint="eastAsia" w:ascii="Times New Roman" w:hAnsi="Times New Roman" w:eastAsia="宋体" w:cs="Times New Roman"/>
                <w:color w:val="auto"/>
                <w:kern w:val="2"/>
                <w:sz w:val="24"/>
                <w:szCs w:val="24"/>
                <w:highlight w:val="none"/>
                <w:lang w:val="en-US" w:eastAsia="zh-CN" w:bidi="ar-SA"/>
              </w:rPr>
              <w:t>98%硫酸对应的蒸汽分压，因此按最大浓度80%硫酸的蒸汽分压进行计算。即：</w:t>
            </w:r>
            <w:r>
              <w:rPr>
                <w:rFonts w:hint="default" w:ascii="Times New Roman" w:hAnsi="Times New Roman" w:eastAsia="宋体" w:cs="Times New Roman"/>
                <w:color w:val="auto"/>
                <w:kern w:val="2"/>
                <w:sz w:val="24"/>
                <w:szCs w:val="24"/>
                <w:highlight w:val="none"/>
                <w:lang w:val="zh-CN" w:eastAsia="zh-CN" w:bidi="ar-SA"/>
              </w:rPr>
              <w:t>查《环境统计手册》表4-1</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zh-CN" w:eastAsia="zh-CN" w:bidi="ar-SA"/>
              </w:rPr>
              <w:t>中室温（20℃）</w:t>
            </w:r>
            <w:r>
              <w:rPr>
                <w:rFonts w:hint="eastAsia" w:ascii="Times New Roman" w:hAnsi="Times New Roman" w:eastAsia="宋体" w:cs="Times New Roman"/>
                <w:color w:val="auto"/>
                <w:kern w:val="2"/>
                <w:sz w:val="24"/>
                <w:szCs w:val="24"/>
                <w:highlight w:val="none"/>
                <w:lang w:val="en-US" w:eastAsia="zh-CN" w:bidi="ar-SA"/>
              </w:rPr>
              <w:t>80</w:t>
            </w:r>
            <w:r>
              <w:rPr>
                <w:rFonts w:hint="default" w:ascii="Times New Roman" w:hAnsi="Times New Roman" w:eastAsia="宋体" w:cs="Times New Roman"/>
                <w:color w:val="auto"/>
                <w:kern w:val="2"/>
                <w:sz w:val="24"/>
                <w:szCs w:val="24"/>
                <w:highlight w:val="none"/>
                <w:lang w:val="zh-CN" w:eastAsia="zh-CN" w:bidi="ar-SA"/>
              </w:rPr>
              <w:t>%硫酸溶液的硫酸分压</w:t>
            </w:r>
            <w:r>
              <w:rPr>
                <w:rFonts w:hint="eastAsia" w:cs="Times New Roman"/>
                <w:color w:val="auto"/>
                <w:kern w:val="2"/>
                <w:sz w:val="24"/>
                <w:szCs w:val="24"/>
                <w:highlight w:val="none"/>
                <w:lang w:val="zh-CN" w:eastAsia="zh-CN" w:bidi="ar-SA"/>
              </w:rPr>
              <w:t>得</w:t>
            </w:r>
            <w:r>
              <w:rPr>
                <w:rFonts w:hint="default" w:ascii="Times New Roman" w:hAnsi="Times New Roman" w:eastAsia="宋体" w:cs="Times New Roman"/>
                <w:color w:val="auto"/>
                <w:kern w:val="2"/>
                <w:sz w:val="24"/>
                <w:szCs w:val="24"/>
                <w:highlight w:val="none"/>
                <w:lang w:val="zh-CN" w:eastAsia="zh-CN" w:bidi="ar-SA"/>
              </w:rPr>
              <w:t>P</w:t>
            </w:r>
            <w:r>
              <w:rPr>
                <w:rFonts w:hint="eastAsia" w:ascii="Times New Roman" w:hAnsi="Times New Roman" w:eastAsia="宋体" w:cs="Times New Roman"/>
                <w:color w:val="auto"/>
                <w:kern w:val="2"/>
                <w:sz w:val="24"/>
                <w:szCs w:val="24"/>
                <w:highlight w:val="none"/>
                <w:lang w:val="en-US" w:eastAsia="zh-CN" w:bidi="ar-SA"/>
              </w:rPr>
              <w:t>80</w:t>
            </w:r>
            <w:r>
              <w:rPr>
                <w:rFonts w:hint="default" w:ascii="Times New Roman" w:hAnsi="Times New Roman" w:eastAsia="宋体" w:cs="Times New Roman"/>
                <w:color w:val="auto"/>
                <w:kern w:val="2"/>
                <w:sz w:val="24"/>
                <w:szCs w:val="24"/>
                <w:highlight w:val="none"/>
                <w:lang w:val="zh-CN" w:eastAsia="zh-CN" w:bidi="ar-SA"/>
              </w:rPr>
              <w:t>%H</w:t>
            </w:r>
            <w:r>
              <w:rPr>
                <w:rFonts w:hint="default" w:ascii="Times New Roman" w:hAnsi="Times New Roman" w:eastAsia="宋体" w:cs="Times New Roman"/>
                <w:color w:val="auto"/>
                <w:kern w:val="2"/>
                <w:sz w:val="24"/>
                <w:szCs w:val="24"/>
                <w:highlight w:val="none"/>
                <w:vertAlign w:val="sub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SO</w:t>
            </w:r>
            <w:r>
              <w:rPr>
                <w:rFonts w:hint="default" w:ascii="Times New Roman" w:hAnsi="Times New Roman" w:eastAsia="宋体" w:cs="Times New Roman"/>
                <w:color w:val="auto"/>
                <w:kern w:val="2"/>
                <w:sz w:val="24"/>
                <w:szCs w:val="24"/>
                <w:highlight w:val="none"/>
                <w:vertAlign w:val="subscript"/>
                <w:lang w:val="zh-CN" w:eastAsia="zh-CN" w:bidi="ar-SA"/>
              </w:rPr>
              <w:t>4</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0.08</w:t>
            </w:r>
            <w:r>
              <w:rPr>
                <w:rFonts w:hint="default" w:ascii="Times New Roman" w:hAnsi="Times New Roman" w:eastAsia="宋体" w:cs="Times New Roman"/>
                <w:color w:val="auto"/>
                <w:kern w:val="2"/>
                <w:sz w:val="24"/>
                <w:szCs w:val="24"/>
                <w:highlight w:val="none"/>
                <w:lang w:val="zh-CN" w:eastAsia="zh-CN" w:bidi="ar-SA"/>
              </w:rPr>
              <w:t>mmHg；</w:t>
            </w:r>
            <w:r>
              <w:rPr>
                <w:rFonts w:hint="eastAsia" w:cs="Times New Roman"/>
                <w:color w:val="auto"/>
                <w:kern w:val="2"/>
                <w:sz w:val="24"/>
                <w:szCs w:val="24"/>
                <w:highlight w:val="none"/>
                <w:lang w:val="en-US" w:eastAsia="zh-CN" w:bidi="ar-SA"/>
              </w:rPr>
              <w:t>10只</w:t>
            </w:r>
            <w:r>
              <w:rPr>
                <w:rFonts w:hint="eastAsia" w:cs="Times New Roman"/>
                <w:color w:val="auto"/>
                <w:kern w:val="2"/>
                <w:sz w:val="24"/>
                <w:szCs w:val="24"/>
                <w:highlight w:val="none"/>
                <w:lang w:val="zh-CN" w:eastAsia="zh-CN" w:bidi="ar-SA"/>
              </w:rPr>
              <w:t>弱酸液配制桶的蒸发</w:t>
            </w:r>
            <w:r>
              <w:rPr>
                <w:rFonts w:hint="default" w:ascii="Times New Roman" w:hAnsi="Times New Roman" w:eastAsia="宋体" w:cs="Times New Roman"/>
                <w:color w:val="auto"/>
                <w:kern w:val="2"/>
                <w:sz w:val="24"/>
                <w:szCs w:val="24"/>
                <w:highlight w:val="none"/>
                <w:lang w:val="zh-CN" w:eastAsia="zh-CN" w:bidi="ar-SA"/>
              </w:rPr>
              <w:t>表面积为</w:t>
            </w:r>
            <w:r>
              <w:rPr>
                <w:rFonts w:hint="eastAsia" w:cs="Times New Roman"/>
                <w:color w:val="auto"/>
                <w:kern w:val="2"/>
                <w:sz w:val="24"/>
                <w:szCs w:val="24"/>
                <w:highlight w:val="none"/>
                <w:lang w:val="en-US" w:eastAsia="zh-CN" w:bidi="ar-SA"/>
              </w:rPr>
              <w:t>0.6</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w:t>
            </w:r>
          </w:p>
          <w:p w14:paraId="6864DD0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经计算</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本项目</w:t>
            </w:r>
            <w:r>
              <w:rPr>
                <w:rFonts w:hint="eastAsia" w:cs="Times New Roman"/>
                <w:color w:val="auto"/>
                <w:kern w:val="2"/>
                <w:sz w:val="24"/>
                <w:szCs w:val="24"/>
                <w:highlight w:val="none"/>
                <w:lang w:val="zh-CN" w:eastAsia="zh-CN" w:bidi="ar-SA"/>
              </w:rPr>
              <w:t>弱</w:t>
            </w:r>
            <w:r>
              <w:rPr>
                <w:rFonts w:hint="default" w:ascii="Times New Roman" w:hAnsi="Times New Roman" w:eastAsia="宋体" w:cs="Times New Roman"/>
                <w:color w:val="auto"/>
                <w:kern w:val="2"/>
                <w:sz w:val="24"/>
                <w:szCs w:val="24"/>
                <w:highlight w:val="none"/>
                <w:lang w:val="zh-CN" w:eastAsia="zh-CN" w:bidi="ar-SA"/>
              </w:rPr>
              <w:t>酸</w:t>
            </w:r>
            <w:r>
              <w:rPr>
                <w:rFonts w:hint="eastAsia" w:cs="Times New Roman"/>
                <w:color w:val="auto"/>
                <w:kern w:val="2"/>
                <w:sz w:val="24"/>
                <w:szCs w:val="24"/>
                <w:highlight w:val="none"/>
                <w:lang w:val="zh-CN" w:eastAsia="zh-CN" w:bidi="ar-SA"/>
              </w:rPr>
              <w:t>配制</w:t>
            </w:r>
            <w:r>
              <w:rPr>
                <w:rFonts w:hint="default" w:ascii="Times New Roman" w:hAnsi="Times New Roman" w:eastAsia="宋体" w:cs="Times New Roman"/>
                <w:color w:val="auto"/>
                <w:kern w:val="2"/>
                <w:sz w:val="24"/>
                <w:szCs w:val="24"/>
                <w:highlight w:val="none"/>
                <w:lang w:val="zh-CN" w:eastAsia="zh-CN" w:bidi="ar-SA"/>
              </w:rPr>
              <w:t>过程中硫酸蒸发量为</w:t>
            </w:r>
            <w:r>
              <w:rPr>
                <w:rFonts w:hint="eastAsia" w:cs="Times New Roman"/>
                <w:color w:val="auto"/>
                <w:kern w:val="2"/>
                <w:sz w:val="24"/>
                <w:szCs w:val="24"/>
                <w:highlight w:val="none"/>
                <w:lang w:val="en-US" w:eastAsia="zh-CN" w:bidi="ar-SA"/>
              </w:rPr>
              <w:t>0.0029</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。本项目</w:t>
            </w:r>
            <w:r>
              <w:rPr>
                <w:rFonts w:hint="default" w:ascii="Times New Roman" w:hAnsi="Times New Roman" w:eastAsia="宋体" w:cs="Times New Roman"/>
                <w:color w:val="auto"/>
                <w:kern w:val="2"/>
                <w:sz w:val="24"/>
                <w:szCs w:val="24"/>
                <w:highlight w:val="none"/>
                <w:lang w:val="zh-CN" w:eastAsia="zh-CN" w:bidi="ar-SA"/>
              </w:rPr>
              <w:t>年运行300天</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每天</w:t>
            </w:r>
            <w:r>
              <w:rPr>
                <w:rFonts w:hint="eastAsia" w:cs="Times New Roman"/>
                <w:color w:val="auto"/>
                <w:kern w:val="2"/>
                <w:sz w:val="24"/>
                <w:szCs w:val="24"/>
                <w:highlight w:val="none"/>
                <w:lang w:val="zh-CN" w:eastAsia="zh-CN" w:bidi="ar-SA"/>
              </w:rPr>
              <w:t>配制弱酸液</w:t>
            </w:r>
            <w:r>
              <w:rPr>
                <w:rFonts w:hint="eastAsia" w:cs="Times New Roman"/>
                <w:color w:val="auto"/>
                <w:kern w:val="2"/>
                <w:sz w:val="24"/>
                <w:szCs w:val="24"/>
                <w:highlight w:val="none"/>
                <w:lang w:val="en-US" w:eastAsia="zh-CN" w:bidi="ar-SA"/>
              </w:rPr>
              <w:t>2次</w:t>
            </w:r>
            <w:r>
              <w:rPr>
                <w:rFonts w:hint="eastAsia" w:cs="Times New Roman"/>
                <w:color w:val="auto"/>
                <w:kern w:val="2"/>
                <w:sz w:val="24"/>
                <w:szCs w:val="24"/>
                <w:highlight w:val="none"/>
                <w:lang w:val="zh-CN" w:eastAsia="zh-CN" w:bidi="ar-SA"/>
              </w:rPr>
              <w:t>（每班配制</w:t>
            </w:r>
            <w:r>
              <w:rPr>
                <w:rFonts w:hint="eastAsia" w:cs="Times New Roman"/>
                <w:color w:val="auto"/>
                <w:kern w:val="2"/>
                <w:sz w:val="24"/>
                <w:szCs w:val="24"/>
                <w:highlight w:val="none"/>
                <w:lang w:val="en-US" w:eastAsia="zh-CN" w:bidi="ar-SA"/>
              </w:rPr>
              <w:t>1次</w:t>
            </w:r>
            <w:r>
              <w:rPr>
                <w:rFonts w:hint="eastAsia"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每次配制0.1h。弱酸液配制过程中因硫酸倒入时刻会挥发出硫酸雾，因此硫酸雾的产生时间按瞬时配制时间计。本工序瞬时配制时间按溶液配制时间的一半时间考虑，即：每天的瞬时配制时间为0.1h，每年的瞬时配制时间为30h</w:t>
            </w:r>
            <w:r>
              <w:rPr>
                <w:rFonts w:hint="default" w:ascii="Times New Roman" w:hAnsi="Times New Roman" w:eastAsia="宋体" w:cs="Times New Roman"/>
                <w:color w:val="auto"/>
                <w:kern w:val="2"/>
                <w:sz w:val="24"/>
                <w:szCs w:val="24"/>
                <w:highlight w:val="none"/>
                <w:lang w:val="zh-CN" w:eastAsia="zh-CN" w:bidi="ar-SA"/>
              </w:rPr>
              <w:t>，则硫酸雾的产生量为</w:t>
            </w:r>
            <w:r>
              <w:rPr>
                <w:rFonts w:hint="eastAsia" w:cs="Times New Roman"/>
                <w:color w:val="auto"/>
                <w:kern w:val="2"/>
                <w:sz w:val="24"/>
                <w:szCs w:val="24"/>
                <w:highlight w:val="none"/>
                <w:lang w:val="en-US" w:eastAsia="zh-CN" w:bidi="ar-SA"/>
              </w:rPr>
              <w:t>0.00009</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。封</w:t>
            </w:r>
            <w:r>
              <w:rPr>
                <w:rFonts w:hint="eastAsia" w:ascii="Times New Roman" w:hAnsi="Times New Roman" w:cs="Times New Roman"/>
                <w:color w:val="auto"/>
                <w:kern w:val="2"/>
                <w:sz w:val="24"/>
                <w:szCs w:val="24"/>
                <w:highlight w:val="none"/>
                <w:lang w:val="zh-CN" w:eastAsia="zh-CN" w:bidi="ar-SA"/>
              </w:rPr>
              <w:t>闭</w:t>
            </w:r>
            <w:r>
              <w:rPr>
                <w:rFonts w:hint="eastAsia" w:cs="Times New Roman"/>
                <w:color w:val="auto"/>
                <w:kern w:val="2"/>
                <w:sz w:val="24"/>
                <w:szCs w:val="24"/>
                <w:highlight w:val="none"/>
                <w:lang w:val="zh-CN" w:eastAsia="zh-CN" w:bidi="ar-SA"/>
              </w:rPr>
              <w:t>生产车间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则该工序有组织硫酸雾的产生量为</w:t>
            </w:r>
            <w:r>
              <w:rPr>
                <w:rFonts w:hint="eastAsia" w:cs="Times New Roman"/>
                <w:color w:val="auto"/>
                <w:kern w:val="2"/>
                <w:sz w:val="24"/>
                <w:szCs w:val="24"/>
                <w:highlight w:val="none"/>
                <w:lang w:val="en-US" w:eastAsia="zh-CN" w:bidi="ar-SA"/>
              </w:rPr>
              <w:t>0.00008</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产生速率为</w:t>
            </w:r>
            <w:r>
              <w:rPr>
                <w:rFonts w:hint="eastAsia" w:cs="Times New Roman"/>
                <w:color w:val="auto"/>
                <w:kern w:val="2"/>
                <w:sz w:val="24"/>
                <w:szCs w:val="24"/>
                <w:highlight w:val="none"/>
                <w:lang w:val="en-US" w:eastAsia="zh-CN" w:bidi="ar-SA"/>
              </w:rPr>
              <w:t>0.0026</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2FB236B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封</w:t>
            </w:r>
            <w:r>
              <w:rPr>
                <w:rFonts w:hint="eastAsia" w:ascii="Times New Roman" w:hAnsi="Times New Roman" w:eastAsia="宋体" w:cs="Times New Roman"/>
                <w:color w:val="auto"/>
                <w:kern w:val="2"/>
                <w:sz w:val="24"/>
                <w:szCs w:val="24"/>
                <w:highlight w:val="none"/>
                <w:lang w:val="zh-CN" w:eastAsia="zh-CN" w:bidi="ar-SA"/>
              </w:rPr>
              <w:t>闭生产</w:t>
            </w:r>
            <w:r>
              <w:rPr>
                <w:rFonts w:hint="eastAsia" w:cs="Times New Roman"/>
                <w:color w:val="auto"/>
                <w:kern w:val="2"/>
                <w:sz w:val="24"/>
                <w:szCs w:val="24"/>
                <w:highlight w:val="none"/>
                <w:lang w:val="zh-CN" w:eastAsia="zh-CN" w:bidi="ar-SA"/>
              </w:rPr>
              <w:t>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eastAsia="宋体"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color w:val="auto"/>
                <w:sz w:val="24"/>
                <w:highlight w:val="none"/>
                <w:lang w:val="zh-CN"/>
              </w:rPr>
              <w:t>则剩余</w:t>
            </w:r>
            <w:r>
              <w:rPr>
                <w:rFonts w:hint="eastAsia"/>
                <w:color w:val="auto"/>
                <w:sz w:val="24"/>
                <w:highlight w:val="none"/>
              </w:rPr>
              <w:t>10</w:t>
            </w:r>
            <w:r>
              <w:rPr>
                <w:color w:val="auto"/>
                <w:sz w:val="24"/>
                <w:highlight w:val="none"/>
                <w:lang w:val="zh-CN"/>
              </w:rPr>
              <w:t>%未被</w:t>
            </w:r>
            <w:r>
              <w:rPr>
                <w:rFonts w:hint="eastAsia"/>
                <w:color w:val="auto"/>
                <w:sz w:val="24"/>
                <w:highlight w:val="none"/>
                <w:lang w:val="zh-CN"/>
              </w:rPr>
              <w:t>集气管道</w:t>
            </w:r>
            <w:r>
              <w:rPr>
                <w:color w:val="auto"/>
                <w:sz w:val="24"/>
                <w:highlight w:val="none"/>
                <w:lang w:val="zh-CN"/>
              </w:rPr>
              <w:t>收集的</w:t>
            </w:r>
            <w:r>
              <w:rPr>
                <w:rFonts w:hint="eastAsia"/>
                <w:color w:val="auto"/>
                <w:sz w:val="24"/>
                <w:highlight w:val="none"/>
                <w:lang w:val="zh-CN"/>
              </w:rPr>
              <w:t>硫酸雾</w:t>
            </w:r>
            <w:r>
              <w:rPr>
                <w:color w:val="auto"/>
                <w:sz w:val="24"/>
                <w:highlight w:val="none"/>
                <w:lang w:val="zh-CN"/>
              </w:rPr>
              <w:t>在</w:t>
            </w:r>
            <w:r>
              <w:rPr>
                <w:rFonts w:hint="eastAsia"/>
                <w:color w:val="auto"/>
                <w:sz w:val="24"/>
                <w:highlight w:val="none"/>
                <w:lang w:val="zh-CN"/>
              </w:rPr>
              <w:t>车间</w:t>
            </w:r>
            <w:r>
              <w:rPr>
                <w:color w:val="auto"/>
                <w:sz w:val="24"/>
                <w:highlight w:val="none"/>
                <w:lang w:val="zh-CN"/>
              </w:rPr>
              <w:t>内</w:t>
            </w:r>
            <w:r>
              <w:rPr>
                <w:rFonts w:hint="eastAsia"/>
                <w:color w:val="auto"/>
                <w:sz w:val="24"/>
                <w:highlight w:val="none"/>
                <w:lang w:val="zh-CN"/>
              </w:rPr>
              <w:t>呈</w:t>
            </w:r>
            <w:r>
              <w:rPr>
                <w:color w:val="auto"/>
                <w:sz w:val="24"/>
                <w:highlight w:val="none"/>
                <w:lang w:val="zh-CN"/>
              </w:rPr>
              <w:t>无组织排放</w:t>
            </w:r>
            <w:r>
              <w:rPr>
                <w:rFonts w:hint="eastAsia"/>
                <w:color w:val="auto"/>
                <w:sz w:val="24"/>
                <w:highlight w:val="none"/>
                <w:lang w:val="zh-CN"/>
              </w:rPr>
              <w:t>，故</w:t>
            </w:r>
            <w:r>
              <w:rPr>
                <w:rFonts w:hint="eastAsia"/>
                <w:color w:val="auto"/>
                <w:sz w:val="24"/>
                <w:highlight w:val="none"/>
                <w:lang w:eastAsia="zh-CN"/>
              </w:rPr>
              <w:t>本工序</w:t>
            </w:r>
            <w:r>
              <w:rPr>
                <w:rFonts w:hint="eastAsia"/>
                <w:color w:val="auto"/>
                <w:sz w:val="24"/>
                <w:highlight w:val="none"/>
              </w:rPr>
              <w:t>硫酸雾</w:t>
            </w:r>
            <w:r>
              <w:rPr>
                <w:color w:val="auto"/>
                <w:sz w:val="24"/>
                <w:highlight w:val="none"/>
                <w:lang w:val="zh-CN"/>
              </w:rPr>
              <w:t>无组织排放量为</w:t>
            </w:r>
            <w:r>
              <w:rPr>
                <w:rFonts w:hint="eastAsia" w:ascii="Times New Roman" w:hAnsi="Times New Roman" w:eastAsia="宋体" w:cs="Times New Roman"/>
                <w:color w:val="auto"/>
                <w:kern w:val="2"/>
                <w:sz w:val="24"/>
                <w:szCs w:val="24"/>
                <w:highlight w:val="none"/>
                <w:lang w:val="en-US" w:eastAsia="zh-CN" w:bidi="ar-SA"/>
              </w:rPr>
              <w:t>0.00001</w:t>
            </w:r>
            <w:r>
              <w:rPr>
                <w:color w:val="auto"/>
                <w:sz w:val="24"/>
                <w:highlight w:val="none"/>
                <w:lang w:val="zh-CN"/>
              </w:rPr>
              <w:t>t/a</w:t>
            </w:r>
            <w:r>
              <w:rPr>
                <w:rFonts w:hint="eastAsia"/>
                <w:color w:val="auto"/>
                <w:sz w:val="24"/>
                <w:highlight w:val="none"/>
                <w:lang w:val="zh-CN"/>
              </w:rPr>
              <w:t>，</w:t>
            </w:r>
            <w:r>
              <w:rPr>
                <w:rFonts w:hint="eastAsia" w:cs="Times New Roman"/>
                <w:color w:val="auto"/>
                <w:kern w:val="2"/>
                <w:sz w:val="24"/>
                <w:szCs w:val="24"/>
                <w:highlight w:val="none"/>
                <w:lang w:val="zh-CN" w:eastAsia="zh-CN" w:bidi="ar-SA"/>
              </w:rPr>
              <w:t>排放速率为</w:t>
            </w:r>
            <w:r>
              <w:rPr>
                <w:rFonts w:hint="eastAsia" w:ascii="Times New Roman" w:hAnsi="Times New Roman" w:eastAsia="宋体" w:cs="Times New Roman"/>
                <w:color w:val="auto"/>
                <w:kern w:val="2"/>
                <w:sz w:val="24"/>
                <w:szCs w:val="24"/>
                <w:highlight w:val="none"/>
                <w:lang w:val="en-US" w:eastAsia="zh-CN" w:bidi="ar-SA"/>
              </w:rPr>
              <w:t>0.0003</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0C56A74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both"/>
              <w:textAlignment w:val="baseline"/>
              <w:rPr>
                <w:rFonts w:hint="default" w:ascii="Times New Roman" w:hAnsi="Times New Roman" w:eastAsia="宋体" w:cs="Times New Roman"/>
                <w:b/>
                <w:bCs/>
                <w:color w:val="auto"/>
                <w:kern w:val="2"/>
                <w:sz w:val="24"/>
                <w:szCs w:val="24"/>
                <w:highlight w:val="none"/>
                <w:lang w:val="zh-CN" w:eastAsia="zh-CN" w:bidi="ar-SA"/>
              </w:rPr>
            </w:pPr>
            <w:r>
              <w:rPr>
                <w:rFonts w:hint="eastAsia"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zh-CN" w:eastAsia="zh-CN" w:bidi="ar-SA"/>
              </w:rPr>
              <w:t>配料废气</w:t>
            </w:r>
          </w:p>
          <w:p w14:paraId="18DC213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本项目蒙砂液配制过程中发生的化学反应方程式如下：</w:t>
            </w:r>
          </w:p>
          <w:p w14:paraId="160B7F3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2NH</w:t>
            </w:r>
            <w:r>
              <w:rPr>
                <w:rFonts w:hint="eastAsia" w:cs="Times New Roman"/>
                <w:color w:val="auto"/>
                <w:kern w:val="2"/>
                <w:sz w:val="24"/>
                <w:szCs w:val="24"/>
                <w:highlight w:val="none"/>
                <w:vertAlign w:val="subscript"/>
                <w:lang w:val="en-US" w:eastAsia="zh-CN" w:bidi="ar-SA"/>
              </w:rPr>
              <w:t>4</w:t>
            </w:r>
            <w:r>
              <w:rPr>
                <w:rFonts w:hint="eastAsia" w:cs="Times New Roman"/>
                <w:color w:val="auto"/>
                <w:kern w:val="2"/>
                <w:sz w:val="24"/>
                <w:szCs w:val="24"/>
                <w:highlight w:val="none"/>
                <w:lang w:val="en-US" w:eastAsia="zh-CN" w:bidi="ar-SA"/>
              </w:rPr>
              <w:t>HF</w:t>
            </w:r>
            <w:r>
              <w:rPr>
                <w:rFonts w:hint="eastAsia" w:cs="Times New Roman"/>
                <w:color w:val="auto"/>
                <w:kern w:val="2"/>
                <w:sz w:val="24"/>
                <w:szCs w:val="24"/>
                <w:highlight w:val="none"/>
                <w:vertAlign w:val="subscript"/>
                <w:lang w:val="en-US" w:eastAsia="zh-CN" w:bidi="ar-SA"/>
              </w:rPr>
              <w:t>2</w:t>
            </w:r>
            <w:r>
              <w:rPr>
                <w:rFonts w:hint="eastAsia" w:cs="Times New Roman"/>
                <w:color w:val="auto"/>
                <w:kern w:val="2"/>
                <w:sz w:val="24"/>
                <w:szCs w:val="24"/>
                <w:highlight w:val="none"/>
                <w:lang w:val="en-US" w:eastAsia="zh-CN" w:bidi="ar-SA"/>
              </w:rPr>
              <w:t>+H</w:t>
            </w:r>
            <w:r>
              <w:rPr>
                <w:rFonts w:hint="eastAsia" w:cs="Times New Roman"/>
                <w:color w:val="auto"/>
                <w:kern w:val="2"/>
                <w:sz w:val="24"/>
                <w:szCs w:val="24"/>
                <w:highlight w:val="none"/>
                <w:vertAlign w:val="subscript"/>
                <w:lang w:val="en-US" w:eastAsia="zh-CN" w:bidi="ar-SA"/>
              </w:rPr>
              <w:t>2</w:t>
            </w:r>
            <w:r>
              <w:rPr>
                <w:rFonts w:hint="eastAsia" w:cs="Times New Roman"/>
                <w:color w:val="auto"/>
                <w:kern w:val="2"/>
                <w:sz w:val="24"/>
                <w:szCs w:val="24"/>
                <w:highlight w:val="none"/>
                <w:lang w:val="en-US" w:eastAsia="zh-CN" w:bidi="ar-SA"/>
              </w:rPr>
              <w:t>SO</w:t>
            </w:r>
            <w:r>
              <w:rPr>
                <w:rFonts w:hint="eastAsia" w:cs="Times New Roman"/>
                <w:color w:val="auto"/>
                <w:kern w:val="2"/>
                <w:sz w:val="24"/>
                <w:szCs w:val="24"/>
                <w:highlight w:val="none"/>
                <w:vertAlign w:val="subscript"/>
                <w:lang w:val="en-US" w:eastAsia="zh-CN" w:bidi="ar-SA"/>
              </w:rPr>
              <w:t>4</w:t>
            </w:r>
            <w:r>
              <w:rPr>
                <w:rFonts w:hint="eastAsia" w:cs="Times New Roman"/>
                <w:color w:val="auto"/>
                <w:kern w:val="2"/>
                <w:sz w:val="24"/>
                <w:szCs w:val="24"/>
                <w:highlight w:val="none"/>
                <w:lang w:val="en-US" w:eastAsia="zh-CN" w:bidi="ar-SA"/>
              </w:rPr>
              <w:t>=(NH</w:t>
            </w:r>
            <w:r>
              <w:rPr>
                <w:rFonts w:hint="eastAsia" w:cs="Times New Roman"/>
                <w:color w:val="auto"/>
                <w:kern w:val="2"/>
                <w:sz w:val="24"/>
                <w:szCs w:val="24"/>
                <w:highlight w:val="none"/>
                <w:vertAlign w:val="subscript"/>
                <w:lang w:val="en-US" w:eastAsia="zh-CN" w:bidi="ar-SA"/>
              </w:rPr>
              <w:t>4</w:t>
            </w:r>
            <w:r>
              <w:rPr>
                <w:rFonts w:hint="eastAsia" w:cs="Times New Roman"/>
                <w:color w:val="auto"/>
                <w:kern w:val="2"/>
                <w:sz w:val="24"/>
                <w:szCs w:val="24"/>
                <w:highlight w:val="none"/>
                <w:lang w:val="en-US" w:eastAsia="zh-CN" w:bidi="ar-SA"/>
              </w:rPr>
              <w:t>)</w:t>
            </w:r>
            <w:r>
              <w:rPr>
                <w:rFonts w:hint="eastAsia" w:cs="Times New Roman"/>
                <w:color w:val="auto"/>
                <w:kern w:val="2"/>
                <w:sz w:val="24"/>
                <w:szCs w:val="24"/>
                <w:highlight w:val="none"/>
                <w:vertAlign w:val="subscript"/>
                <w:lang w:val="en-US" w:eastAsia="zh-CN" w:bidi="ar-SA"/>
              </w:rPr>
              <w:t>2</w:t>
            </w:r>
            <w:r>
              <w:rPr>
                <w:rFonts w:hint="eastAsia" w:cs="Times New Roman"/>
                <w:color w:val="auto"/>
                <w:kern w:val="2"/>
                <w:sz w:val="24"/>
                <w:szCs w:val="24"/>
                <w:highlight w:val="none"/>
                <w:lang w:val="en-US" w:eastAsia="zh-CN" w:bidi="ar-SA"/>
              </w:rPr>
              <w:t>SO</w:t>
            </w:r>
            <w:r>
              <w:rPr>
                <w:rFonts w:hint="eastAsia" w:cs="Times New Roman"/>
                <w:color w:val="auto"/>
                <w:kern w:val="2"/>
                <w:sz w:val="24"/>
                <w:szCs w:val="24"/>
                <w:highlight w:val="none"/>
                <w:vertAlign w:val="subscript"/>
                <w:lang w:val="en-US" w:eastAsia="zh-CN" w:bidi="ar-SA"/>
              </w:rPr>
              <w:t>4</w:t>
            </w:r>
            <w:r>
              <w:rPr>
                <w:rFonts w:hint="eastAsia" w:cs="Times New Roman"/>
                <w:color w:val="auto"/>
                <w:kern w:val="2"/>
                <w:sz w:val="24"/>
                <w:szCs w:val="24"/>
                <w:highlight w:val="none"/>
                <w:lang w:val="en-US" w:eastAsia="zh-CN" w:bidi="ar-SA"/>
              </w:rPr>
              <w:t>+4HF</w:t>
            </w:r>
          </w:p>
          <w:p w14:paraId="6231964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NH</w:t>
            </w:r>
            <w:r>
              <w:rPr>
                <w:rFonts w:hint="eastAsia" w:cs="Times New Roman"/>
                <w:color w:val="auto"/>
                <w:kern w:val="2"/>
                <w:sz w:val="24"/>
                <w:szCs w:val="24"/>
                <w:highlight w:val="none"/>
                <w:vertAlign w:val="subscript"/>
                <w:lang w:val="en-US" w:eastAsia="zh-CN" w:bidi="ar-SA"/>
              </w:rPr>
              <w:t>4</w:t>
            </w:r>
            <w:r>
              <w:rPr>
                <w:rFonts w:hint="eastAsia" w:cs="Times New Roman"/>
                <w:color w:val="auto"/>
                <w:kern w:val="2"/>
                <w:sz w:val="24"/>
                <w:szCs w:val="24"/>
                <w:highlight w:val="none"/>
                <w:lang w:val="en-US" w:eastAsia="zh-CN" w:bidi="ar-SA"/>
              </w:rPr>
              <w:t>HF</w:t>
            </w:r>
            <w:r>
              <w:rPr>
                <w:rFonts w:hint="eastAsia" w:cs="Times New Roman"/>
                <w:color w:val="auto"/>
                <w:kern w:val="2"/>
                <w:sz w:val="24"/>
                <w:szCs w:val="24"/>
                <w:highlight w:val="none"/>
                <w:vertAlign w:val="subscript"/>
                <w:lang w:val="en-US" w:eastAsia="zh-CN" w:bidi="ar-SA"/>
              </w:rPr>
              <w:t>2</w:t>
            </w:r>
            <w:r>
              <w:rPr>
                <w:rFonts w:hint="eastAsia" w:cs="Times New Roman"/>
                <w:color w:val="auto"/>
                <w:kern w:val="2"/>
                <w:sz w:val="24"/>
                <w:szCs w:val="24"/>
                <w:highlight w:val="none"/>
                <w:lang w:val="en-US" w:eastAsia="zh-CN" w:bidi="ar-SA"/>
              </w:rPr>
              <w:t>+HCl=NH</w:t>
            </w:r>
            <w:r>
              <w:rPr>
                <w:rFonts w:hint="eastAsia" w:cs="Times New Roman"/>
                <w:color w:val="auto"/>
                <w:kern w:val="2"/>
                <w:sz w:val="24"/>
                <w:szCs w:val="24"/>
                <w:highlight w:val="none"/>
                <w:vertAlign w:val="subscript"/>
                <w:lang w:val="en-US" w:eastAsia="zh-CN" w:bidi="ar-SA"/>
              </w:rPr>
              <w:t>4</w:t>
            </w:r>
            <w:r>
              <w:rPr>
                <w:rFonts w:hint="eastAsia" w:cs="Times New Roman"/>
                <w:color w:val="auto"/>
                <w:kern w:val="2"/>
                <w:sz w:val="24"/>
                <w:szCs w:val="24"/>
                <w:highlight w:val="none"/>
                <w:lang w:val="en-US" w:eastAsia="zh-CN" w:bidi="ar-SA"/>
              </w:rPr>
              <w:t>Cl+2HF</w:t>
            </w:r>
          </w:p>
          <w:p w14:paraId="290280E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根据建设单位提供资料，本项目使用的蒙砂液为企业自制，是由</w:t>
            </w:r>
            <w:r>
              <w:rPr>
                <w:rFonts w:hint="default" w:ascii="Times New Roman" w:hAnsi="Times New Roman" w:eastAsia="宋体" w:cs="Times New Roman"/>
                <w:color w:val="auto"/>
                <w:kern w:val="2"/>
                <w:sz w:val="24"/>
                <w:szCs w:val="24"/>
                <w:highlight w:val="none"/>
                <w:lang w:val="zh-CN" w:eastAsia="zh-CN" w:bidi="ar-SA"/>
              </w:rPr>
              <w:t>氟化氢铵</w:t>
            </w: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98%</w:t>
            </w:r>
            <w:r>
              <w:rPr>
                <w:rFonts w:hint="default" w:ascii="Times New Roman" w:hAnsi="Times New Roman" w:eastAsia="宋体" w:cs="Times New Roman"/>
                <w:color w:val="auto"/>
                <w:kern w:val="2"/>
                <w:sz w:val="24"/>
                <w:szCs w:val="24"/>
                <w:highlight w:val="none"/>
                <w:lang w:val="zh-CN" w:eastAsia="zh-CN" w:bidi="ar-SA"/>
              </w:rPr>
              <w:t>硫酸</w:t>
            </w:r>
            <w:r>
              <w:rPr>
                <w:rFonts w:hint="eastAsia" w:cs="Times New Roman"/>
                <w:color w:val="auto"/>
                <w:kern w:val="2"/>
                <w:sz w:val="24"/>
                <w:szCs w:val="24"/>
                <w:highlight w:val="none"/>
                <w:lang w:val="zh-CN" w:eastAsia="zh-CN" w:bidi="ar-SA"/>
              </w:rPr>
              <w:t>（或</w:t>
            </w:r>
            <w:r>
              <w:rPr>
                <w:rFonts w:hint="eastAsia" w:cs="Times New Roman"/>
                <w:color w:val="auto"/>
                <w:kern w:val="2"/>
                <w:sz w:val="24"/>
                <w:szCs w:val="24"/>
                <w:highlight w:val="none"/>
                <w:lang w:val="en-US" w:eastAsia="zh-CN" w:bidi="ar-SA"/>
              </w:rPr>
              <w:t>37%盐酸</w:t>
            </w:r>
            <w:r>
              <w:rPr>
                <w:rFonts w:hint="eastAsia" w:cs="Times New Roman"/>
                <w:color w:val="auto"/>
                <w:kern w:val="2"/>
                <w:sz w:val="24"/>
                <w:szCs w:val="24"/>
                <w:highlight w:val="none"/>
                <w:lang w:val="zh-CN" w:eastAsia="zh-CN" w:bidi="ar-SA"/>
              </w:rPr>
              <w:t>）按</w:t>
            </w:r>
            <w:r>
              <w:rPr>
                <w:rFonts w:hint="eastAsia" w:cs="Times New Roman"/>
                <w:color w:val="auto"/>
                <w:kern w:val="2"/>
                <w:sz w:val="24"/>
                <w:szCs w:val="24"/>
                <w:highlight w:val="none"/>
                <w:lang w:val="en-US" w:eastAsia="zh-CN" w:bidi="ar-SA"/>
              </w:rPr>
              <w:t>2.5:1的比例配制而成，</w:t>
            </w:r>
            <w:r>
              <w:rPr>
                <w:rFonts w:hint="eastAsia" w:ascii="Times New Roman" w:hAnsi="Times New Roman" w:cs="Times New Roman"/>
                <w:b w:val="0"/>
                <w:bCs w:val="0"/>
                <w:color w:val="auto"/>
                <w:sz w:val="24"/>
                <w:szCs w:val="24"/>
                <w:highlight w:val="none"/>
                <w:lang w:val="en-US" w:eastAsia="zh-CN"/>
              </w:rPr>
              <w:t>98%</w:t>
            </w:r>
            <w:r>
              <w:rPr>
                <w:rFonts w:hint="eastAsia" w:ascii="Times New Roman" w:hAnsi="Times New Roman" w:cs="Times New Roman"/>
                <w:b w:val="0"/>
                <w:bCs w:val="0"/>
                <w:color w:val="auto"/>
                <w:sz w:val="24"/>
                <w:szCs w:val="24"/>
                <w:highlight w:val="none"/>
                <w:lang w:val="zh-CN" w:eastAsia="zh-CN"/>
              </w:rPr>
              <w:t>硫酸和</w:t>
            </w:r>
            <w:r>
              <w:rPr>
                <w:rFonts w:hint="eastAsia" w:ascii="Times New Roman" w:hAnsi="Times New Roman" w:cs="Times New Roman"/>
                <w:b w:val="0"/>
                <w:bCs w:val="0"/>
                <w:color w:val="auto"/>
                <w:sz w:val="24"/>
                <w:szCs w:val="24"/>
                <w:highlight w:val="none"/>
                <w:lang w:val="en-US" w:eastAsia="zh-CN"/>
              </w:rPr>
              <w:t>37%</w:t>
            </w:r>
            <w:r>
              <w:rPr>
                <w:rFonts w:hint="eastAsia" w:ascii="Times New Roman" w:hAnsi="Times New Roman" w:cs="Times New Roman"/>
                <w:b w:val="0"/>
                <w:bCs w:val="0"/>
                <w:color w:val="auto"/>
                <w:sz w:val="24"/>
                <w:szCs w:val="24"/>
                <w:highlight w:val="none"/>
                <w:lang w:val="zh-CN" w:eastAsia="zh-CN"/>
              </w:rPr>
              <w:t>盐酸不同时使用，二者使用时间分别各占一半，且使用过程中无需更换蒙砂液。</w:t>
            </w:r>
            <w:r>
              <w:rPr>
                <w:rFonts w:hint="eastAsia" w:ascii="Times New Roman" w:hAnsi="Times New Roman" w:eastAsia="宋体" w:cs="Times New Roman"/>
                <w:color w:val="auto"/>
                <w:kern w:val="2"/>
                <w:sz w:val="24"/>
                <w:szCs w:val="24"/>
                <w:highlight w:val="none"/>
                <w:lang w:val="zh-CN" w:eastAsia="zh-CN" w:bidi="ar-SA"/>
              </w:rPr>
              <w:t>蒙砂</w:t>
            </w:r>
            <w:r>
              <w:rPr>
                <w:rFonts w:hint="default" w:cs="Times New Roman"/>
                <w:color w:val="auto"/>
                <w:kern w:val="2"/>
                <w:sz w:val="24"/>
                <w:szCs w:val="24"/>
                <w:highlight w:val="none"/>
                <w:lang w:val="zh-CN" w:eastAsia="zh-CN" w:bidi="ar-SA"/>
              </w:rPr>
              <w:t>液每天配制</w:t>
            </w:r>
            <w:r>
              <w:rPr>
                <w:rFonts w:hint="eastAsia" w:cs="Times New Roman"/>
                <w:color w:val="auto"/>
                <w:kern w:val="2"/>
                <w:sz w:val="24"/>
                <w:szCs w:val="24"/>
                <w:highlight w:val="none"/>
                <w:lang w:val="en-US" w:eastAsia="zh-CN" w:bidi="ar-SA"/>
              </w:rPr>
              <w:t>2</w:t>
            </w:r>
            <w:r>
              <w:rPr>
                <w:rFonts w:hint="default" w:cs="Times New Roman"/>
                <w:color w:val="auto"/>
                <w:kern w:val="2"/>
                <w:sz w:val="24"/>
                <w:szCs w:val="24"/>
                <w:highlight w:val="none"/>
                <w:lang w:val="zh-CN" w:eastAsia="zh-CN" w:bidi="ar-SA"/>
              </w:rPr>
              <w:t>次</w:t>
            </w:r>
            <w:r>
              <w:rPr>
                <w:rFonts w:hint="eastAsia" w:cs="Times New Roman"/>
                <w:color w:val="auto"/>
                <w:kern w:val="2"/>
                <w:sz w:val="24"/>
                <w:szCs w:val="24"/>
                <w:highlight w:val="none"/>
                <w:lang w:val="zh-CN" w:eastAsia="zh-CN" w:bidi="ar-SA"/>
              </w:rPr>
              <w:t>（每班配制</w:t>
            </w:r>
            <w:r>
              <w:rPr>
                <w:rFonts w:hint="eastAsia" w:cs="Times New Roman"/>
                <w:color w:val="auto"/>
                <w:kern w:val="2"/>
                <w:sz w:val="24"/>
                <w:szCs w:val="24"/>
                <w:highlight w:val="none"/>
                <w:lang w:val="en-US" w:eastAsia="zh-CN" w:bidi="ar-SA"/>
              </w:rPr>
              <w:t>1次</w:t>
            </w:r>
            <w:r>
              <w:rPr>
                <w:rFonts w:hint="eastAsia" w:cs="Times New Roman"/>
                <w:color w:val="auto"/>
                <w:kern w:val="2"/>
                <w:sz w:val="24"/>
                <w:szCs w:val="24"/>
                <w:highlight w:val="none"/>
                <w:lang w:val="zh-CN" w:eastAsia="zh-CN" w:bidi="ar-SA"/>
              </w:rPr>
              <w:t>）</w:t>
            </w:r>
            <w:r>
              <w:rPr>
                <w:rFonts w:hint="default"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每次配制</w:t>
            </w:r>
            <w:r>
              <w:rPr>
                <w:rFonts w:hint="eastAsia" w:cs="Times New Roman"/>
                <w:color w:val="auto"/>
                <w:kern w:val="2"/>
                <w:sz w:val="24"/>
                <w:szCs w:val="24"/>
                <w:highlight w:val="none"/>
                <w:lang w:val="en-US" w:eastAsia="zh-CN" w:bidi="ar-SA"/>
              </w:rPr>
              <w:t>10桶</w:t>
            </w:r>
            <w:r>
              <w:rPr>
                <w:rFonts w:hint="eastAsia" w:cs="Times New Roman"/>
                <w:color w:val="auto"/>
                <w:kern w:val="2"/>
                <w:sz w:val="24"/>
                <w:szCs w:val="24"/>
                <w:highlight w:val="none"/>
                <w:lang w:val="zh-CN" w:eastAsia="zh-CN" w:bidi="ar-SA"/>
              </w:rPr>
              <w:t>，</w:t>
            </w:r>
            <w:r>
              <w:rPr>
                <w:rFonts w:hint="default" w:cs="Times New Roman"/>
                <w:color w:val="auto"/>
                <w:kern w:val="2"/>
                <w:sz w:val="24"/>
                <w:szCs w:val="24"/>
                <w:highlight w:val="none"/>
                <w:lang w:val="zh-CN" w:eastAsia="zh-CN" w:bidi="ar-SA"/>
              </w:rPr>
              <w:t>配</w:t>
            </w:r>
            <w:r>
              <w:rPr>
                <w:rFonts w:hint="eastAsia" w:cs="Times New Roman"/>
                <w:color w:val="auto"/>
                <w:kern w:val="2"/>
                <w:sz w:val="24"/>
                <w:szCs w:val="24"/>
                <w:highlight w:val="none"/>
                <w:lang w:val="zh-CN" w:eastAsia="zh-CN" w:bidi="ar-SA"/>
              </w:rPr>
              <w:t>料</w:t>
            </w:r>
            <w:r>
              <w:rPr>
                <w:rFonts w:hint="default" w:cs="Times New Roman"/>
                <w:color w:val="auto"/>
                <w:kern w:val="2"/>
                <w:sz w:val="24"/>
                <w:szCs w:val="24"/>
                <w:highlight w:val="none"/>
                <w:lang w:val="zh-CN" w:eastAsia="zh-CN" w:bidi="ar-SA"/>
              </w:rPr>
              <w:t>过程有</w:t>
            </w:r>
            <w:r>
              <w:rPr>
                <w:rFonts w:hint="eastAsia" w:ascii="Times New Roman" w:hAnsi="Times New Roman" w:eastAsia="宋体" w:cs="Times New Roman"/>
                <w:color w:val="auto"/>
                <w:kern w:val="2"/>
                <w:sz w:val="24"/>
                <w:szCs w:val="24"/>
                <w:highlight w:val="none"/>
                <w:lang w:val="en-US" w:eastAsia="zh-CN" w:bidi="ar-SA"/>
              </w:rPr>
              <w:t>粉尘、</w:t>
            </w:r>
            <w:r>
              <w:rPr>
                <w:rFonts w:hint="eastAsia" w:cs="Times New Roman"/>
                <w:color w:val="auto"/>
                <w:kern w:val="2"/>
                <w:sz w:val="24"/>
                <w:szCs w:val="24"/>
                <w:highlight w:val="none"/>
                <w:lang w:val="en-US" w:eastAsia="zh-CN" w:bidi="ar-SA"/>
              </w:rPr>
              <w:t>氟化氢、</w:t>
            </w:r>
            <w:r>
              <w:rPr>
                <w:rFonts w:hint="eastAsia" w:ascii="Times New Roman" w:hAnsi="Times New Roman" w:eastAsia="宋体" w:cs="Times New Roman"/>
                <w:color w:val="auto"/>
                <w:kern w:val="2"/>
                <w:sz w:val="24"/>
                <w:szCs w:val="24"/>
                <w:highlight w:val="none"/>
                <w:lang w:val="en-US" w:eastAsia="zh-CN" w:bidi="ar-SA"/>
              </w:rPr>
              <w:t>硫酸雾（或</w:t>
            </w:r>
            <w:r>
              <w:rPr>
                <w:rFonts w:hint="eastAsia" w:cs="Times New Roman"/>
                <w:color w:val="auto"/>
                <w:sz w:val="24"/>
                <w:highlight w:val="none"/>
                <w:lang w:val="zh-CN" w:eastAsia="zh-CN"/>
              </w:rPr>
              <w:t>氯化氢</w:t>
            </w:r>
            <w:r>
              <w:rPr>
                <w:rFonts w:hint="eastAsia" w:ascii="Times New Roman" w:hAnsi="Times New Roman" w:eastAsia="宋体" w:cs="Times New Roman"/>
                <w:color w:val="auto"/>
                <w:kern w:val="2"/>
                <w:sz w:val="24"/>
                <w:szCs w:val="24"/>
                <w:highlight w:val="none"/>
                <w:lang w:val="en-US" w:eastAsia="zh-CN" w:bidi="ar-SA"/>
              </w:rPr>
              <w:t>）</w:t>
            </w:r>
            <w:r>
              <w:rPr>
                <w:rFonts w:hint="default" w:cs="Times New Roman"/>
                <w:color w:val="auto"/>
                <w:kern w:val="2"/>
                <w:sz w:val="24"/>
                <w:szCs w:val="24"/>
                <w:highlight w:val="none"/>
                <w:lang w:val="zh-CN" w:eastAsia="zh-CN" w:bidi="ar-SA"/>
              </w:rPr>
              <w:t>产生。</w:t>
            </w:r>
            <w:r>
              <w:rPr>
                <w:rFonts w:hint="eastAsia" w:ascii="Times New Roman" w:hAnsi="Times New Roman" w:eastAsia="宋体" w:cs="Times New Roman"/>
                <w:color w:val="auto"/>
                <w:kern w:val="2"/>
                <w:sz w:val="24"/>
                <w:szCs w:val="24"/>
                <w:highlight w:val="none"/>
                <w:lang w:val="en-US" w:eastAsia="zh-CN" w:bidi="ar-SA"/>
              </w:rPr>
              <w:t>建设单位拟</w:t>
            </w:r>
            <w:r>
              <w:rPr>
                <w:rFonts w:hint="eastAsia" w:ascii="Times New Roman" w:hAnsi="Times New Roman" w:eastAsia="宋体" w:cs="Times New Roman"/>
                <w:color w:val="auto"/>
                <w:kern w:val="2"/>
                <w:sz w:val="24"/>
                <w:szCs w:val="24"/>
                <w:highlight w:val="none"/>
                <w:lang w:val="zh-CN" w:eastAsia="zh-CN" w:bidi="ar-SA"/>
              </w:rPr>
              <w:t>将蒙砂液配制与硫酸稀释、蒙砂</w:t>
            </w:r>
            <w:r>
              <w:rPr>
                <w:rFonts w:hint="eastAsia" w:cs="Times New Roman"/>
                <w:color w:val="auto"/>
                <w:kern w:val="2"/>
                <w:sz w:val="24"/>
                <w:szCs w:val="24"/>
                <w:highlight w:val="none"/>
                <w:lang w:val="zh-CN" w:eastAsia="zh-CN" w:bidi="ar-SA"/>
              </w:rPr>
              <w:t>过程</w:t>
            </w:r>
            <w:r>
              <w:rPr>
                <w:rFonts w:hint="eastAsia" w:ascii="Times New Roman" w:hAnsi="Times New Roman" w:eastAsia="宋体" w:cs="Times New Roman"/>
                <w:color w:val="auto"/>
                <w:kern w:val="2"/>
                <w:sz w:val="24"/>
                <w:szCs w:val="24"/>
                <w:highlight w:val="none"/>
                <w:lang w:val="zh-CN" w:eastAsia="zh-CN" w:bidi="ar-SA"/>
              </w:rPr>
              <w:t>共同置于封闭生产车间内，生产车间保持负压状态，并在上方设置集气管道，</w:t>
            </w:r>
            <w:r>
              <w:rPr>
                <w:rFonts w:hint="default" w:ascii="Times New Roman" w:hAnsi="Times New Roman" w:eastAsia="宋体" w:cs="Times New Roman"/>
                <w:color w:val="auto"/>
                <w:kern w:val="2"/>
                <w:sz w:val="24"/>
                <w:szCs w:val="24"/>
                <w:highlight w:val="none"/>
                <w:lang w:val="zh-CN" w:eastAsia="zh-CN" w:bidi="ar-SA"/>
              </w:rPr>
              <w:t>硫酸挥发废气、配料废气</w:t>
            </w:r>
            <w:r>
              <w:rPr>
                <w:rFonts w:hint="eastAsia" w:ascii="Times New Roman" w:hAnsi="Times New Roman" w:eastAsia="宋体" w:cs="Times New Roman"/>
                <w:color w:val="auto"/>
                <w:kern w:val="2"/>
                <w:sz w:val="24"/>
                <w:szCs w:val="24"/>
                <w:highlight w:val="none"/>
                <w:lang w:val="zh-CN" w:eastAsia="zh-CN" w:bidi="ar-SA"/>
              </w:rPr>
              <w:t>和蒙砂</w:t>
            </w:r>
            <w:r>
              <w:rPr>
                <w:rFonts w:hint="default" w:ascii="Times New Roman" w:hAnsi="Times New Roman" w:eastAsia="宋体" w:cs="Times New Roman"/>
                <w:color w:val="auto"/>
                <w:kern w:val="2"/>
                <w:sz w:val="24"/>
                <w:szCs w:val="24"/>
                <w:highlight w:val="none"/>
                <w:lang w:val="zh-CN" w:eastAsia="zh-CN" w:bidi="ar-SA"/>
              </w:rPr>
              <w:t>废气由</w:t>
            </w:r>
            <w:r>
              <w:rPr>
                <w:rFonts w:hint="eastAsia" w:cs="Times New Roman"/>
                <w:color w:val="auto"/>
                <w:kern w:val="2"/>
                <w:sz w:val="24"/>
                <w:szCs w:val="24"/>
                <w:highlight w:val="none"/>
                <w:lang w:val="zh-CN" w:eastAsia="zh-CN" w:bidi="ar-SA"/>
              </w:rPr>
              <w:t>封</w:t>
            </w:r>
            <w:r>
              <w:rPr>
                <w:rFonts w:hint="default" w:ascii="Times New Roman" w:hAnsi="Times New Roman" w:eastAsia="宋体" w:cs="Times New Roman"/>
                <w:color w:val="auto"/>
                <w:kern w:val="2"/>
                <w:sz w:val="24"/>
                <w:szCs w:val="24"/>
                <w:highlight w:val="none"/>
                <w:lang w:val="zh-CN" w:eastAsia="zh-CN" w:bidi="ar-SA"/>
              </w:rPr>
              <w:t>闭生产</w:t>
            </w:r>
            <w:r>
              <w:rPr>
                <w:rFonts w:hint="eastAsia" w:cs="Times New Roman"/>
                <w:color w:val="auto"/>
                <w:kern w:val="2"/>
                <w:sz w:val="24"/>
                <w:szCs w:val="24"/>
                <w:highlight w:val="none"/>
                <w:lang w:val="zh-CN" w:eastAsia="zh-CN" w:bidi="ar-SA"/>
              </w:rPr>
              <w:t>车间</w:t>
            </w:r>
            <w:r>
              <w:rPr>
                <w:rFonts w:hint="default" w:ascii="Times New Roman" w:hAnsi="Times New Roman" w:eastAsia="宋体" w:cs="Times New Roman"/>
                <w:color w:val="auto"/>
                <w:kern w:val="2"/>
                <w:sz w:val="24"/>
                <w:szCs w:val="24"/>
                <w:highlight w:val="none"/>
                <w:lang w:val="en-US" w:eastAsia="zh-CN" w:bidi="ar-SA"/>
              </w:rPr>
              <w:t>集气管道</w:t>
            </w:r>
            <w:r>
              <w:rPr>
                <w:rFonts w:hint="default" w:ascii="Times New Roman" w:hAnsi="Times New Roman" w:eastAsia="宋体" w:cs="Times New Roman"/>
                <w:color w:val="auto"/>
                <w:kern w:val="2"/>
                <w:sz w:val="24"/>
                <w:szCs w:val="24"/>
                <w:highlight w:val="none"/>
                <w:lang w:val="zh-CN" w:eastAsia="zh-CN" w:bidi="ar-SA"/>
              </w:rPr>
              <w:t>收集后，</w:t>
            </w:r>
            <w:r>
              <w:rPr>
                <w:rFonts w:hint="eastAsia" w:ascii="Times New Roman" w:hAnsi="Times New Roman" w:eastAsia="宋体" w:cs="Times New Roman"/>
                <w:color w:val="auto"/>
                <w:kern w:val="2"/>
                <w:sz w:val="24"/>
                <w:szCs w:val="24"/>
                <w:highlight w:val="none"/>
                <w:lang w:val="zh-CN" w:eastAsia="zh-CN" w:bidi="ar-SA"/>
              </w:rPr>
              <w:t>通过</w:t>
            </w:r>
            <w:r>
              <w:rPr>
                <w:rFonts w:hint="default" w:ascii="Times New Roman" w:hAnsi="Times New Roman" w:eastAsia="宋体" w:cs="Times New Roman"/>
                <w:color w:val="auto"/>
                <w:kern w:val="2"/>
                <w:sz w:val="24"/>
                <w:szCs w:val="24"/>
                <w:highlight w:val="none"/>
                <w:lang w:val="zh-CN" w:eastAsia="zh-CN" w:bidi="ar-SA"/>
              </w:rPr>
              <w:t>一套碱液喷淋洗涤塔废气治理设施处理，</w:t>
            </w:r>
            <w:r>
              <w:rPr>
                <w:rFonts w:hint="eastAsia" w:ascii="Times New Roman" w:hAnsi="Times New Roman" w:eastAsia="宋体" w:cs="Times New Roman"/>
                <w:color w:val="auto"/>
                <w:kern w:val="2"/>
                <w:sz w:val="24"/>
                <w:szCs w:val="24"/>
                <w:highlight w:val="none"/>
                <w:lang w:val="zh-CN" w:eastAsia="zh-CN" w:bidi="ar-SA"/>
              </w:rPr>
              <w:t>后</w:t>
            </w:r>
            <w:r>
              <w:rPr>
                <w:rFonts w:hint="default" w:ascii="Times New Roman" w:hAnsi="Times New Roman" w:eastAsia="宋体" w:cs="Times New Roman"/>
                <w:color w:val="auto"/>
                <w:kern w:val="2"/>
                <w:sz w:val="24"/>
                <w:szCs w:val="24"/>
                <w:highlight w:val="none"/>
                <w:lang w:val="zh-CN" w:eastAsia="zh-CN" w:bidi="ar-SA"/>
              </w:rPr>
              <w:t>经15m高排气筒（</w:t>
            </w:r>
            <w:r>
              <w:rPr>
                <w:rFonts w:hint="default" w:ascii="Times New Roman" w:hAnsi="Times New Roman" w:eastAsia="宋体" w:cs="Times New Roman"/>
                <w:color w:val="auto"/>
                <w:kern w:val="2"/>
                <w:sz w:val="24"/>
                <w:szCs w:val="24"/>
                <w:highlight w:val="none"/>
                <w:lang w:val="en-US" w:eastAsia="zh-CN" w:bidi="ar-SA"/>
              </w:rPr>
              <w:t>DA002</w:t>
            </w:r>
            <w:r>
              <w:rPr>
                <w:rFonts w:hint="default" w:ascii="Times New Roman" w:hAnsi="Times New Roman" w:eastAsia="宋体" w:cs="Times New Roman"/>
                <w:color w:val="auto"/>
                <w:kern w:val="2"/>
                <w:sz w:val="24"/>
                <w:szCs w:val="24"/>
                <w:highlight w:val="none"/>
                <w:lang w:val="zh-CN" w:eastAsia="zh-CN" w:bidi="ar-SA"/>
              </w:rPr>
              <w:t>）排放（</w:t>
            </w:r>
            <w:r>
              <w:rPr>
                <w:rFonts w:hint="eastAsia" w:ascii="Times New Roman" w:hAnsi="Times New Roman" w:eastAsia="宋体" w:cs="Times New Roman"/>
                <w:color w:val="auto"/>
                <w:kern w:val="2"/>
                <w:sz w:val="24"/>
                <w:szCs w:val="24"/>
                <w:highlight w:val="none"/>
                <w:lang w:val="zh-CN" w:eastAsia="zh-CN" w:bidi="ar-SA"/>
              </w:rPr>
              <w:t>与</w:t>
            </w:r>
            <w:r>
              <w:rPr>
                <w:rFonts w:hint="default" w:ascii="Times New Roman" w:hAnsi="Times New Roman" w:eastAsia="宋体" w:cs="Times New Roman"/>
                <w:color w:val="auto"/>
                <w:kern w:val="2"/>
                <w:sz w:val="24"/>
                <w:szCs w:val="24"/>
                <w:highlight w:val="none"/>
                <w:lang w:val="zh-CN" w:eastAsia="zh-CN" w:bidi="ar-SA"/>
              </w:rPr>
              <w:t>硫酸挥发废气共用一套废气治理</w:t>
            </w:r>
            <w:r>
              <w:rPr>
                <w:rFonts w:hint="eastAsia" w:ascii="Times New Roman" w:hAnsi="Times New Roman" w:eastAsia="宋体" w:cs="Times New Roman"/>
                <w:color w:val="auto"/>
                <w:kern w:val="2"/>
                <w:sz w:val="24"/>
                <w:szCs w:val="24"/>
                <w:highlight w:val="none"/>
                <w:lang w:val="zh-CN" w:eastAsia="zh-CN" w:bidi="ar-SA"/>
              </w:rPr>
              <w:t>设施</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zh-CN" w:eastAsia="zh-CN" w:bidi="ar-SA"/>
              </w:rPr>
              <w:t>企业</w:t>
            </w:r>
            <w:r>
              <w:rPr>
                <w:rFonts w:hint="eastAsia" w:ascii="Times New Roman" w:hAnsi="Times New Roman" w:cs="Times New Roman"/>
                <w:color w:val="auto"/>
                <w:kern w:val="2"/>
                <w:sz w:val="24"/>
                <w:szCs w:val="24"/>
                <w:highlight w:val="none"/>
                <w:lang w:val="zh-CN" w:eastAsia="zh-CN" w:bidi="ar-SA"/>
              </w:rPr>
              <w:t>拟</w:t>
            </w:r>
            <w:r>
              <w:rPr>
                <w:rFonts w:hint="eastAsia" w:ascii="Times New Roman" w:hAnsi="Times New Roman" w:eastAsia="宋体" w:cs="Times New Roman"/>
                <w:color w:val="auto"/>
                <w:sz w:val="24"/>
                <w:highlight w:val="none"/>
                <w:lang w:val="en-US" w:eastAsia="zh-CN"/>
              </w:rPr>
              <w:t>配套设置的风机</w:t>
            </w:r>
            <w:r>
              <w:rPr>
                <w:rFonts w:hint="eastAsia" w:ascii="Times New Roman" w:hAnsi="Times New Roman" w:eastAsia="宋体" w:cs="Times New Roman"/>
                <w:color w:val="auto"/>
                <w:sz w:val="24"/>
                <w:highlight w:val="none"/>
                <w:lang w:val="zh-CN"/>
              </w:rPr>
              <w:t>风量为</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rPr>
              <w:t>0</w:t>
            </w:r>
            <w:r>
              <w:rPr>
                <w:rFonts w:hint="eastAsia" w:ascii="Times New Roman" w:hAnsi="Times New Roman" w:eastAsia="宋体" w:cs="Times New Roman"/>
                <w:color w:val="auto"/>
                <w:sz w:val="24"/>
                <w:highlight w:val="none"/>
                <w:lang w:val="zh-CN"/>
              </w:rPr>
              <w:t>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zh-CN"/>
              </w:rPr>
              <w:t>/h</w:t>
            </w:r>
            <w:r>
              <w:rPr>
                <w:rFonts w:hint="eastAsia" w:cs="Times New Roman"/>
                <w:color w:val="auto"/>
                <w:sz w:val="24"/>
                <w:highlight w:val="none"/>
                <w:lang w:val="zh-CN"/>
              </w:rPr>
              <w:t>。</w:t>
            </w:r>
          </w:p>
          <w:p w14:paraId="75D105D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en-US" w:eastAsia="zh-CN" w:bidi="ar-SA"/>
              </w:rPr>
              <w:t>①</w:t>
            </w:r>
            <w:r>
              <w:rPr>
                <w:rFonts w:hint="eastAsia" w:cs="Times New Roman"/>
                <w:color w:val="auto"/>
                <w:kern w:val="2"/>
                <w:sz w:val="24"/>
                <w:szCs w:val="24"/>
                <w:highlight w:val="none"/>
                <w:lang w:val="zh-CN" w:eastAsia="zh-CN" w:bidi="ar-SA"/>
              </w:rPr>
              <w:t>颗粒物</w:t>
            </w:r>
          </w:p>
          <w:p w14:paraId="440F48B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本项目年运行</w:t>
            </w:r>
            <w:r>
              <w:rPr>
                <w:rFonts w:hint="eastAsia" w:cs="Times New Roman"/>
                <w:color w:val="auto"/>
                <w:kern w:val="2"/>
                <w:sz w:val="24"/>
                <w:szCs w:val="24"/>
                <w:highlight w:val="none"/>
                <w:lang w:val="en-US" w:eastAsia="zh-CN" w:bidi="ar-SA"/>
              </w:rPr>
              <w:t>300天，</w:t>
            </w:r>
            <w:r>
              <w:rPr>
                <w:rFonts w:hint="default" w:ascii="Times New Roman" w:hAnsi="Times New Roman" w:eastAsia="宋体" w:cs="Times New Roman"/>
                <w:color w:val="auto"/>
                <w:kern w:val="2"/>
                <w:sz w:val="24"/>
                <w:szCs w:val="24"/>
                <w:highlight w:val="none"/>
                <w:lang w:val="zh-CN" w:eastAsia="zh-CN" w:bidi="ar-SA"/>
              </w:rPr>
              <w:t>每天</w:t>
            </w:r>
            <w:r>
              <w:rPr>
                <w:rFonts w:hint="eastAsia" w:cs="Times New Roman"/>
                <w:color w:val="auto"/>
                <w:kern w:val="2"/>
                <w:sz w:val="24"/>
                <w:szCs w:val="24"/>
                <w:highlight w:val="none"/>
                <w:lang w:val="zh-CN" w:eastAsia="zh-CN" w:bidi="ar-SA"/>
              </w:rPr>
              <w:t>配制蒙砂液</w:t>
            </w:r>
            <w:r>
              <w:rPr>
                <w:rFonts w:hint="eastAsia" w:cs="Times New Roman"/>
                <w:color w:val="auto"/>
                <w:kern w:val="2"/>
                <w:sz w:val="24"/>
                <w:szCs w:val="24"/>
                <w:highlight w:val="none"/>
                <w:lang w:val="en-US" w:eastAsia="zh-CN" w:bidi="ar-SA"/>
              </w:rPr>
              <w:t>2次，每次</w:t>
            </w:r>
            <w:r>
              <w:rPr>
                <w:rFonts w:hint="eastAsia" w:cs="Times New Roman"/>
                <w:color w:val="auto"/>
                <w:kern w:val="2"/>
                <w:sz w:val="24"/>
                <w:szCs w:val="24"/>
                <w:highlight w:val="none"/>
                <w:lang w:val="zh-CN" w:eastAsia="zh-CN" w:bidi="ar-SA"/>
              </w:rPr>
              <w:t>配制</w:t>
            </w:r>
            <w:r>
              <w:rPr>
                <w:rFonts w:hint="default" w:ascii="Times New Roman" w:hAnsi="Times New Roman" w:eastAsia="宋体" w:cs="Times New Roman"/>
                <w:color w:val="auto"/>
                <w:kern w:val="2"/>
                <w:sz w:val="24"/>
                <w:szCs w:val="24"/>
                <w:highlight w:val="none"/>
                <w:lang w:val="zh-CN" w:eastAsia="zh-CN" w:bidi="ar-SA"/>
              </w:rPr>
              <w:t>时间为0.2h</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类比</w:t>
            </w:r>
            <w:r>
              <w:rPr>
                <w:rFonts w:hint="eastAsia" w:cs="Times New Roman"/>
                <w:color w:val="auto"/>
                <w:kern w:val="2"/>
                <w:sz w:val="24"/>
                <w:szCs w:val="24"/>
                <w:highlight w:val="none"/>
                <w:lang w:val="zh-CN" w:eastAsia="zh-CN" w:bidi="ar-SA"/>
              </w:rPr>
              <w:t>《青岛鑫龙新都工贸有限公司玻璃蒙砂项目竣工环境保护验收监测报告》</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本工序</w:t>
            </w:r>
            <w:r>
              <w:rPr>
                <w:rFonts w:hint="default" w:ascii="Times New Roman" w:hAnsi="Times New Roman" w:eastAsia="宋体" w:cs="Times New Roman"/>
                <w:color w:val="auto"/>
                <w:kern w:val="2"/>
                <w:sz w:val="24"/>
                <w:szCs w:val="24"/>
                <w:highlight w:val="none"/>
                <w:lang w:val="zh-CN" w:eastAsia="zh-CN" w:bidi="ar-SA"/>
              </w:rPr>
              <w:t>粉尘产生量为原料用量的0.1%，氟化氢铵年用量为</w:t>
            </w:r>
            <w:r>
              <w:rPr>
                <w:rFonts w:hint="eastAsia" w:cs="Times New Roman"/>
                <w:color w:val="auto"/>
                <w:kern w:val="2"/>
                <w:sz w:val="24"/>
                <w:szCs w:val="24"/>
                <w:highlight w:val="none"/>
                <w:lang w:val="en-US" w:eastAsia="zh-CN" w:bidi="ar-SA"/>
              </w:rPr>
              <w:t>100</w:t>
            </w:r>
            <w:r>
              <w:rPr>
                <w:rFonts w:hint="default" w:ascii="Times New Roman" w:hAnsi="Times New Roman" w:eastAsia="宋体" w:cs="Times New Roman"/>
                <w:color w:val="auto"/>
                <w:kern w:val="2"/>
                <w:sz w:val="24"/>
                <w:szCs w:val="24"/>
                <w:highlight w:val="none"/>
                <w:lang w:val="zh-CN" w:eastAsia="zh-CN" w:bidi="ar-SA"/>
              </w:rPr>
              <w:t>t，则颗粒物的产生量为</w:t>
            </w:r>
            <w:r>
              <w:rPr>
                <w:rFonts w:hint="eastAsia" w:cs="Times New Roman"/>
                <w:color w:val="auto"/>
                <w:kern w:val="2"/>
                <w:sz w:val="24"/>
                <w:szCs w:val="24"/>
                <w:highlight w:val="none"/>
                <w:lang w:val="en-US" w:eastAsia="zh-CN" w:bidi="ar-SA"/>
              </w:rPr>
              <w:t>0.1t</w:t>
            </w:r>
            <w:r>
              <w:rPr>
                <w:rFonts w:hint="default" w:ascii="Times New Roman" w:hAnsi="Times New Roman" w:eastAsia="宋体" w:cs="Times New Roman"/>
                <w:color w:val="auto"/>
                <w:kern w:val="2"/>
                <w:sz w:val="24"/>
                <w:szCs w:val="24"/>
                <w:highlight w:val="none"/>
                <w:lang w:val="zh-CN" w:eastAsia="zh-CN" w:bidi="ar-SA"/>
              </w:rPr>
              <w:t>/a</w:t>
            </w:r>
            <w:r>
              <w:rPr>
                <w:rFonts w:hint="eastAsia" w:cs="Times New Roman"/>
                <w:color w:val="auto"/>
                <w:kern w:val="2"/>
                <w:sz w:val="24"/>
                <w:szCs w:val="24"/>
                <w:highlight w:val="none"/>
                <w:lang w:val="zh-CN" w:eastAsia="zh-CN" w:bidi="ar-SA"/>
              </w:rPr>
              <w:t>，产生速率为</w:t>
            </w:r>
            <w:r>
              <w:rPr>
                <w:rFonts w:hint="eastAsia" w:ascii="Times New Roman" w:hAnsi="Times New Roman" w:eastAsia="宋体" w:cs="Times New Roman"/>
                <w:color w:val="auto"/>
                <w:kern w:val="2"/>
                <w:sz w:val="24"/>
                <w:szCs w:val="24"/>
                <w:highlight w:val="none"/>
                <w:lang w:val="en-US" w:eastAsia="zh-CN" w:bidi="ar-SA"/>
              </w:rPr>
              <w:t>0.8333</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。封</w:t>
            </w:r>
            <w:r>
              <w:rPr>
                <w:rFonts w:hint="eastAsia" w:ascii="Times New Roman" w:hAnsi="Times New Roman" w:cs="Times New Roman"/>
                <w:color w:val="auto"/>
                <w:kern w:val="2"/>
                <w:sz w:val="24"/>
                <w:szCs w:val="24"/>
                <w:highlight w:val="none"/>
                <w:lang w:val="zh-CN" w:eastAsia="zh-CN" w:bidi="ar-SA"/>
              </w:rPr>
              <w:t>闭</w:t>
            </w:r>
            <w:r>
              <w:rPr>
                <w:rFonts w:hint="eastAsia" w:cs="Times New Roman"/>
                <w:color w:val="auto"/>
                <w:kern w:val="2"/>
                <w:sz w:val="24"/>
                <w:szCs w:val="24"/>
                <w:highlight w:val="none"/>
                <w:lang w:val="zh-CN" w:eastAsia="zh-CN" w:bidi="ar-SA"/>
              </w:rPr>
              <w:t>生产车间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则该工序有组织颗粒物的产生量为</w:t>
            </w:r>
            <w:r>
              <w:rPr>
                <w:rFonts w:hint="eastAsia" w:cs="Times New Roman"/>
                <w:color w:val="auto"/>
                <w:kern w:val="2"/>
                <w:sz w:val="24"/>
                <w:szCs w:val="24"/>
                <w:highlight w:val="none"/>
                <w:lang w:val="en-US" w:eastAsia="zh-CN" w:bidi="ar-SA"/>
              </w:rPr>
              <w:t>0.09</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产生速率为</w:t>
            </w:r>
            <w:r>
              <w:rPr>
                <w:rFonts w:hint="eastAsia" w:cs="Times New Roman"/>
                <w:color w:val="auto"/>
                <w:kern w:val="2"/>
                <w:sz w:val="24"/>
                <w:szCs w:val="24"/>
                <w:highlight w:val="none"/>
                <w:lang w:val="en-US" w:eastAsia="zh-CN" w:bidi="ar-SA"/>
              </w:rPr>
              <w:t>0.75</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5D9DD04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color w:val="auto"/>
                <w:highlight w:val="none"/>
                <w:lang w:val="en-US" w:eastAsia="zh-CN"/>
              </w:rPr>
            </w:pPr>
            <w:r>
              <w:rPr>
                <w:rFonts w:hint="eastAsia" w:cs="Times New Roman"/>
                <w:color w:val="auto"/>
                <w:kern w:val="2"/>
                <w:sz w:val="24"/>
                <w:szCs w:val="24"/>
                <w:highlight w:val="none"/>
                <w:lang w:val="zh-CN" w:eastAsia="zh-CN" w:bidi="ar-SA"/>
              </w:rPr>
              <w:t>封</w:t>
            </w:r>
            <w:r>
              <w:rPr>
                <w:rFonts w:hint="eastAsia" w:ascii="Times New Roman" w:hAnsi="Times New Roman" w:eastAsia="宋体" w:cs="Times New Roman"/>
                <w:color w:val="auto"/>
                <w:kern w:val="2"/>
                <w:sz w:val="24"/>
                <w:szCs w:val="24"/>
                <w:highlight w:val="none"/>
                <w:lang w:val="zh-CN" w:eastAsia="zh-CN" w:bidi="ar-SA"/>
              </w:rPr>
              <w:t>闭生产</w:t>
            </w:r>
            <w:r>
              <w:rPr>
                <w:rFonts w:hint="eastAsia" w:cs="Times New Roman"/>
                <w:color w:val="auto"/>
                <w:kern w:val="2"/>
                <w:sz w:val="24"/>
                <w:szCs w:val="24"/>
                <w:highlight w:val="none"/>
                <w:lang w:val="zh-CN" w:eastAsia="zh-CN" w:bidi="ar-SA"/>
              </w:rPr>
              <w:t>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eastAsia="宋体"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color w:val="auto"/>
                <w:sz w:val="24"/>
                <w:highlight w:val="none"/>
                <w:lang w:val="zh-CN"/>
              </w:rPr>
              <w:t>则剩余</w:t>
            </w:r>
            <w:r>
              <w:rPr>
                <w:rFonts w:hint="eastAsia"/>
                <w:color w:val="auto"/>
                <w:sz w:val="24"/>
                <w:highlight w:val="none"/>
              </w:rPr>
              <w:t>10</w:t>
            </w:r>
            <w:r>
              <w:rPr>
                <w:color w:val="auto"/>
                <w:sz w:val="24"/>
                <w:highlight w:val="none"/>
                <w:lang w:val="zh-CN"/>
              </w:rPr>
              <w:t>%未被</w:t>
            </w:r>
            <w:r>
              <w:rPr>
                <w:rFonts w:hint="eastAsia"/>
                <w:color w:val="auto"/>
                <w:sz w:val="24"/>
                <w:highlight w:val="none"/>
                <w:lang w:val="zh-CN"/>
              </w:rPr>
              <w:t>集气管道</w:t>
            </w:r>
            <w:r>
              <w:rPr>
                <w:color w:val="auto"/>
                <w:sz w:val="24"/>
                <w:highlight w:val="none"/>
                <w:lang w:val="zh-CN"/>
              </w:rPr>
              <w:t>收集的</w:t>
            </w:r>
            <w:r>
              <w:rPr>
                <w:rFonts w:hint="eastAsia"/>
                <w:color w:val="auto"/>
                <w:sz w:val="24"/>
                <w:highlight w:val="none"/>
                <w:lang w:val="zh-CN"/>
              </w:rPr>
              <w:t>颗粒物</w:t>
            </w:r>
            <w:r>
              <w:rPr>
                <w:color w:val="auto"/>
                <w:sz w:val="24"/>
                <w:highlight w:val="none"/>
                <w:lang w:val="zh-CN"/>
              </w:rPr>
              <w:t>在</w:t>
            </w:r>
            <w:r>
              <w:rPr>
                <w:rFonts w:hint="eastAsia"/>
                <w:color w:val="auto"/>
                <w:sz w:val="24"/>
                <w:highlight w:val="none"/>
                <w:lang w:val="zh-CN"/>
              </w:rPr>
              <w:t>车间</w:t>
            </w:r>
            <w:r>
              <w:rPr>
                <w:color w:val="auto"/>
                <w:sz w:val="24"/>
                <w:highlight w:val="none"/>
                <w:lang w:val="zh-CN"/>
              </w:rPr>
              <w:t>内</w:t>
            </w:r>
            <w:r>
              <w:rPr>
                <w:rFonts w:hint="eastAsia"/>
                <w:color w:val="auto"/>
                <w:sz w:val="24"/>
                <w:highlight w:val="none"/>
                <w:lang w:val="zh-CN"/>
              </w:rPr>
              <w:t>呈</w:t>
            </w:r>
            <w:r>
              <w:rPr>
                <w:color w:val="auto"/>
                <w:sz w:val="24"/>
                <w:highlight w:val="none"/>
                <w:lang w:val="zh-CN"/>
              </w:rPr>
              <w:t>无组织排放</w:t>
            </w:r>
            <w:r>
              <w:rPr>
                <w:rFonts w:hint="eastAsia"/>
                <w:color w:val="auto"/>
                <w:sz w:val="24"/>
                <w:highlight w:val="none"/>
                <w:lang w:val="zh-CN"/>
              </w:rPr>
              <w:t>，故本工序</w:t>
            </w:r>
            <w:r>
              <w:rPr>
                <w:rFonts w:hint="eastAsia"/>
                <w:color w:val="auto"/>
                <w:sz w:val="24"/>
                <w:highlight w:val="none"/>
              </w:rPr>
              <w:t>颗粒物</w:t>
            </w:r>
            <w:r>
              <w:rPr>
                <w:color w:val="auto"/>
                <w:sz w:val="24"/>
                <w:highlight w:val="none"/>
                <w:lang w:val="zh-CN"/>
              </w:rPr>
              <w:t>无组织排放量为</w:t>
            </w:r>
            <w:r>
              <w:rPr>
                <w:rFonts w:hint="eastAsia"/>
                <w:color w:val="auto"/>
                <w:sz w:val="24"/>
                <w:highlight w:val="none"/>
                <w:lang w:val="en-US" w:eastAsia="zh-CN"/>
              </w:rPr>
              <w:t>0.01</w:t>
            </w:r>
            <w:r>
              <w:rPr>
                <w:color w:val="auto"/>
                <w:sz w:val="24"/>
                <w:highlight w:val="none"/>
                <w:lang w:val="zh-CN"/>
              </w:rPr>
              <w:t>t/a</w:t>
            </w:r>
            <w:r>
              <w:rPr>
                <w:rFonts w:hint="eastAsia"/>
                <w:color w:val="auto"/>
                <w:sz w:val="24"/>
                <w:highlight w:val="none"/>
                <w:lang w:val="zh-CN"/>
              </w:rPr>
              <w:t>，</w:t>
            </w:r>
            <w:r>
              <w:rPr>
                <w:rFonts w:hint="eastAsia" w:cs="Times New Roman"/>
                <w:color w:val="auto"/>
                <w:kern w:val="2"/>
                <w:sz w:val="24"/>
                <w:szCs w:val="24"/>
                <w:highlight w:val="none"/>
                <w:lang w:val="zh-CN" w:eastAsia="zh-CN" w:bidi="ar-SA"/>
              </w:rPr>
              <w:t>排放速率为</w:t>
            </w:r>
            <w:r>
              <w:rPr>
                <w:rFonts w:hint="eastAsia" w:cs="Times New Roman"/>
                <w:color w:val="auto"/>
                <w:kern w:val="2"/>
                <w:sz w:val="24"/>
                <w:szCs w:val="24"/>
                <w:highlight w:val="none"/>
                <w:lang w:val="en-US" w:eastAsia="zh-CN" w:bidi="ar-SA"/>
              </w:rPr>
              <w:t>0.0833</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4EE9C4E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firstLine="480" w:firstLineChars="200"/>
              <w:jc w:val="both"/>
              <w:textAlignment w:val="baseline"/>
              <w:rPr>
                <w:rFonts w:hint="eastAsia"/>
                <w:color w:val="auto"/>
                <w:highlight w:val="none"/>
                <w:lang w:val="zh-CN" w:eastAsia="zh-CN"/>
              </w:rPr>
            </w:pPr>
            <w:r>
              <w:rPr>
                <w:rFonts w:hint="eastAsia" w:cs="Times New Roman"/>
                <w:color w:val="auto"/>
                <w:kern w:val="2"/>
                <w:sz w:val="24"/>
                <w:szCs w:val="24"/>
                <w:highlight w:val="none"/>
                <w:lang w:val="en-US" w:eastAsia="zh-CN" w:bidi="ar-SA"/>
              </w:rPr>
              <w:t>②</w:t>
            </w:r>
            <w:r>
              <w:rPr>
                <w:rFonts w:hint="eastAsia" w:cs="Times New Roman"/>
                <w:color w:val="auto"/>
                <w:kern w:val="2"/>
                <w:sz w:val="24"/>
                <w:szCs w:val="24"/>
                <w:highlight w:val="none"/>
                <w:lang w:val="zh-CN" w:eastAsia="zh-CN" w:bidi="ar-SA"/>
              </w:rPr>
              <w:t>硫酸雾</w:t>
            </w:r>
          </w:p>
          <w:p w14:paraId="5FFBCA8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蒙砂液配制工序</w:t>
            </w:r>
            <w:r>
              <w:rPr>
                <w:rFonts w:hint="default" w:ascii="Times New Roman" w:hAnsi="Times New Roman" w:eastAsia="宋体" w:cs="Times New Roman"/>
                <w:b/>
                <w:bCs/>
                <w:color w:val="auto"/>
                <w:kern w:val="2"/>
                <w:sz w:val="24"/>
                <w:szCs w:val="24"/>
                <w:highlight w:val="none"/>
                <w:lang w:val="zh-CN" w:eastAsia="zh-CN" w:bidi="ar-SA"/>
              </w:rPr>
              <w:t>硫酸雾的产生速率</w:t>
            </w:r>
            <w:r>
              <w:rPr>
                <w:rFonts w:hint="eastAsia" w:cs="Times New Roman"/>
                <w:b/>
                <w:bCs/>
                <w:color w:val="auto"/>
                <w:kern w:val="2"/>
                <w:sz w:val="24"/>
                <w:szCs w:val="24"/>
                <w:highlight w:val="none"/>
                <w:lang w:val="zh-CN" w:eastAsia="zh-CN" w:bidi="ar-SA"/>
              </w:rPr>
              <w:t>用公式（</w:t>
            </w:r>
            <w:r>
              <w:rPr>
                <w:rFonts w:hint="eastAsia"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进行计算。</w:t>
            </w:r>
            <w:r>
              <w:rPr>
                <w:rFonts w:hint="default" w:ascii="Times New Roman" w:hAnsi="Times New Roman" w:eastAsia="宋体" w:cs="Times New Roman"/>
                <w:color w:val="auto"/>
                <w:kern w:val="2"/>
                <w:sz w:val="24"/>
                <w:szCs w:val="24"/>
                <w:highlight w:val="none"/>
                <w:lang w:val="zh-CN" w:eastAsia="zh-CN" w:bidi="ar-SA"/>
              </w:rPr>
              <w:t>本</w:t>
            </w:r>
            <w:r>
              <w:rPr>
                <w:rFonts w:hint="eastAsia" w:cs="Times New Roman"/>
                <w:color w:val="auto"/>
                <w:kern w:val="2"/>
                <w:sz w:val="24"/>
                <w:szCs w:val="24"/>
                <w:highlight w:val="none"/>
                <w:lang w:val="zh-CN" w:eastAsia="zh-CN" w:bidi="ar-SA"/>
              </w:rPr>
              <w:t>工序</w:t>
            </w:r>
            <w:r>
              <w:rPr>
                <w:rFonts w:hint="eastAsia" w:ascii="Times New Roman" w:hAnsi="Times New Roman" w:eastAsia="宋体" w:cs="Times New Roman"/>
                <w:color w:val="auto"/>
                <w:kern w:val="2"/>
                <w:sz w:val="24"/>
                <w:szCs w:val="24"/>
                <w:highlight w:val="none"/>
                <w:lang w:val="zh-CN" w:eastAsia="zh-CN" w:bidi="ar-SA"/>
              </w:rPr>
              <w:t>蒙砂</w:t>
            </w:r>
            <w:r>
              <w:rPr>
                <w:rFonts w:hint="default" w:ascii="Times New Roman" w:hAnsi="Times New Roman" w:eastAsia="宋体" w:cs="Times New Roman"/>
                <w:color w:val="auto"/>
                <w:kern w:val="2"/>
                <w:sz w:val="24"/>
                <w:szCs w:val="24"/>
                <w:highlight w:val="none"/>
                <w:lang w:val="zh-CN" w:eastAsia="zh-CN" w:bidi="ar-SA"/>
              </w:rPr>
              <w:t>液</w:t>
            </w:r>
            <w:r>
              <w:rPr>
                <w:rFonts w:hint="eastAsia" w:cs="Times New Roman"/>
                <w:color w:val="auto"/>
                <w:kern w:val="2"/>
                <w:sz w:val="24"/>
                <w:szCs w:val="24"/>
                <w:highlight w:val="none"/>
                <w:lang w:val="zh-CN" w:eastAsia="zh-CN" w:bidi="ar-SA"/>
              </w:rPr>
              <w:t>配制时使用的硫酸</w:t>
            </w:r>
            <w:r>
              <w:rPr>
                <w:rFonts w:hint="default" w:ascii="Times New Roman" w:hAnsi="Times New Roman" w:eastAsia="宋体" w:cs="Times New Roman"/>
                <w:color w:val="auto"/>
                <w:kern w:val="2"/>
                <w:sz w:val="24"/>
                <w:szCs w:val="24"/>
                <w:highlight w:val="none"/>
                <w:lang w:val="zh-CN" w:eastAsia="zh-CN" w:bidi="ar-SA"/>
              </w:rPr>
              <w:t>为</w:t>
            </w:r>
            <w:r>
              <w:rPr>
                <w:rFonts w:hint="eastAsia" w:cs="Times New Roman"/>
                <w:color w:val="auto"/>
                <w:kern w:val="2"/>
                <w:sz w:val="24"/>
                <w:szCs w:val="24"/>
                <w:highlight w:val="none"/>
                <w:lang w:val="en-US" w:eastAsia="zh-CN" w:bidi="ar-SA"/>
              </w:rPr>
              <w:t>98</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zh-CN" w:eastAsia="zh-CN" w:bidi="ar-SA"/>
              </w:rPr>
              <w:t>硫酸</w:t>
            </w:r>
            <w:r>
              <w:rPr>
                <w:rFonts w:hint="default" w:ascii="Times New Roman" w:hAnsi="Times New Roman" w:eastAsia="宋体" w:cs="Times New Roman"/>
                <w:color w:val="auto"/>
                <w:kern w:val="2"/>
                <w:sz w:val="24"/>
                <w:szCs w:val="24"/>
                <w:highlight w:val="none"/>
                <w:lang w:val="zh-CN" w:eastAsia="zh-CN" w:bidi="ar-SA"/>
              </w:rPr>
              <w:t>，查《环境统计手册》表4-1</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zh-CN" w:eastAsia="zh-CN" w:bidi="ar-SA"/>
              </w:rPr>
              <w:t>中室温（20℃）硫酸溶液的硫酸分压</w:t>
            </w:r>
            <w:r>
              <w:rPr>
                <w:rFonts w:hint="eastAsia" w:ascii="Times New Roman" w:hAnsi="Times New Roman" w:eastAsia="宋体" w:cs="Times New Roman"/>
                <w:color w:val="auto"/>
                <w:kern w:val="2"/>
                <w:sz w:val="24"/>
                <w:szCs w:val="24"/>
                <w:highlight w:val="none"/>
                <w:lang w:val="zh-CN" w:eastAsia="zh-CN" w:bidi="ar-SA"/>
              </w:rPr>
              <w:t>，因没有</w:t>
            </w:r>
            <w:r>
              <w:rPr>
                <w:rFonts w:hint="eastAsia" w:ascii="Times New Roman" w:hAnsi="Times New Roman" w:eastAsia="宋体" w:cs="Times New Roman"/>
                <w:color w:val="auto"/>
                <w:kern w:val="2"/>
                <w:sz w:val="24"/>
                <w:szCs w:val="24"/>
                <w:highlight w:val="none"/>
                <w:lang w:val="en-US" w:eastAsia="zh-CN" w:bidi="ar-SA"/>
              </w:rPr>
              <w:t>98%硫酸对应的蒸汽分压，因此按最大浓度80%硫酸的蒸汽分压进行计算。即：</w:t>
            </w:r>
            <w:r>
              <w:rPr>
                <w:rFonts w:hint="default" w:ascii="Times New Roman" w:hAnsi="Times New Roman" w:eastAsia="宋体" w:cs="Times New Roman"/>
                <w:color w:val="auto"/>
                <w:kern w:val="2"/>
                <w:sz w:val="24"/>
                <w:szCs w:val="24"/>
                <w:highlight w:val="none"/>
                <w:lang w:val="zh-CN" w:eastAsia="zh-CN" w:bidi="ar-SA"/>
              </w:rPr>
              <w:t>查《环境统计手册》表4-1</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zh-CN" w:eastAsia="zh-CN" w:bidi="ar-SA"/>
              </w:rPr>
              <w:t>中室温（20℃）</w:t>
            </w:r>
            <w:r>
              <w:rPr>
                <w:rFonts w:hint="eastAsia" w:ascii="Times New Roman" w:hAnsi="Times New Roman" w:eastAsia="宋体" w:cs="Times New Roman"/>
                <w:color w:val="auto"/>
                <w:kern w:val="2"/>
                <w:sz w:val="24"/>
                <w:szCs w:val="24"/>
                <w:highlight w:val="none"/>
                <w:lang w:val="en-US" w:eastAsia="zh-CN" w:bidi="ar-SA"/>
              </w:rPr>
              <w:t>80</w:t>
            </w:r>
            <w:r>
              <w:rPr>
                <w:rFonts w:hint="default" w:ascii="Times New Roman" w:hAnsi="Times New Roman" w:eastAsia="宋体" w:cs="Times New Roman"/>
                <w:color w:val="auto"/>
                <w:kern w:val="2"/>
                <w:sz w:val="24"/>
                <w:szCs w:val="24"/>
                <w:highlight w:val="none"/>
                <w:lang w:val="zh-CN" w:eastAsia="zh-CN" w:bidi="ar-SA"/>
              </w:rPr>
              <w:t>%硫酸溶液的硫酸分压</w:t>
            </w:r>
            <w:r>
              <w:rPr>
                <w:rFonts w:hint="eastAsia" w:cs="Times New Roman"/>
                <w:color w:val="auto"/>
                <w:kern w:val="2"/>
                <w:sz w:val="24"/>
                <w:szCs w:val="24"/>
                <w:highlight w:val="none"/>
                <w:lang w:val="zh-CN" w:eastAsia="zh-CN" w:bidi="ar-SA"/>
              </w:rPr>
              <w:t>得</w:t>
            </w:r>
            <w:r>
              <w:rPr>
                <w:rFonts w:hint="default" w:ascii="Times New Roman" w:hAnsi="Times New Roman" w:eastAsia="宋体" w:cs="Times New Roman"/>
                <w:color w:val="auto"/>
                <w:kern w:val="2"/>
                <w:sz w:val="24"/>
                <w:szCs w:val="24"/>
                <w:highlight w:val="none"/>
                <w:lang w:val="zh-CN" w:eastAsia="zh-CN" w:bidi="ar-SA"/>
              </w:rPr>
              <w:t>P</w:t>
            </w:r>
            <w:r>
              <w:rPr>
                <w:rFonts w:hint="eastAsia" w:ascii="Times New Roman" w:hAnsi="Times New Roman" w:eastAsia="宋体" w:cs="Times New Roman"/>
                <w:color w:val="auto"/>
                <w:kern w:val="2"/>
                <w:sz w:val="24"/>
                <w:szCs w:val="24"/>
                <w:highlight w:val="none"/>
                <w:lang w:val="en-US" w:eastAsia="zh-CN" w:bidi="ar-SA"/>
              </w:rPr>
              <w:t>80</w:t>
            </w:r>
            <w:r>
              <w:rPr>
                <w:rFonts w:hint="default" w:ascii="Times New Roman" w:hAnsi="Times New Roman" w:eastAsia="宋体" w:cs="Times New Roman"/>
                <w:color w:val="auto"/>
                <w:kern w:val="2"/>
                <w:sz w:val="24"/>
                <w:szCs w:val="24"/>
                <w:highlight w:val="none"/>
                <w:lang w:val="zh-CN" w:eastAsia="zh-CN" w:bidi="ar-SA"/>
              </w:rPr>
              <w:t>%H</w:t>
            </w:r>
            <w:r>
              <w:rPr>
                <w:rFonts w:hint="default" w:ascii="Times New Roman" w:hAnsi="Times New Roman" w:eastAsia="宋体" w:cs="Times New Roman"/>
                <w:color w:val="auto"/>
                <w:kern w:val="2"/>
                <w:sz w:val="24"/>
                <w:szCs w:val="24"/>
                <w:highlight w:val="none"/>
                <w:vertAlign w:val="sub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SO</w:t>
            </w:r>
            <w:r>
              <w:rPr>
                <w:rFonts w:hint="default" w:ascii="Times New Roman" w:hAnsi="Times New Roman" w:eastAsia="宋体" w:cs="Times New Roman"/>
                <w:color w:val="auto"/>
                <w:kern w:val="2"/>
                <w:sz w:val="24"/>
                <w:szCs w:val="24"/>
                <w:highlight w:val="none"/>
                <w:vertAlign w:val="subscript"/>
                <w:lang w:val="zh-CN" w:eastAsia="zh-CN" w:bidi="ar-SA"/>
              </w:rPr>
              <w:t>4</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0.08</w:t>
            </w:r>
            <w:r>
              <w:rPr>
                <w:rFonts w:hint="default" w:ascii="Times New Roman" w:hAnsi="Times New Roman" w:eastAsia="宋体" w:cs="Times New Roman"/>
                <w:color w:val="auto"/>
                <w:kern w:val="2"/>
                <w:sz w:val="24"/>
                <w:szCs w:val="24"/>
                <w:highlight w:val="none"/>
                <w:lang w:val="zh-CN" w:eastAsia="zh-CN" w:bidi="ar-SA"/>
              </w:rPr>
              <w:t>mmHg；</w:t>
            </w:r>
            <w:r>
              <w:rPr>
                <w:rFonts w:hint="eastAsia" w:cs="Times New Roman"/>
                <w:color w:val="auto"/>
                <w:kern w:val="2"/>
                <w:sz w:val="24"/>
                <w:szCs w:val="24"/>
                <w:highlight w:val="none"/>
                <w:lang w:val="en-US" w:eastAsia="zh-CN" w:bidi="ar-SA"/>
              </w:rPr>
              <w:t>10只</w:t>
            </w:r>
            <w:r>
              <w:rPr>
                <w:rFonts w:hint="eastAsia" w:cs="Times New Roman"/>
                <w:color w:val="auto"/>
                <w:kern w:val="2"/>
                <w:sz w:val="24"/>
                <w:szCs w:val="24"/>
                <w:highlight w:val="none"/>
                <w:lang w:val="zh-CN" w:eastAsia="zh-CN" w:bidi="ar-SA"/>
              </w:rPr>
              <w:t>蒙砂液配制桶的蒸发</w:t>
            </w:r>
            <w:r>
              <w:rPr>
                <w:rFonts w:hint="default" w:ascii="Times New Roman" w:hAnsi="Times New Roman" w:eastAsia="宋体" w:cs="Times New Roman"/>
                <w:color w:val="auto"/>
                <w:kern w:val="2"/>
                <w:sz w:val="24"/>
                <w:szCs w:val="24"/>
                <w:highlight w:val="none"/>
                <w:lang w:val="zh-CN" w:eastAsia="zh-CN" w:bidi="ar-SA"/>
              </w:rPr>
              <w:t>表面积为</w:t>
            </w:r>
            <w:r>
              <w:rPr>
                <w:rFonts w:hint="eastAsia" w:cs="Times New Roman"/>
                <w:color w:val="auto"/>
                <w:kern w:val="2"/>
                <w:sz w:val="24"/>
                <w:szCs w:val="24"/>
                <w:highlight w:val="none"/>
                <w:lang w:val="en-US" w:eastAsia="zh-CN" w:bidi="ar-SA"/>
              </w:rPr>
              <w:t>0.6</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w:t>
            </w:r>
          </w:p>
          <w:p w14:paraId="4988EFA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经计算</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本项目</w:t>
            </w:r>
            <w:r>
              <w:rPr>
                <w:rFonts w:hint="eastAsia" w:cs="Times New Roman"/>
                <w:color w:val="auto"/>
                <w:kern w:val="2"/>
                <w:sz w:val="24"/>
                <w:szCs w:val="24"/>
                <w:highlight w:val="none"/>
                <w:lang w:val="zh-CN" w:eastAsia="zh-CN" w:bidi="ar-SA"/>
              </w:rPr>
              <w:t>蒙砂液配制</w:t>
            </w:r>
            <w:r>
              <w:rPr>
                <w:rFonts w:hint="default" w:ascii="Times New Roman" w:hAnsi="Times New Roman" w:eastAsia="宋体" w:cs="Times New Roman"/>
                <w:color w:val="auto"/>
                <w:kern w:val="2"/>
                <w:sz w:val="24"/>
                <w:szCs w:val="24"/>
                <w:highlight w:val="none"/>
                <w:lang w:val="zh-CN" w:eastAsia="zh-CN" w:bidi="ar-SA"/>
              </w:rPr>
              <w:t>过程中硫酸</w:t>
            </w:r>
            <w:r>
              <w:rPr>
                <w:rFonts w:hint="eastAsia" w:ascii="Times New Roman" w:hAnsi="Times New Roman" w:eastAsia="宋体" w:cs="Times New Roman"/>
                <w:color w:val="auto"/>
                <w:kern w:val="2"/>
                <w:sz w:val="24"/>
                <w:szCs w:val="24"/>
                <w:highlight w:val="none"/>
                <w:lang w:val="zh-CN" w:eastAsia="zh-CN" w:bidi="ar-SA"/>
              </w:rPr>
              <w:t>雾的产生速率</w:t>
            </w:r>
            <w:r>
              <w:rPr>
                <w:rFonts w:hint="default" w:ascii="Times New Roman" w:hAnsi="Times New Roman" w:eastAsia="宋体" w:cs="Times New Roman"/>
                <w:color w:val="auto"/>
                <w:kern w:val="2"/>
                <w:sz w:val="24"/>
                <w:szCs w:val="24"/>
                <w:highlight w:val="none"/>
                <w:lang w:val="zh-CN" w:eastAsia="zh-CN" w:bidi="ar-SA"/>
              </w:rPr>
              <w:t>为</w:t>
            </w:r>
            <w:r>
              <w:rPr>
                <w:rFonts w:hint="eastAsia" w:cs="Times New Roman"/>
                <w:color w:val="auto"/>
                <w:kern w:val="2"/>
                <w:sz w:val="24"/>
                <w:szCs w:val="24"/>
                <w:highlight w:val="none"/>
                <w:lang w:val="en-US" w:eastAsia="zh-CN" w:bidi="ar-SA"/>
              </w:rPr>
              <w:t>0.0029</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。本项目</w:t>
            </w:r>
            <w:r>
              <w:rPr>
                <w:rFonts w:hint="default" w:ascii="Times New Roman" w:hAnsi="Times New Roman" w:eastAsia="宋体" w:cs="Times New Roman"/>
                <w:color w:val="auto"/>
                <w:kern w:val="2"/>
                <w:sz w:val="24"/>
                <w:szCs w:val="24"/>
                <w:highlight w:val="none"/>
                <w:lang w:val="zh-CN" w:eastAsia="zh-CN" w:bidi="ar-SA"/>
              </w:rPr>
              <w:t>年运行300天</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每天</w:t>
            </w:r>
            <w:r>
              <w:rPr>
                <w:rFonts w:hint="eastAsia" w:cs="Times New Roman"/>
                <w:color w:val="auto"/>
                <w:kern w:val="2"/>
                <w:sz w:val="24"/>
                <w:szCs w:val="24"/>
                <w:highlight w:val="none"/>
                <w:lang w:val="zh-CN" w:eastAsia="zh-CN" w:bidi="ar-SA"/>
              </w:rPr>
              <w:t>配制蒙砂液</w:t>
            </w:r>
            <w:r>
              <w:rPr>
                <w:rFonts w:hint="eastAsia" w:cs="Times New Roman"/>
                <w:color w:val="auto"/>
                <w:kern w:val="2"/>
                <w:sz w:val="24"/>
                <w:szCs w:val="24"/>
                <w:highlight w:val="none"/>
                <w:lang w:val="en-US" w:eastAsia="zh-CN" w:bidi="ar-SA"/>
              </w:rPr>
              <w:t>2</w:t>
            </w:r>
            <w:r>
              <w:rPr>
                <w:rFonts w:hint="default" w:cs="Times New Roman"/>
                <w:color w:val="auto"/>
                <w:kern w:val="2"/>
                <w:sz w:val="24"/>
                <w:szCs w:val="24"/>
                <w:highlight w:val="none"/>
                <w:lang w:val="zh-CN" w:eastAsia="zh-CN" w:bidi="ar-SA"/>
              </w:rPr>
              <w:t>次</w:t>
            </w:r>
            <w:r>
              <w:rPr>
                <w:rFonts w:hint="eastAsia" w:cs="Times New Roman"/>
                <w:color w:val="auto"/>
                <w:kern w:val="2"/>
                <w:sz w:val="24"/>
                <w:szCs w:val="24"/>
                <w:highlight w:val="none"/>
                <w:lang w:val="zh-CN" w:eastAsia="zh-CN" w:bidi="ar-SA"/>
              </w:rPr>
              <w:t>（每班配制</w:t>
            </w:r>
            <w:r>
              <w:rPr>
                <w:rFonts w:hint="eastAsia" w:cs="Times New Roman"/>
                <w:color w:val="auto"/>
                <w:kern w:val="2"/>
                <w:sz w:val="24"/>
                <w:szCs w:val="24"/>
                <w:highlight w:val="none"/>
                <w:lang w:val="en-US" w:eastAsia="zh-CN" w:bidi="ar-SA"/>
              </w:rPr>
              <w:t>1次</w:t>
            </w:r>
            <w:r>
              <w:rPr>
                <w:rFonts w:hint="eastAsia"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，每次</w:t>
            </w:r>
            <w:r>
              <w:rPr>
                <w:rFonts w:hint="eastAsia" w:cs="Times New Roman"/>
                <w:color w:val="auto"/>
                <w:kern w:val="2"/>
                <w:sz w:val="24"/>
                <w:szCs w:val="24"/>
                <w:highlight w:val="none"/>
                <w:lang w:val="zh-CN" w:eastAsia="zh-CN" w:bidi="ar-SA"/>
              </w:rPr>
              <w:t>配制</w:t>
            </w:r>
            <w:r>
              <w:rPr>
                <w:rFonts w:hint="default" w:ascii="Times New Roman" w:hAnsi="Times New Roman" w:eastAsia="宋体" w:cs="Times New Roman"/>
                <w:color w:val="auto"/>
                <w:kern w:val="2"/>
                <w:sz w:val="24"/>
                <w:szCs w:val="24"/>
                <w:highlight w:val="none"/>
                <w:lang w:val="zh-CN" w:eastAsia="zh-CN" w:bidi="ar-SA"/>
              </w:rPr>
              <w:t>时间为0.2h</w:t>
            </w:r>
            <w:r>
              <w:rPr>
                <w:rFonts w:hint="eastAsia" w:ascii="Times New Roman" w:hAnsi="Times New Roman" w:eastAsia="宋体" w:cs="Times New Roman"/>
                <w:color w:val="auto"/>
                <w:kern w:val="2"/>
                <w:sz w:val="24"/>
                <w:szCs w:val="24"/>
                <w:highlight w:val="none"/>
                <w:lang w:val="zh-CN" w:eastAsia="zh-CN" w:bidi="ar-SA"/>
              </w:rPr>
              <w:t>，则每年</w:t>
            </w:r>
            <w:r>
              <w:rPr>
                <w:rFonts w:hint="eastAsia" w:cs="Times New Roman"/>
                <w:color w:val="auto"/>
                <w:kern w:val="2"/>
                <w:sz w:val="24"/>
                <w:szCs w:val="24"/>
                <w:highlight w:val="none"/>
                <w:lang w:val="zh-CN" w:eastAsia="zh-CN" w:bidi="ar-SA"/>
              </w:rPr>
              <w:t>使</w:t>
            </w:r>
            <w:r>
              <w:rPr>
                <w:rFonts w:hint="eastAsia" w:ascii="Times New Roman" w:hAnsi="Times New Roman" w:eastAsia="宋体" w:cs="Times New Roman"/>
                <w:color w:val="auto"/>
                <w:kern w:val="2"/>
                <w:sz w:val="24"/>
                <w:szCs w:val="24"/>
                <w:highlight w:val="none"/>
                <w:lang w:val="zh-CN" w:eastAsia="zh-CN" w:bidi="ar-SA"/>
              </w:rPr>
              <w:t>用</w:t>
            </w:r>
            <w:r>
              <w:rPr>
                <w:rFonts w:hint="eastAsia" w:ascii="Times New Roman" w:hAnsi="Times New Roman" w:eastAsia="宋体" w:cs="Times New Roman"/>
                <w:color w:val="auto"/>
                <w:kern w:val="2"/>
                <w:sz w:val="24"/>
                <w:szCs w:val="24"/>
                <w:highlight w:val="none"/>
                <w:lang w:val="en-US" w:eastAsia="zh-CN" w:bidi="ar-SA"/>
              </w:rPr>
              <w:t>98%硫酸配制蒙砂液的时间为60h。</w:t>
            </w:r>
            <w:r>
              <w:rPr>
                <w:rFonts w:hint="eastAsia" w:cs="Times New Roman"/>
                <w:color w:val="auto"/>
                <w:kern w:val="2"/>
                <w:sz w:val="24"/>
                <w:szCs w:val="24"/>
                <w:highlight w:val="none"/>
                <w:lang w:val="en-US" w:eastAsia="zh-CN" w:bidi="ar-SA"/>
              </w:rPr>
              <w:t>蒙砂液配制过程中因硫酸倒入时刻会挥发出硫酸雾，因此硫酸雾的产生时间按瞬时配制时间计。本工序瞬时配制时间按蒙砂液配制时间的一半时间考虑，即：每次的瞬时配制时间为0.1h，每年的瞬时配制时间为30h。</w:t>
            </w:r>
            <w:r>
              <w:rPr>
                <w:rFonts w:hint="default" w:ascii="Times New Roman" w:hAnsi="Times New Roman" w:eastAsia="宋体" w:cs="Times New Roman"/>
                <w:color w:val="auto"/>
                <w:kern w:val="2"/>
                <w:sz w:val="24"/>
                <w:szCs w:val="24"/>
                <w:highlight w:val="none"/>
                <w:lang w:val="zh-CN" w:eastAsia="zh-CN" w:bidi="ar-SA"/>
              </w:rPr>
              <w:t>则硫酸雾的产生量为</w:t>
            </w:r>
            <w:r>
              <w:rPr>
                <w:rFonts w:hint="eastAsia" w:cs="Times New Roman"/>
                <w:color w:val="auto"/>
                <w:kern w:val="2"/>
                <w:sz w:val="24"/>
                <w:szCs w:val="24"/>
                <w:highlight w:val="none"/>
                <w:lang w:val="en-US" w:eastAsia="zh-CN" w:bidi="ar-SA"/>
              </w:rPr>
              <w:t>0.00009</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。封</w:t>
            </w:r>
            <w:r>
              <w:rPr>
                <w:rFonts w:hint="eastAsia" w:ascii="Times New Roman" w:hAnsi="Times New Roman" w:cs="Times New Roman"/>
                <w:color w:val="auto"/>
                <w:kern w:val="2"/>
                <w:sz w:val="24"/>
                <w:szCs w:val="24"/>
                <w:highlight w:val="none"/>
                <w:lang w:val="zh-CN" w:eastAsia="zh-CN" w:bidi="ar-SA"/>
              </w:rPr>
              <w:t>闭</w:t>
            </w:r>
            <w:r>
              <w:rPr>
                <w:rFonts w:hint="eastAsia" w:cs="Times New Roman"/>
                <w:color w:val="auto"/>
                <w:kern w:val="2"/>
                <w:sz w:val="24"/>
                <w:szCs w:val="24"/>
                <w:highlight w:val="none"/>
                <w:lang w:val="zh-CN" w:eastAsia="zh-CN" w:bidi="ar-SA"/>
              </w:rPr>
              <w:t>生产车间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则该工序有组织硫酸雾的产生量为</w:t>
            </w:r>
            <w:r>
              <w:rPr>
                <w:rFonts w:hint="eastAsia" w:cs="Times New Roman"/>
                <w:color w:val="auto"/>
                <w:kern w:val="2"/>
                <w:sz w:val="24"/>
                <w:szCs w:val="24"/>
                <w:highlight w:val="none"/>
                <w:lang w:val="en-US" w:eastAsia="zh-CN" w:bidi="ar-SA"/>
              </w:rPr>
              <w:t>0.00008</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产生速率为</w:t>
            </w:r>
            <w:r>
              <w:rPr>
                <w:rFonts w:hint="eastAsia" w:cs="Times New Roman"/>
                <w:color w:val="auto"/>
                <w:kern w:val="2"/>
                <w:sz w:val="24"/>
                <w:szCs w:val="24"/>
                <w:highlight w:val="none"/>
                <w:lang w:val="en-US" w:eastAsia="zh-CN" w:bidi="ar-SA"/>
              </w:rPr>
              <w:t>0.0026</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2D9BEFC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封</w:t>
            </w:r>
            <w:r>
              <w:rPr>
                <w:rFonts w:hint="eastAsia" w:ascii="Times New Roman" w:hAnsi="Times New Roman" w:eastAsia="宋体" w:cs="Times New Roman"/>
                <w:color w:val="auto"/>
                <w:kern w:val="2"/>
                <w:sz w:val="24"/>
                <w:szCs w:val="24"/>
                <w:highlight w:val="none"/>
                <w:lang w:val="zh-CN" w:eastAsia="zh-CN" w:bidi="ar-SA"/>
              </w:rPr>
              <w:t>闭生产</w:t>
            </w:r>
            <w:r>
              <w:rPr>
                <w:rFonts w:hint="eastAsia" w:cs="Times New Roman"/>
                <w:color w:val="auto"/>
                <w:kern w:val="2"/>
                <w:sz w:val="24"/>
                <w:szCs w:val="24"/>
                <w:highlight w:val="none"/>
                <w:lang w:val="zh-CN" w:eastAsia="zh-CN" w:bidi="ar-SA"/>
              </w:rPr>
              <w:t>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eastAsia="宋体"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color w:val="auto"/>
                <w:sz w:val="24"/>
                <w:highlight w:val="none"/>
                <w:lang w:val="zh-CN"/>
              </w:rPr>
              <w:t>则剩余</w:t>
            </w:r>
            <w:r>
              <w:rPr>
                <w:rFonts w:hint="eastAsia"/>
                <w:color w:val="auto"/>
                <w:sz w:val="24"/>
                <w:highlight w:val="none"/>
              </w:rPr>
              <w:t>10</w:t>
            </w:r>
            <w:r>
              <w:rPr>
                <w:color w:val="auto"/>
                <w:sz w:val="24"/>
                <w:highlight w:val="none"/>
                <w:lang w:val="zh-CN"/>
              </w:rPr>
              <w:t>%未被</w:t>
            </w:r>
            <w:r>
              <w:rPr>
                <w:rFonts w:hint="eastAsia"/>
                <w:color w:val="auto"/>
                <w:sz w:val="24"/>
                <w:highlight w:val="none"/>
                <w:lang w:val="zh-CN"/>
              </w:rPr>
              <w:t>集气管道</w:t>
            </w:r>
            <w:r>
              <w:rPr>
                <w:color w:val="auto"/>
                <w:sz w:val="24"/>
                <w:highlight w:val="none"/>
                <w:lang w:val="zh-CN"/>
              </w:rPr>
              <w:t>收集的</w:t>
            </w:r>
            <w:r>
              <w:rPr>
                <w:rFonts w:hint="eastAsia"/>
                <w:color w:val="auto"/>
                <w:sz w:val="24"/>
                <w:highlight w:val="none"/>
                <w:lang w:val="zh-CN"/>
              </w:rPr>
              <w:t>硫酸雾</w:t>
            </w:r>
            <w:r>
              <w:rPr>
                <w:color w:val="auto"/>
                <w:sz w:val="24"/>
                <w:highlight w:val="none"/>
                <w:lang w:val="zh-CN"/>
              </w:rPr>
              <w:t>在</w:t>
            </w:r>
            <w:r>
              <w:rPr>
                <w:rFonts w:hint="eastAsia"/>
                <w:color w:val="auto"/>
                <w:sz w:val="24"/>
                <w:highlight w:val="none"/>
                <w:lang w:val="zh-CN"/>
              </w:rPr>
              <w:t>车间</w:t>
            </w:r>
            <w:r>
              <w:rPr>
                <w:color w:val="auto"/>
                <w:sz w:val="24"/>
                <w:highlight w:val="none"/>
                <w:lang w:val="zh-CN"/>
              </w:rPr>
              <w:t>内</w:t>
            </w:r>
            <w:r>
              <w:rPr>
                <w:rFonts w:hint="eastAsia"/>
                <w:color w:val="auto"/>
                <w:sz w:val="24"/>
                <w:highlight w:val="none"/>
                <w:lang w:val="zh-CN"/>
              </w:rPr>
              <w:t>呈</w:t>
            </w:r>
            <w:r>
              <w:rPr>
                <w:color w:val="auto"/>
                <w:sz w:val="24"/>
                <w:highlight w:val="none"/>
                <w:lang w:val="zh-CN"/>
              </w:rPr>
              <w:t>无组织排放</w:t>
            </w:r>
            <w:r>
              <w:rPr>
                <w:rFonts w:hint="eastAsia"/>
                <w:color w:val="auto"/>
                <w:sz w:val="24"/>
                <w:highlight w:val="none"/>
                <w:lang w:val="zh-CN"/>
              </w:rPr>
              <w:t>，故</w:t>
            </w:r>
            <w:r>
              <w:rPr>
                <w:rFonts w:hint="eastAsia"/>
                <w:color w:val="auto"/>
                <w:sz w:val="24"/>
                <w:highlight w:val="none"/>
                <w:lang w:eastAsia="zh-CN"/>
              </w:rPr>
              <w:t>本工序</w:t>
            </w:r>
            <w:r>
              <w:rPr>
                <w:rFonts w:hint="eastAsia"/>
                <w:color w:val="auto"/>
                <w:sz w:val="24"/>
                <w:highlight w:val="none"/>
              </w:rPr>
              <w:t>硫酸雾</w:t>
            </w:r>
            <w:r>
              <w:rPr>
                <w:color w:val="auto"/>
                <w:sz w:val="24"/>
                <w:highlight w:val="none"/>
                <w:lang w:val="zh-CN"/>
              </w:rPr>
              <w:t>无组织排放量为</w:t>
            </w:r>
            <w:r>
              <w:rPr>
                <w:rFonts w:hint="eastAsia"/>
                <w:color w:val="auto"/>
                <w:sz w:val="24"/>
                <w:highlight w:val="none"/>
                <w:lang w:val="en-US" w:eastAsia="zh-CN"/>
              </w:rPr>
              <w:t>0.00001</w:t>
            </w:r>
            <w:r>
              <w:rPr>
                <w:color w:val="auto"/>
                <w:sz w:val="24"/>
                <w:highlight w:val="none"/>
                <w:lang w:val="zh-CN"/>
              </w:rPr>
              <w:t>t/a</w:t>
            </w:r>
            <w:r>
              <w:rPr>
                <w:rFonts w:hint="eastAsia"/>
                <w:color w:val="auto"/>
                <w:sz w:val="24"/>
                <w:highlight w:val="none"/>
                <w:lang w:val="zh-CN"/>
              </w:rPr>
              <w:t>，</w:t>
            </w:r>
            <w:r>
              <w:rPr>
                <w:rFonts w:hint="eastAsia" w:cs="Times New Roman"/>
                <w:color w:val="auto"/>
                <w:kern w:val="2"/>
                <w:sz w:val="24"/>
                <w:szCs w:val="24"/>
                <w:highlight w:val="none"/>
                <w:lang w:val="zh-CN" w:eastAsia="zh-CN" w:bidi="ar-SA"/>
              </w:rPr>
              <w:t>排放速率为</w:t>
            </w:r>
            <w:r>
              <w:rPr>
                <w:rFonts w:hint="eastAsia" w:cs="Times New Roman"/>
                <w:color w:val="auto"/>
                <w:kern w:val="2"/>
                <w:sz w:val="24"/>
                <w:szCs w:val="24"/>
                <w:highlight w:val="none"/>
                <w:lang w:val="en-US" w:eastAsia="zh-CN" w:bidi="ar-SA"/>
              </w:rPr>
              <w:t>0.0003</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0E9D244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color w:val="auto"/>
                <w:kern w:val="2"/>
                <w:sz w:val="24"/>
                <w:szCs w:val="24"/>
                <w:highlight w:val="none"/>
                <w:lang w:val="zh-CN" w:eastAsia="zh-CN" w:bidi="ar-SA"/>
              </w:rPr>
            </w:pPr>
            <w:r>
              <w:rPr>
                <w:rFonts w:hint="eastAsia" w:cs="Times New Roman"/>
                <w:color w:val="auto"/>
                <w:kern w:val="2"/>
                <w:sz w:val="24"/>
                <w:szCs w:val="24"/>
                <w:highlight w:val="none"/>
                <w:lang w:val="en-US" w:eastAsia="zh-CN" w:bidi="ar-SA"/>
              </w:rPr>
              <w:t>③</w:t>
            </w:r>
            <w:r>
              <w:rPr>
                <w:rFonts w:hint="eastAsia" w:cs="Times New Roman"/>
                <w:color w:val="auto"/>
                <w:sz w:val="24"/>
                <w:highlight w:val="none"/>
                <w:lang w:val="zh-CN" w:eastAsia="zh-CN"/>
              </w:rPr>
              <w:t>氯化氢</w:t>
            </w:r>
          </w:p>
          <w:p w14:paraId="6704E92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蒙砂液配制工序</w:t>
            </w:r>
            <w:r>
              <w:rPr>
                <w:rFonts w:hint="eastAsia" w:cs="Times New Roman"/>
                <w:b/>
                <w:bCs/>
                <w:color w:val="auto"/>
                <w:sz w:val="24"/>
                <w:highlight w:val="none"/>
                <w:lang w:val="zh-CN" w:eastAsia="zh-CN"/>
              </w:rPr>
              <w:t>氯化氢</w:t>
            </w:r>
            <w:r>
              <w:rPr>
                <w:rFonts w:hint="default" w:ascii="Times New Roman" w:hAnsi="Times New Roman" w:eastAsia="宋体" w:cs="Times New Roman"/>
                <w:b/>
                <w:bCs/>
                <w:color w:val="auto"/>
                <w:kern w:val="2"/>
                <w:sz w:val="24"/>
                <w:szCs w:val="24"/>
                <w:highlight w:val="none"/>
                <w:lang w:val="zh-CN" w:eastAsia="zh-CN" w:bidi="ar-SA"/>
              </w:rPr>
              <w:t>的产生速率</w:t>
            </w:r>
            <w:r>
              <w:rPr>
                <w:rFonts w:hint="eastAsia" w:cs="Times New Roman"/>
                <w:b/>
                <w:bCs/>
                <w:color w:val="auto"/>
                <w:kern w:val="2"/>
                <w:sz w:val="24"/>
                <w:szCs w:val="24"/>
                <w:highlight w:val="none"/>
                <w:lang w:val="zh-CN" w:eastAsia="zh-CN" w:bidi="ar-SA"/>
              </w:rPr>
              <w:t>用公式（</w:t>
            </w:r>
            <w:r>
              <w:rPr>
                <w:rFonts w:hint="eastAsia"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进行计算。</w:t>
            </w:r>
            <w:r>
              <w:rPr>
                <w:rFonts w:hint="default" w:ascii="Times New Roman" w:hAnsi="Times New Roman" w:eastAsia="宋体" w:cs="Times New Roman"/>
                <w:color w:val="auto"/>
                <w:kern w:val="2"/>
                <w:sz w:val="24"/>
                <w:szCs w:val="24"/>
                <w:highlight w:val="none"/>
                <w:lang w:val="zh-CN" w:eastAsia="zh-CN" w:bidi="ar-SA"/>
              </w:rPr>
              <w:t>本</w:t>
            </w:r>
            <w:r>
              <w:rPr>
                <w:rFonts w:hint="eastAsia" w:cs="Times New Roman"/>
                <w:color w:val="auto"/>
                <w:kern w:val="2"/>
                <w:sz w:val="24"/>
                <w:szCs w:val="24"/>
                <w:highlight w:val="none"/>
                <w:lang w:val="zh-CN" w:eastAsia="zh-CN" w:bidi="ar-SA"/>
              </w:rPr>
              <w:t>工序</w:t>
            </w:r>
            <w:r>
              <w:rPr>
                <w:rFonts w:hint="eastAsia" w:ascii="Times New Roman" w:hAnsi="Times New Roman" w:eastAsia="宋体" w:cs="Times New Roman"/>
                <w:color w:val="auto"/>
                <w:kern w:val="2"/>
                <w:sz w:val="24"/>
                <w:szCs w:val="24"/>
                <w:highlight w:val="none"/>
                <w:lang w:val="zh-CN" w:eastAsia="zh-CN" w:bidi="ar-SA"/>
              </w:rPr>
              <w:t>蒙砂</w:t>
            </w:r>
            <w:r>
              <w:rPr>
                <w:rFonts w:hint="default" w:ascii="Times New Roman" w:hAnsi="Times New Roman" w:eastAsia="宋体" w:cs="Times New Roman"/>
                <w:color w:val="auto"/>
                <w:kern w:val="2"/>
                <w:sz w:val="24"/>
                <w:szCs w:val="24"/>
                <w:highlight w:val="none"/>
                <w:lang w:val="zh-CN" w:eastAsia="zh-CN" w:bidi="ar-SA"/>
              </w:rPr>
              <w:t>液</w:t>
            </w:r>
            <w:r>
              <w:rPr>
                <w:rFonts w:hint="eastAsia" w:cs="Times New Roman"/>
                <w:color w:val="auto"/>
                <w:kern w:val="2"/>
                <w:sz w:val="24"/>
                <w:szCs w:val="24"/>
                <w:highlight w:val="none"/>
                <w:lang w:val="zh-CN" w:eastAsia="zh-CN" w:bidi="ar-SA"/>
              </w:rPr>
              <w:t>配制时使用的盐酸</w:t>
            </w:r>
            <w:r>
              <w:rPr>
                <w:rFonts w:hint="default" w:ascii="Times New Roman" w:hAnsi="Times New Roman" w:eastAsia="宋体" w:cs="Times New Roman"/>
                <w:color w:val="auto"/>
                <w:kern w:val="2"/>
                <w:sz w:val="24"/>
                <w:szCs w:val="24"/>
                <w:highlight w:val="none"/>
                <w:lang w:val="zh-CN" w:eastAsia="zh-CN" w:bidi="ar-SA"/>
              </w:rPr>
              <w:t>为</w:t>
            </w:r>
            <w:r>
              <w:rPr>
                <w:rFonts w:hint="eastAsia" w:cs="Times New Roman"/>
                <w:color w:val="auto"/>
                <w:kern w:val="2"/>
                <w:sz w:val="24"/>
                <w:szCs w:val="24"/>
                <w:highlight w:val="none"/>
                <w:lang w:val="en-US" w:eastAsia="zh-CN" w:bidi="ar-SA"/>
              </w:rPr>
              <w:t>37</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zh-CN" w:eastAsia="zh-CN" w:bidi="ar-SA"/>
              </w:rPr>
              <w:t>盐酸</w:t>
            </w:r>
            <w:r>
              <w:rPr>
                <w:rFonts w:hint="default" w:ascii="Times New Roman" w:hAnsi="Times New Roman" w:eastAsia="宋体" w:cs="Times New Roman"/>
                <w:color w:val="auto"/>
                <w:kern w:val="2"/>
                <w:sz w:val="24"/>
                <w:szCs w:val="24"/>
                <w:highlight w:val="none"/>
                <w:lang w:val="zh-CN" w:eastAsia="zh-CN" w:bidi="ar-SA"/>
              </w:rPr>
              <w:t>，查《环境统计手册》表4-13中室温（20℃）</w:t>
            </w:r>
            <w:r>
              <w:rPr>
                <w:rFonts w:hint="eastAsia" w:cs="Times New Roman"/>
                <w:color w:val="auto"/>
                <w:kern w:val="2"/>
                <w:sz w:val="24"/>
                <w:szCs w:val="24"/>
                <w:highlight w:val="none"/>
                <w:lang w:val="en-US" w:eastAsia="zh-CN" w:bidi="ar-SA"/>
              </w:rPr>
              <w:t>37</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盐酸</w:t>
            </w:r>
            <w:r>
              <w:rPr>
                <w:rFonts w:hint="default" w:ascii="Times New Roman" w:hAnsi="Times New Roman" w:eastAsia="宋体" w:cs="Times New Roman"/>
                <w:color w:val="auto"/>
                <w:kern w:val="2"/>
                <w:sz w:val="24"/>
                <w:szCs w:val="24"/>
                <w:highlight w:val="none"/>
                <w:lang w:val="zh-CN" w:eastAsia="zh-CN" w:bidi="ar-SA"/>
              </w:rPr>
              <w:t>溶液的</w:t>
            </w:r>
            <w:r>
              <w:rPr>
                <w:rFonts w:hint="eastAsia" w:cs="Times New Roman"/>
                <w:color w:val="auto"/>
                <w:kern w:val="2"/>
                <w:sz w:val="24"/>
                <w:szCs w:val="24"/>
                <w:highlight w:val="none"/>
                <w:lang w:val="zh-CN" w:eastAsia="zh-CN" w:bidi="ar-SA"/>
              </w:rPr>
              <w:t>盐酸</w:t>
            </w:r>
            <w:r>
              <w:rPr>
                <w:rFonts w:hint="default" w:ascii="Times New Roman" w:hAnsi="Times New Roman" w:eastAsia="宋体" w:cs="Times New Roman"/>
                <w:color w:val="auto"/>
                <w:kern w:val="2"/>
                <w:sz w:val="24"/>
                <w:szCs w:val="24"/>
                <w:highlight w:val="none"/>
                <w:lang w:val="zh-CN" w:eastAsia="zh-CN" w:bidi="ar-SA"/>
              </w:rPr>
              <w:t>分压得P</w:t>
            </w:r>
            <w:r>
              <w:rPr>
                <w:rFonts w:hint="eastAsia" w:cs="Times New Roman"/>
                <w:color w:val="auto"/>
                <w:kern w:val="2"/>
                <w:sz w:val="24"/>
                <w:szCs w:val="24"/>
                <w:highlight w:val="none"/>
                <w:lang w:val="en-US" w:eastAsia="zh-CN" w:bidi="ar-SA"/>
              </w:rPr>
              <w:t>37</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HCl</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157.5</w:t>
            </w:r>
            <w:r>
              <w:rPr>
                <w:rFonts w:hint="default" w:ascii="Times New Roman" w:hAnsi="Times New Roman" w:eastAsia="宋体" w:cs="Times New Roman"/>
                <w:color w:val="auto"/>
                <w:kern w:val="2"/>
                <w:sz w:val="24"/>
                <w:szCs w:val="24"/>
                <w:highlight w:val="none"/>
                <w:lang w:val="zh-CN" w:eastAsia="zh-CN" w:bidi="ar-SA"/>
              </w:rPr>
              <w:t>mmHg</w:t>
            </w:r>
            <w:r>
              <w:rPr>
                <w:rFonts w:hint="eastAsia"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10只</w:t>
            </w:r>
            <w:r>
              <w:rPr>
                <w:rFonts w:hint="eastAsia" w:cs="Times New Roman"/>
                <w:color w:val="auto"/>
                <w:kern w:val="2"/>
                <w:sz w:val="24"/>
                <w:szCs w:val="24"/>
                <w:highlight w:val="none"/>
                <w:lang w:val="zh-CN" w:eastAsia="zh-CN" w:bidi="ar-SA"/>
              </w:rPr>
              <w:t>蒙砂液配制桶的蒸发</w:t>
            </w:r>
            <w:r>
              <w:rPr>
                <w:rFonts w:hint="default" w:ascii="Times New Roman" w:hAnsi="Times New Roman" w:eastAsia="宋体" w:cs="Times New Roman"/>
                <w:color w:val="auto"/>
                <w:kern w:val="2"/>
                <w:sz w:val="24"/>
                <w:szCs w:val="24"/>
                <w:highlight w:val="none"/>
                <w:lang w:val="zh-CN" w:eastAsia="zh-CN" w:bidi="ar-SA"/>
              </w:rPr>
              <w:t>表面积为</w:t>
            </w:r>
            <w:r>
              <w:rPr>
                <w:rFonts w:hint="eastAsia" w:cs="Times New Roman"/>
                <w:color w:val="auto"/>
                <w:kern w:val="2"/>
                <w:sz w:val="24"/>
                <w:szCs w:val="24"/>
                <w:highlight w:val="none"/>
                <w:lang w:val="en-US" w:eastAsia="zh-CN" w:bidi="ar-SA"/>
              </w:rPr>
              <w:t>0.6</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w:t>
            </w:r>
          </w:p>
          <w:p w14:paraId="07A05BD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firstLine="480" w:firstLineChars="200"/>
              <w:jc w:val="both"/>
              <w:textAlignment w:val="baseline"/>
              <w:rPr>
                <w:rFonts w:hint="eastAsia"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经计算</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本项目</w:t>
            </w:r>
            <w:r>
              <w:rPr>
                <w:rFonts w:hint="eastAsia" w:cs="Times New Roman"/>
                <w:color w:val="auto"/>
                <w:kern w:val="2"/>
                <w:sz w:val="24"/>
                <w:szCs w:val="24"/>
                <w:highlight w:val="none"/>
                <w:lang w:val="zh-CN" w:eastAsia="zh-CN" w:bidi="ar-SA"/>
              </w:rPr>
              <w:t>蒙砂液配制</w:t>
            </w:r>
            <w:r>
              <w:rPr>
                <w:rFonts w:hint="default" w:ascii="Times New Roman" w:hAnsi="Times New Roman" w:eastAsia="宋体" w:cs="Times New Roman"/>
                <w:color w:val="auto"/>
                <w:kern w:val="2"/>
                <w:sz w:val="24"/>
                <w:szCs w:val="24"/>
                <w:highlight w:val="none"/>
                <w:lang w:val="zh-CN" w:eastAsia="zh-CN" w:bidi="ar-SA"/>
              </w:rPr>
              <w:t>过程中</w:t>
            </w:r>
            <w:r>
              <w:rPr>
                <w:rFonts w:hint="eastAsia" w:cs="Times New Roman"/>
                <w:color w:val="auto"/>
                <w:sz w:val="24"/>
                <w:highlight w:val="none"/>
                <w:lang w:val="zh-CN" w:eastAsia="zh-CN"/>
              </w:rPr>
              <w:t>氯化氢</w:t>
            </w:r>
            <w:r>
              <w:rPr>
                <w:rFonts w:hint="eastAsia" w:ascii="Times New Roman" w:hAnsi="Times New Roman" w:eastAsia="宋体" w:cs="Times New Roman"/>
                <w:color w:val="auto"/>
                <w:kern w:val="2"/>
                <w:sz w:val="24"/>
                <w:szCs w:val="24"/>
                <w:highlight w:val="none"/>
                <w:lang w:val="zh-CN" w:eastAsia="zh-CN" w:bidi="ar-SA"/>
              </w:rPr>
              <w:t>的产生速率</w:t>
            </w:r>
            <w:r>
              <w:rPr>
                <w:rFonts w:hint="default" w:ascii="Times New Roman" w:hAnsi="Times New Roman" w:eastAsia="宋体" w:cs="Times New Roman"/>
                <w:color w:val="auto"/>
                <w:kern w:val="2"/>
                <w:sz w:val="24"/>
                <w:szCs w:val="24"/>
                <w:highlight w:val="none"/>
                <w:lang w:val="zh-CN" w:eastAsia="zh-CN" w:bidi="ar-SA"/>
              </w:rPr>
              <w:t>为</w:t>
            </w:r>
            <w:r>
              <w:rPr>
                <w:rFonts w:hint="eastAsia" w:cs="Times New Roman"/>
                <w:color w:val="auto"/>
                <w:kern w:val="2"/>
                <w:sz w:val="24"/>
                <w:szCs w:val="24"/>
                <w:highlight w:val="none"/>
                <w:lang w:val="en-US" w:eastAsia="zh-CN" w:bidi="ar-SA"/>
              </w:rPr>
              <w:t>2.163</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。本项目</w:t>
            </w:r>
            <w:r>
              <w:rPr>
                <w:rFonts w:hint="default" w:ascii="Times New Roman" w:hAnsi="Times New Roman" w:eastAsia="宋体" w:cs="Times New Roman"/>
                <w:color w:val="auto"/>
                <w:kern w:val="2"/>
                <w:sz w:val="24"/>
                <w:szCs w:val="24"/>
                <w:highlight w:val="none"/>
                <w:lang w:val="zh-CN" w:eastAsia="zh-CN" w:bidi="ar-SA"/>
              </w:rPr>
              <w:t>年运行300天</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每天</w:t>
            </w:r>
            <w:r>
              <w:rPr>
                <w:rFonts w:hint="eastAsia" w:cs="Times New Roman"/>
                <w:color w:val="auto"/>
                <w:kern w:val="2"/>
                <w:sz w:val="24"/>
                <w:szCs w:val="24"/>
                <w:highlight w:val="none"/>
                <w:lang w:val="zh-CN" w:eastAsia="zh-CN" w:bidi="ar-SA"/>
              </w:rPr>
              <w:t>配制蒙砂液</w:t>
            </w:r>
            <w:r>
              <w:rPr>
                <w:rFonts w:hint="eastAsia" w:cs="Times New Roman"/>
                <w:color w:val="auto"/>
                <w:kern w:val="2"/>
                <w:sz w:val="24"/>
                <w:szCs w:val="24"/>
                <w:highlight w:val="none"/>
                <w:lang w:val="en-US" w:eastAsia="zh-CN" w:bidi="ar-SA"/>
              </w:rPr>
              <w:t>2</w:t>
            </w:r>
            <w:r>
              <w:rPr>
                <w:rFonts w:hint="default" w:cs="Times New Roman"/>
                <w:color w:val="auto"/>
                <w:kern w:val="2"/>
                <w:sz w:val="24"/>
                <w:szCs w:val="24"/>
                <w:highlight w:val="none"/>
                <w:lang w:val="zh-CN" w:eastAsia="zh-CN" w:bidi="ar-SA"/>
              </w:rPr>
              <w:t>次</w:t>
            </w:r>
            <w:r>
              <w:rPr>
                <w:rFonts w:hint="eastAsia" w:cs="Times New Roman"/>
                <w:color w:val="auto"/>
                <w:kern w:val="2"/>
                <w:sz w:val="24"/>
                <w:szCs w:val="24"/>
                <w:highlight w:val="none"/>
                <w:lang w:val="zh-CN" w:eastAsia="zh-CN" w:bidi="ar-SA"/>
              </w:rPr>
              <w:t>（每班配制</w:t>
            </w:r>
            <w:r>
              <w:rPr>
                <w:rFonts w:hint="eastAsia" w:cs="Times New Roman"/>
                <w:color w:val="auto"/>
                <w:kern w:val="2"/>
                <w:sz w:val="24"/>
                <w:szCs w:val="24"/>
                <w:highlight w:val="none"/>
                <w:lang w:val="en-US" w:eastAsia="zh-CN" w:bidi="ar-SA"/>
              </w:rPr>
              <w:t>1次</w:t>
            </w:r>
            <w:r>
              <w:rPr>
                <w:rFonts w:hint="eastAsia"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，每次</w:t>
            </w:r>
            <w:r>
              <w:rPr>
                <w:rFonts w:hint="eastAsia" w:cs="Times New Roman"/>
                <w:color w:val="auto"/>
                <w:kern w:val="2"/>
                <w:sz w:val="24"/>
                <w:szCs w:val="24"/>
                <w:highlight w:val="none"/>
                <w:lang w:val="zh-CN" w:eastAsia="zh-CN" w:bidi="ar-SA"/>
              </w:rPr>
              <w:t>配制</w:t>
            </w:r>
            <w:r>
              <w:rPr>
                <w:rFonts w:hint="default" w:ascii="Times New Roman" w:hAnsi="Times New Roman" w:eastAsia="宋体" w:cs="Times New Roman"/>
                <w:color w:val="auto"/>
                <w:kern w:val="2"/>
                <w:sz w:val="24"/>
                <w:szCs w:val="24"/>
                <w:highlight w:val="none"/>
                <w:lang w:val="zh-CN" w:eastAsia="zh-CN" w:bidi="ar-SA"/>
              </w:rPr>
              <w:t>时间为0.2h</w:t>
            </w:r>
            <w:r>
              <w:rPr>
                <w:rFonts w:hint="eastAsia" w:ascii="Times New Roman" w:hAnsi="Times New Roman" w:eastAsia="宋体" w:cs="Times New Roman"/>
                <w:color w:val="auto"/>
                <w:kern w:val="2"/>
                <w:sz w:val="24"/>
                <w:szCs w:val="24"/>
                <w:highlight w:val="none"/>
                <w:lang w:val="zh-CN" w:eastAsia="zh-CN" w:bidi="ar-SA"/>
              </w:rPr>
              <w:t>，则每年</w:t>
            </w:r>
            <w:r>
              <w:rPr>
                <w:rFonts w:hint="eastAsia" w:cs="Times New Roman"/>
                <w:color w:val="auto"/>
                <w:kern w:val="2"/>
                <w:sz w:val="24"/>
                <w:szCs w:val="24"/>
                <w:highlight w:val="none"/>
                <w:lang w:val="zh-CN" w:eastAsia="zh-CN" w:bidi="ar-SA"/>
              </w:rPr>
              <w:t>使</w:t>
            </w:r>
            <w:r>
              <w:rPr>
                <w:rFonts w:hint="eastAsia" w:ascii="Times New Roman" w:hAnsi="Times New Roman" w:eastAsia="宋体" w:cs="Times New Roman"/>
                <w:color w:val="auto"/>
                <w:kern w:val="2"/>
                <w:sz w:val="24"/>
                <w:szCs w:val="24"/>
                <w:highlight w:val="none"/>
                <w:lang w:val="zh-CN" w:eastAsia="zh-CN" w:bidi="ar-SA"/>
              </w:rPr>
              <w:t>用</w:t>
            </w:r>
            <w:r>
              <w:rPr>
                <w:rFonts w:hint="eastAsia" w:ascii="Times New Roman" w:hAnsi="Times New Roman" w:eastAsia="宋体" w:cs="Times New Roman"/>
                <w:color w:val="auto"/>
                <w:kern w:val="2"/>
                <w:sz w:val="24"/>
                <w:szCs w:val="24"/>
                <w:highlight w:val="none"/>
                <w:lang w:val="en-US" w:eastAsia="zh-CN" w:bidi="ar-SA"/>
              </w:rPr>
              <w:t>37%盐酸配制蒙砂液的时间为60h。</w:t>
            </w:r>
            <w:r>
              <w:rPr>
                <w:rFonts w:hint="eastAsia" w:cs="Times New Roman"/>
                <w:color w:val="auto"/>
                <w:kern w:val="2"/>
                <w:sz w:val="24"/>
                <w:szCs w:val="24"/>
                <w:highlight w:val="none"/>
                <w:lang w:val="en-US" w:eastAsia="zh-CN" w:bidi="ar-SA"/>
              </w:rPr>
              <w:t>蒙砂液配制过程中因盐酸倒入时刻会挥发出</w:t>
            </w:r>
            <w:r>
              <w:rPr>
                <w:rFonts w:hint="eastAsia" w:cs="Times New Roman"/>
                <w:color w:val="auto"/>
                <w:sz w:val="24"/>
                <w:highlight w:val="none"/>
                <w:lang w:val="zh-CN" w:eastAsia="zh-CN"/>
              </w:rPr>
              <w:t>氯化氢</w:t>
            </w:r>
            <w:r>
              <w:rPr>
                <w:rFonts w:hint="eastAsia" w:cs="Times New Roman"/>
                <w:color w:val="auto"/>
                <w:kern w:val="2"/>
                <w:sz w:val="24"/>
                <w:szCs w:val="24"/>
                <w:highlight w:val="none"/>
                <w:lang w:val="en-US" w:eastAsia="zh-CN" w:bidi="ar-SA"/>
              </w:rPr>
              <w:t>，因此</w:t>
            </w:r>
            <w:r>
              <w:rPr>
                <w:rFonts w:hint="eastAsia" w:cs="Times New Roman"/>
                <w:color w:val="auto"/>
                <w:sz w:val="24"/>
                <w:highlight w:val="none"/>
                <w:lang w:val="zh-CN" w:eastAsia="zh-CN"/>
              </w:rPr>
              <w:t>氯化氢</w:t>
            </w:r>
            <w:r>
              <w:rPr>
                <w:rFonts w:hint="eastAsia" w:cs="Times New Roman"/>
                <w:color w:val="auto"/>
                <w:kern w:val="2"/>
                <w:sz w:val="24"/>
                <w:szCs w:val="24"/>
                <w:highlight w:val="none"/>
                <w:lang w:val="en-US" w:eastAsia="zh-CN" w:bidi="ar-SA"/>
              </w:rPr>
              <w:t>的产生时间按瞬时配制时间计。本工序瞬时配制时间按蒙砂液配制时间的一半时间考虑，即：每次的瞬时配制时间为0.1h，每年的瞬时配制时间为30h。</w:t>
            </w:r>
            <w:r>
              <w:rPr>
                <w:rFonts w:hint="default" w:ascii="Times New Roman" w:hAnsi="Times New Roman" w:eastAsia="宋体" w:cs="Times New Roman"/>
                <w:color w:val="auto"/>
                <w:kern w:val="2"/>
                <w:sz w:val="24"/>
                <w:szCs w:val="24"/>
                <w:highlight w:val="none"/>
                <w:lang w:val="zh-CN" w:eastAsia="zh-CN" w:bidi="ar-SA"/>
              </w:rPr>
              <w:t>则</w:t>
            </w:r>
            <w:r>
              <w:rPr>
                <w:rFonts w:hint="eastAsia" w:cs="Times New Roman"/>
                <w:color w:val="auto"/>
                <w:sz w:val="24"/>
                <w:highlight w:val="none"/>
                <w:lang w:val="zh-CN" w:eastAsia="zh-CN"/>
              </w:rPr>
              <w:t>氯化氢</w:t>
            </w:r>
            <w:r>
              <w:rPr>
                <w:rFonts w:hint="default" w:ascii="Times New Roman" w:hAnsi="Times New Roman" w:eastAsia="宋体" w:cs="Times New Roman"/>
                <w:color w:val="auto"/>
                <w:kern w:val="2"/>
                <w:sz w:val="24"/>
                <w:szCs w:val="24"/>
                <w:highlight w:val="none"/>
                <w:lang w:val="zh-CN" w:eastAsia="zh-CN" w:bidi="ar-SA"/>
              </w:rPr>
              <w:t>的产生量为</w:t>
            </w:r>
            <w:r>
              <w:rPr>
                <w:rFonts w:hint="eastAsia" w:ascii="Times New Roman" w:hAnsi="Times New Roman" w:eastAsia="宋体" w:cs="Times New Roman"/>
                <w:color w:val="auto"/>
                <w:kern w:val="2"/>
                <w:sz w:val="24"/>
                <w:szCs w:val="24"/>
                <w:highlight w:val="none"/>
                <w:lang w:val="en-US" w:eastAsia="zh-CN" w:bidi="ar-SA"/>
              </w:rPr>
              <w:t>0.064</w:t>
            </w:r>
            <w:r>
              <w:rPr>
                <w:rFonts w:hint="eastAsia"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。封</w:t>
            </w:r>
            <w:r>
              <w:rPr>
                <w:rFonts w:hint="eastAsia" w:ascii="Times New Roman" w:hAnsi="Times New Roman" w:cs="Times New Roman"/>
                <w:color w:val="auto"/>
                <w:kern w:val="2"/>
                <w:sz w:val="24"/>
                <w:szCs w:val="24"/>
                <w:highlight w:val="none"/>
                <w:lang w:val="zh-CN" w:eastAsia="zh-CN" w:bidi="ar-SA"/>
              </w:rPr>
              <w:t>闭</w:t>
            </w:r>
            <w:r>
              <w:rPr>
                <w:rFonts w:hint="eastAsia" w:cs="Times New Roman"/>
                <w:color w:val="auto"/>
                <w:kern w:val="2"/>
                <w:sz w:val="24"/>
                <w:szCs w:val="24"/>
                <w:highlight w:val="none"/>
                <w:lang w:val="zh-CN" w:eastAsia="zh-CN" w:bidi="ar-SA"/>
              </w:rPr>
              <w:t>生产车间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则该工序有组织硫酸雾的产生量为</w:t>
            </w:r>
            <w:r>
              <w:rPr>
                <w:rFonts w:hint="eastAsia" w:cs="Times New Roman"/>
                <w:color w:val="auto"/>
                <w:kern w:val="2"/>
                <w:sz w:val="24"/>
                <w:szCs w:val="24"/>
                <w:highlight w:val="none"/>
                <w:lang w:val="en-US" w:eastAsia="zh-CN" w:bidi="ar-SA"/>
              </w:rPr>
              <w:t>0.0584</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产生速率为</w:t>
            </w:r>
            <w:r>
              <w:rPr>
                <w:rFonts w:hint="eastAsia" w:cs="Times New Roman"/>
                <w:color w:val="auto"/>
                <w:kern w:val="2"/>
                <w:sz w:val="24"/>
                <w:szCs w:val="24"/>
                <w:highlight w:val="none"/>
                <w:lang w:val="en-US" w:eastAsia="zh-CN" w:bidi="ar-SA"/>
              </w:rPr>
              <w:t>1.9467</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7FAADEE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封</w:t>
            </w:r>
            <w:r>
              <w:rPr>
                <w:rFonts w:hint="eastAsia" w:ascii="Times New Roman" w:hAnsi="Times New Roman" w:eastAsia="宋体" w:cs="Times New Roman"/>
                <w:color w:val="auto"/>
                <w:kern w:val="2"/>
                <w:sz w:val="24"/>
                <w:szCs w:val="24"/>
                <w:highlight w:val="none"/>
                <w:lang w:val="zh-CN" w:eastAsia="zh-CN" w:bidi="ar-SA"/>
              </w:rPr>
              <w:t>闭生产</w:t>
            </w:r>
            <w:r>
              <w:rPr>
                <w:rFonts w:hint="eastAsia" w:cs="Times New Roman"/>
                <w:color w:val="auto"/>
                <w:kern w:val="2"/>
                <w:sz w:val="24"/>
                <w:szCs w:val="24"/>
                <w:highlight w:val="none"/>
                <w:lang w:val="zh-CN" w:eastAsia="zh-CN" w:bidi="ar-SA"/>
              </w:rPr>
              <w:t>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eastAsia="宋体"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color w:val="auto"/>
                <w:sz w:val="24"/>
                <w:highlight w:val="none"/>
                <w:lang w:val="zh-CN"/>
              </w:rPr>
              <w:t>则剩余</w:t>
            </w:r>
            <w:r>
              <w:rPr>
                <w:rFonts w:hint="eastAsia"/>
                <w:color w:val="auto"/>
                <w:sz w:val="24"/>
                <w:highlight w:val="none"/>
              </w:rPr>
              <w:t>10</w:t>
            </w:r>
            <w:r>
              <w:rPr>
                <w:color w:val="auto"/>
                <w:sz w:val="24"/>
                <w:highlight w:val="none"/>
                <w:lang w:val="zh-CN"/>
              </w:rPr>
              <w:t>%未被</w:t>
            </w:r>
            <w:r>
              <w:rPr>
                <w:rFonts w:hint="eastAsia"/>
                <w:color w:val="auto"/>
                <w:sz w:val="24"/>
                <w:highlight w:val="none"/>
                <w:lang w:val="zh-CN"/>
              </w:rPr>
              <w:t>集气管道</w:t>
            </w:r>
            <w:r>
              <w:rPr>
                <w:color w:val="auto"/>
                <w:sz w:val="24"/>
                <w:highlight w:val="none"/>
                <w:lang w:val="zh-CN"/>
              </w:rPr>
              <w:t>收集的</w:t>
            </w:r>
            <w:r>
              <w:rPr>
                <w:rFonts w:hint="eastAsia" w:cs="Times New Roman"/>
                <w:color w:val="auto"/>
                <w:sz w:val="24"/>
                <w:highlight w:val="none"/>
                <w:lang w:val="zh-CN" w:eastAsia="zh-CN"/>
              </w:rPr>
              <w:t>氯化氢</w:t>
            </w:r>
            <w:r>
              <w:rPr>
                <w:color w:val="auto"/>
                <w:sz w:val="24"/>
                <w:highlight w:val="none"/>
                <w:lang w:val="zh-CN"/>
              </w:rPr>
              <w:t>在</w:t>
            </w:r>
            <w:r>
              <w:rPr>
                <w:rFonts w:hint="eastAsia"/>
                <w:color w:val="auto"/>
                <w:sz w:val="24"/>
                <w:highlight w:val="none"/>
                <w:lang w:val="zh-CN"/>
              </w:rPr>
              <w:t>车间</w:t>
            </w:r>
            <w:r>
              <w:rPr>
                <w:color w:val="auto"/>
                <w:sz w:val="24"/>
                <w:highlight w:val="none"/>
                <w:lang w:val="zh-CN"/>
              </w:rPr>
              <w:t>内</w:t>
            </w:r>
            <w:r>
              <w:rPr>
                <w:rFonts w:hint="eastAsia"/>
                <w:color w:val="auto"/>
                <w:sz w:val="24"/>
                <w:highlight w:val="none"/>
                <w:lang w:val="zh-CN"/>
              </w:rPr>
              <w:t>呈</w:t>
            </w:r>
            <w:r>
              <w:rPr>
                <w:color w:val="auto"/>
                <w:sz w:val="24"/>
                <w:highlight w:val="none"/>
                <w:lang w:val="zh-CN"/>
              </w:rPr>
              <w:t>无组织排放</w:t>
            </w:r>
            <w:r>
              <w:rPr>
                <w:rFonts w:hint="eastAsia"/>
                <w:color w:val="auto"/>
                <w:sz w:val="24"/>
                <w:highlight w:val="none"/>
                <w:lang w:val="zh-CN"/>
              </w:rPr>
              <w:t>，故</w:t>
            </w:r>
            <w:r>
              <w:rPr>
                <w:rFonts w:hint="eastAsia"/>
                <w:color w:val="auto"/>
                <w:sz w:val="24"/>
                <w:highlight w:val="none"/>
                <w:lang w:eastAsia="zh-CN"/>
              </w:rPr>
              <w:t>本工序</w:t>
            </w:r>
            <w:r>
              <w:rPr>
                <w:rFonts w:hint="eastAsia" w:cs="Times New Roman"/>
                <w:color w:val="auto"/>
                <w:sz w:val="24"/>
                <w:highlight w:val="none"/>
                <w:lang w:val="zh-CN" w:eastAsia="zh-CN"/>
              </w:rPr>
              <w:t>氯化氢</w:t>
            </w:r>
            <w:r>
              <w:rPr>
                <w:color w:val="auto"/>
                <w:sz w:val="24"/>
                <w:highlight w:val="none"/>
                <w:lang w:val="zh-CN"/>
              </w:rPr>
              <w:t>无组织排放量为</w:t>
            </w:r>
            <w:r>
              <w:rPr>
                <w:rFonts w:hint="eastAsia"/>
                <w:color w:val="auto"/>
                <w:sz w:val="24"/>
                <w:highlight w:val="none"/>
                <w:lang w:val="en-US" w:eastAsia="zh-CN"/>
              </w:rPr>
              <w:t>0.0065</w:t>
            </w:r>
            <w:r>
              <w:rPr>
                <w:color w:val="auto"/>
                <w:sz w:val="24"/>
                <w:highlight w:val="none"/>
                <w:lang w:val="zh-CN"/>
              </w:rPr>
              <w:t>t/a</w:t>
            </w:r>
            <w:r>
              <w:rPr>
                <w:rFonts w:hint="eastAsia"/>
                <w:color w:val="auto"/>
                <w:sz w:val="24"/>
                <w:highlight w:val="none"/>
                <w:lang w:val="zh-CN"/>
              </w:rPr>
              <w:t>，</w:t>
            </w:r>
            <w:r>
              <w:rPr>
                <w:rFonts w:hint="eastAsia" w:cs="Times New Roman"/>
                <w:color w:val="auto"/>
                <w:kern w:val="2"/>
                <w:sz w:val="24"/>
                <w:szCs w:val="24"/>
                <w:highlight w:val="none"/>
                <w:lang w:val="zh-CN" w:eastAsia="zh-CN" w:bidi="ar-SA"/>
              </w:rPr>
              <w:t>排放速率为</w:t>
            </w:r>
            <w:r>
              <w:rPr>
                <w:rFonts w:hint="eastAsia" w:cs="Times New Roman"/>
                <w:color w:val="auto"/>
                <w:kern w:val="2"/>
                <w:sz w:val="24"/>
                <w:szCs w:val="24"/>
                <w:highlight w:val="none"/>
                <w:lang w:val="en-US" w:eastAsia="zh-CN" w:bidi="ar-SA"/>
              </w:rPr>
              <w:t>0.2163</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0488CB1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color w:val="auto"/>
                <w:kern w:val="2"/>
                <w:sz w:val="24"/>
                <w:szCs w:val="24"/>
                <w:highlight w:val="none"/>
                <w:lang w:val="zh-CN" w:eastAsia="zh-CN" w:bidi="ar-SA"/>
              </w:rPr>
            </w:pPr>
            <w:r>
              <w:rPr>
                <w:rFonts w:hint="eastAsia" w:cs="Times New Roman"/>
                <w:color w:val="auto"/>
                <w:kern w:val="2"/>
                <w:sz w:val="24"/>
                <w:szCs w:val="24"/>
                <w:highlight w:val="none"/>
                <w:lang w:val="en-US" w:eastAsia="zh-CN" w:bidi="ar-SA"/>
              </w:rPr>
              <w:t>④</w:t>
            </w:r>
            <w:r>
              <w:rPr>
                <w:rFonts w:hint="eastAsia" w:cs="Times New Roman"/>
                <w:color w:val="auto"/>
                <w:kern w:val="2"/>
                <w:sz w:val="24"/>
                <w:szCs w:val="24"/>
                <w:highlight w:val="none"/>
                <w:lang w:val="zh-CN" w:eastAsia="zh-CN" w:bidi="ar-SA"/>
              </w:rPr>
              <w:t>氟化氢</w:t>
            </w:r>
          </w:p>
          <w:p w14:paraId="5B3EFD7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cs="Times New Roman"/>
                <w:b w:val="0"/>
                <w:bCs w:val="0"/>
                <w:color w:val="auto"/>
                <w:kern w:val="2"/>
                <w:sz w:val="24"/>
                <w:szCs w:val="24"/>
                <w:highlight w:val="none"/>
                <w:lang w:val="zh-CN" w:eastAsia="zh-CN" w:bidi="ar-SA"/>
              </w:rPr>
              <w:t>蒙砂液配制工序</w:t>
            </w:r>
            <w:r>
              <w:rPr>
                <w:rFonts w:hint="eastAsia" w:cs="Times New Roman"/>
                <w:b/>
                <w:bCs/>
                <w:color w:val="auto"/>
                <w:kern w:val="2"/>
                <w:sz w:val="24"/>
                <w:szCs w:val="24"/>
                <w:highlight w:val="none"/>
                <w:lang w:val="zh-CN" w:eastAsia="zh-CN" w:bidi="ar-SA"/>
              </w:rPr>
              <w:t>氟化氢</w:t>
            </w:r>
            <w:r>
              <w:rPr>
                <w:rFonts w:hint="default" w:ascii="Times New Roman" w:hAnsi="Times New Roman" w:eastAsia="宋体" w:cs="Times New Roman"/>
                <w:b/>
                <w:bCs/>
                <w:color w:val="auto"/>
                <w:kern w:val="2"/>
                <w:sz w:val="24"/>
                <w:szCs w:val="24"/>
                <w:highlight w:val="none"/>
                <w:lang w:val="zh-CN" w:eastAsia="zh-CN" w:bidi="ar-SA"/>
              </w:rPr>
              <w:t>的产生速率</w:t>
            </w:r>
            <w:r>
              <w:rPr>
                <w:rFonts w:hint="eastAsia" w:cs="Times New Roman"/>
                <w:b/>
                <w:bCs/>
                <w:color w:val="auto"/>
                <w:kern w:val="2"/>
                <w:sz w:val="24"/>
                <w:szCs w:val="24"/>
                <w:highlight w:val="none"/>
                <w:lang w:val="zh-CN" w:eastAsia="zh-CN" w:bidi="ar-SA"/>
              </w:rPr>
              <w:t>用公式（</w:t>
            </w:r>
            <w:r>
              <w:rPr>
                <w:rFonts w:hint="eastAsia"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进行计算。</w:t>
            </w:r>
            <w:r>
              <w:rPr>
                <w:rFonts w:hint="default" w:ascii="Times New Roman" w:hAnsi="Times New Roman" w:eastAsia="宋体" w:cs="Times New Roman"/>
                <w:color w:val="auto"/>
                <w:kern w:val="2"/>
                <w:sz w:val="24"/>
                <w:szCs w:val="24"/>
                <w:highlight w:val="none"/>
                <w:lang w:val="zh-CN" w:eastAsia="zh-CN" w:bidi="ar-SA"/>
              </w:rPr>
              <w:t>本项目</w:t>
            </w:r>
            <w:r>
              <w:rPr>
                <w:rFonts w:hint="eastAsia" w:ascii="Times New Roman" w:hAnsi="Times New Roman" w:eastAsia="宋体" w:cs="Times New Roman"/>
                <w:color w:val="auto"/>
                <w:kern w:val="2"/>
                <w:sz w:val="24"/>
                <w:szCs w:val="24"/>
                <w:highlight w:val="none"/>
                <w:lang w:val="zh-CN" w:eastAsia="zh-CN" w:bidi="ar-SA"/>
              </w:rPr>
              <w:t>蒙砂</w:t>
            </w:r>
            <w:r>
              <w:rPr>
                <w:rFonts w:hint="default" w:ascii="Times New Roman" w:hAnsi="Times New Roman" w:eastAsia="宋体" w:cs="Times New Roman"/>
                <w:color w:val="auto"/>
                <w:kern w:val="2"/>
                <w:sz w:val="24"/>
                <w:szCs w:val="24"/>
                <w:highlight w:val="none"/>
                <w:lang w:val="zh-CN" w:eastAsia="zh-CN" w:bidi="ar-SA"/>
              </w:rPr>
              <w:t>液</w:t>
            </w:r>
            <w:r>
              <w:rPr>
                <w:rFonts w:hint="eastAsia" w:ascii="Times New Roman" w:hAnsi="Times New Roman" w:eastAsia="宋体" w:cs="Times New Roman"/>
                <w:color w:val="auto"/>
                <w:kern w:val="2"/>
                <w:sz w:val="24"/>
                <w:szCs w:val="24"/>
                <w:highlight w:val="none"/>
                <w:lang w:val="zh-CN" w:eastAsia="zh-CN" w:bidi="ar-SA"/>
              </w:rPr>
              <w:t>中氢氟酸</w:t>
            </w:r>
            <w:r>
              <w:rPr>
                <w:rFonts w:hint="default" w:ascii="Times New Roman" w:hAnsi="Times New Roman" w:eastAsia="宋体" w:cs="Times New Roman"/>
                <w:color w:val="auto"/>
                <w:kern w:val="2"/>
                <w:sz w:val="24"/>
                <w:szCs w:val="24"/>
                <w:highlight w:val="none"/>
                <w:lang w:val="zh-CN" w:eastAsia="zh-CN" w:bidi="ar-SA"/>
              </w:rPr>
              <w:t>重量浓度约为</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zh-CN" w:eastAsia="zh-CN" w:bidi="ar-SA"/>
              </w:rPr>
              <w:t>用水溶液的</w:t>
            </w:r>
            <w:r>
              <w:rPr>
                <w:rFonts w:hint="eastAsia" w:cs="Times New Roman"/>
                <w:color w:val="auto"/>
                <w:kern w:val="2"/>
                <w:sz w:val="24"/>
                <w:szCs w:val="24"/>
                <w:highlight w:val="none"/>
                <w:lang w:val="zh-CN" w:eastAsia="zh-CN" w:bidi="ar-SA"/>
              </w:rPr>
              <w:t>饱和蒸汽</w:t>
            </w:r>
            <w:r>
              <w:rPr>
                <w:rFonts w:hint="eastAsia" w:ascii="Times New Roman" w:hAnsi="Times New Roman" w:eastAsia="宋体" w:cs="Times New Roman"/>
                <w:color w:val="auto"/>
                <w:kern w:val="2"/>
                <w:sz w:val="24"/>
                <w:szCs w:val="24"/>
                <w:highlight w:val="none"/>
                <w:lang w:val="zh-CN" w:eastAsia="zh-CN" w:bidi="ar-SA"/>
              </w:rPr>
              <w:t>压代替，</w:t>
            </w:r>
            <w:r>
              <w:rPr>
                <w:rFonts w:hint="default" w:ascii="Times New Roman" w:hAnsi="Times New Roman" w:eastAsia="宋体" w:cs="Times New Roman"/>
                <w:color w:val="auto"/>
                <w:kern w:val="2"/>
                <w:sz w:val="24"/>
                <w:szCs w:val="24"/>
                <w:highlight w:val="none"/>
                <w:lang w:val="zh-CN" w:eastAsia="zh-CN" w:bidi="ar-SA"/>
              </w:rPr>
              <w:t>查《环境统计手册》表4-1</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zh-CN" w:eastAsia="zh-CN" w:bidi="ar-SA"/>
              </w:rPr>
              <w:t>中室温（20℃）</w:t>
            </w:r>
            <w:r>
              <w:rPr>
                <w:rFonts w:hint="eastAsia" w:ascii="Times New Roman" w:hAnsi="Times New Roman" w:eastAsia="宋体" w:cs="Times New Roman"/>
                <w:color w:val="auto"/>
                <w:kern w:val="2"/>
                <w:sz w:val="24"/>
                <w:szCs w:val="24"/>
                <w:highlight w:val="none"/>
                <w:lang w:val="zh-CN" w:eastAsia="zh-CN" w:bidi="ar-SA"/>
              </w:rPr>
              <w:t>水溶液的蒸气压</w:t>
            </w:r>
            <w:r>
              <w:rPr>
                <w:rFonts w:hint="eastAsia" w:cs="Times New Roman"/>
                <w:color w:val="auto"/>
                <w:kern w:val="2"/>
                <w:sz w:val="24"/>
                <w:szCs w:val="24"/>
                <w:highlight w:val="none"/>
                <w:lang w:val="zh-CN" w:eastAsia="zh-CN" w:bidi="ar-SA"/>
              </w:rPr>
              <w:t>pH</w:t>
            </w:r>
            <w:r>
              <w:rPr>
                <w:rFonts w:hint="default" w:ascii="Times New Roman" w:hAnsi="Times New Roman" w:eastAsia="宋体" w:cs="Times New Roman"/>
                <w:color w:val="auto"/>
                <w:kern w:val="2"/>
                <w:sz w:val="24"/>
                <w:szCs w:val="24"/>
                <w:highlight w:val="none"/>
                <w:vertAlign w:val="sub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O=1</w:t>
            </w:r>
            <w:r>
              <w:rPr>
                <w:rFonts w:hint="eastAsia" w:ascii="Times New Roman" w:hAnsi="Times New Roman" w:eastAsia="宋体" w:cs="Times New Roman"/>
                <w:color w:val="auto"/>
                <w:kern w:val="2"/>
                <w:sz w:val="24"/>
                <w:szCs w:val="24"/>
                <w:highlight w:val="none"/>
                <w:lang w:val="en-US" w:eastAsia="zh-CN" w:bidi="ar-SA"/>
              </w:rPr>
              <w:t>7.535</w:t>
            </w:r>
            <w:r>
              <w:rPr>
                <w:rFonts w:hint="default" w:ascii="Times New Roman" w:hAnsi="Times New Roman" w:eastAsia="宋体" w:cs="Times New Roman"/>
                <w:color w:val="auto"/>
                <w:kern w:val="2"/>
                <w:sz w:val="24"/>
                <w:szCs w:val="24"/>
                <w:highlight w:val="none"/>
                <w:lang w:val="zh-CN" w:eastAsia="zh-CN" w:bidi="ar-SA"/>
              </w:rPr>
              <w:t>mmHg；</w:t>
            </w:r>
            <w:r>
              <w:rPr>
                <w:rFonts w:hint="eastAsia" w:cs="Times New Roman"/>
                <w:color w:val="auto"/>
                <w:kern w:val="2"/>
                <w:sz w:val="24"/>
                <w:szCs w:val="24"/>
                <w:highlight w:val="none"/>
                <w:lang w:val="en-US" w:eastAsia="zh-CN" w:bidi="ar-SA"/>
              </w:rPr>
              <w:t>10只</w:t>
            </w:r>
            <w:r>
              <w:rPr>
                <w:rFonts w:hint="eastAsia" w:cs="Times New Roman"/>
                <w:color w:val="auto"/>
                <w:kern w:val="2"/>
                <w:sz w:val="24"/>
                <w:szCs w:val="24"/>
                <w:highlight w:val="none"/>
                <w:lang w:val="zh-CN" w:eastAsia="zh-CN" w:bidi="ar-SA"/>
              </w:rPr>
              <w:t>蒙砂液配制桶的蒸发</w:t>
            </w:r>
            <w:r>
              <w:rPr>
                <w:rFonts w:hint="default" w:ascii="Times New Roman" w:hAnsi="Times New Roman" w:eastAsia="宋体" w:cs="Times New Roman"/>
                <w:color w:val="auto"/>
                <w:kern w:val="2"/>
                <w:sz w:val="24"/>
                <w:szCs w:val="24"/>
                <w:highlight w:val="none"/>
                <w:lang w:val="zh-CN" w:eastAsia="zh-CN" w:bidi="ar-SA"/>
              </w:rPr>
              <w:t>表面积为</w:t>
            </w:r>
            <w:r>
              <w:rPr>
                <w:rFonts w:hint="eastAsia" w:cs="Times New Roman"/>
                <w:color w:val="auto"/>
                <w:kern w:val="2"/>
                <w:sz w:val="24"/>
                <w:szCs w:val="24"/>
                <w:highlight w:val="none"/>
                <w:lang w:val="en-US" w:eastAsia="zh-CN" w:bidi="ar-SA"/>
              </w:rPr>
              <w:t>0.6</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。经计算</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本项目配料过程中</w:t>
            </w:r>
            <w:r>
              <w:rPr>
                <w:rFonts w:hint="eastAsia" w:cs="Times New Roman"/>
                <w:color w:val="auto"/>
                <w:kern w:val="2"/>
                <w:sz w:val="24"/>
                <w:szCs w:val="24"/>
                <w:highlight w:val="none"/>
                <w:lang w:val="zh-CN" w:eastAsia="zh-CN" w:bidi="ar-SA"/>
              </w:rPr>
              <w:t>氟化氢的产生速率</w:t>
            </w:r>
            <w:r>
              <w:rPr>
                <w:rFonts w:hint="default" w:ascii="Times New Roman" w:hAnsi="Times New Roman" w:eastAsia="宋体" w:cs="Times New Roman"/>
                <w:color w:val="auto"/>
                <w:kern w:val="2"/>
                <w:sz w:val="24"/>
                <w:szCs w:val="24"/>
                <w:highlight w:val="none"/>
                <w:lang w:val="zh-CN" w:eastAsia="zh-CN" w:bidi="ar-SA"/>
              </w:rPr>
              <w:t>为</w:t>
            </w:r>
            <w:r>
              <w:rPr>
                <w:rFonts w:hint="eastAsia" w:ascii="Times New Roman" w:hAnsi="Times New Roman" w:eastAsia="宋体" w:cs="Times New Roman"/>
                <w:color w:val="auto"/>
                <w:kern w:val="2"/>
                <w:sz w:val="24"/>
                <w:szCs w:val="24"/>
                <w:highlight w:val="none"/>
                <w:lang w:val="en-US" w:eastAsia="zh-CN" w:bidi="ar-SA"/>
              </w:rPr>
              <w:t>0.1320</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该工序年有效工作时间为</w:t>
            </w:r>
            <w:r>
              <w:rPr>
                <w:rFonts w:hint="eastAsia" w:ascii="Times New Roman" w:hAnsi="Times New Roman" w:eastAsia="宋体" w:cs="Times New Roman"/>
                <w:color w:val="auto"/>
                <w:kern w:val="2"/>
                <w:sz w:val="24"/>
                <w:szCs w:val="24"/>
                <w:highlight w:val="none"/>
                <w:lang w:val="en-US" w:eastAsia="zh-CN" w:bidi="ar-SA"/>
              </w:rPr>
              <w:t>12</w:t>
            </w:r>
            <w:r>
              <w:rPr>
                <w:rFonts w:hint="default" w:ascii="Times New Roman" w:hAnsi="Times New Roman" w:eastAsia="宋体" w:cs="Times New Roman"/>
                <w:color w:val="auto"/>
                <w:kern w:val="2"/>
                <w:sz w:val="24"/>
                <w:szCs w:val="24"/>
                <w:highlight w:val="none"/>
                <w:lang w:val="zh-CN" w:eastAsia="zh-CN" w:bidi="ar-SA"/>
              </w:rPr>
              <w:t>0h，则</w:t>
            </w:r>
            <w:r>
              <w:rPr>
                <w:rFonts w:hint="eastAsia" w:cs="Times New Roman"/>
                <w:color w:val="auto"/>
                <w:kern w:val="2"/>
                <w:sz w:val="24"/>
                <w:szCs w:val="24"/>
                <w:highlight w:val="none"/>
                <w:lang w:val="zh-CN" w:eastAsia="zh-CN" w:bidi="ar-SA"/>
              </w:rPr>
              <w:t>氟化氢</w:t>
            </w:r>
            <w:r>
              <w:rPr>
                <w:rFonts w:hint="default" w:ascii="Times New Roman" w:hAnsi="Times New Roman" w:eastAsia="宋体" w:cs="Times New Roman"/>
                <w:color w:val="auto"/>
                <w:kern w:val="2"/>
                <w:sz w:val="24"/>
                <w:szCs w:val="24"/>
                <w:highlight w:val="none"/>
                <w:lang w:val="zh-CN" w:eastAsia="zh-CN" w:bidi="ar-SA"/>
              </w:rPr>
              <w:t>的产生量为</w:t>
            </w:r>
            <w:r>
              <w:rPr>
                <w:rFonts w:hint="eastAsia" w:ascii="Times New Roman" w:hAnsi="Times New Roman" w:eastAsia="宋体" w:cs="Times New Roman"/>
                <w:color w:val="auto"/>
                <w:kern w:val="2"/>
                <w:sz w:val="24"/>
                <w:szCs w:val="24"/>
                <w:highlight w:val="none"/>
                <w:lang w:val="en-US" w:eastAsia="zh-CN" w:bidi="ar-SA"/>
              </w:rPr>
              <w:t>0.0158</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w:t>
            </w:r>
            <w:r>
              <w:rPr>
                <w:rFonts w:hint="eastAsia" w:ascii="Times New Roman" w:hAnsi="Times New Roman" w:cs="Times New Roman"/>
                <w:color w:val="auto"/>
                <w:kern w:val="2"/>
                <w:sz w:val="24"/>
                <w:szCs w:val="24"/>
                <w:highlight w:val="none"/>
                <w:lang w:val="zh-CN" w:eastAsia="zh-CN" w:bidi="ar-SA"/>
              </w:rPr>
              <w:t>封闭</w:t>
            </w:r>
            <w:r>
              <w:rPr>
                <w:rFonts w:hint="eastAsia" w:cs="Times New Roman"/>
                <w:color w:val="auto"/>
                <w:kern w:val="2"/>
                <w:sz w:val="24"/>
                <w:szCs w:val="24"/>
                <w:highlight w:val="none"/>
                <w:lang w:val="zh-CN" w:eastAsia="zh-CN" w:bidi="ar-SA"/>
              </w:rPr>
              <w:t>生产</w:t>
            </w:r>
            <w:r>
              <w:rPr>
                <w:rFonts w:hint="eastAsia" w:ascii="Times New Roman" w:hAnsi="Times New Roman" w:cs="Times New Roman"/>
                <w:color w:val="auto"/>
                <w:kern w:val="2"/>
                <w:sz w:val="24"/>
                <w:szCs w:val="24"/>
                <w:highlight w:val="none"/>
                <w:lang w:val="zh-CN" w:eastAsia="zh-CN" w:bidi="ar-SA"/>
              </w:rPr>
              <w:t>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则该工序有组织氟化氢的产生量为</w:t>
            </w:r>
            <w:r>
              <w:rPr>
                <w:rFonts w:hint="eastAsia" w:cs="Times New Roman"/>
                <w:color w:val="auto"/>
                <w:kern w:val="2"/>
                <w:sz w:val="24"/>
                <w:szCs w:val="24"/>
                <w:highlight w:val="none"/>
                <w:lang w:val="en-US" w:eastAsia="zh-CN" w:bidi="ar-SA"/>
              </w:rPr>
              <w:t>0.0142</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产生速率为</w:t>
            </w:r>
            <w:r>
              <w:rPr>
                <w:rFonts w:hint="eastAsia" w:cs="Times New Roman"/>
                <w:color w:val="auto"/>
                <w:kern w:val="2"/>
                <w:sz w:val="24"/>
                <w:szCs w:val="24"/>
                <w:highlight w:val="none"/>
                <w:lang w:val="en-US" w:eastAsia="zh-CN" w:bidi="ar-SA"/>
              </w:rPr>
              <w:t>0.1183</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4D4EF89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b/>
                <w:bCs/>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zh-CN" w:eastAsia="zh-CN" w:bidi="ar-SA"/>
              </w:rPr>
              <w:t>封闭生产车间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eastAsia="宋体"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color w:val="auto"/>
                <w:sz w:val="24"/>
                <w:highlight w:val="none"/>
                <w:lang w:val="zh-CN"/>
              </w:rPr>
              <w:t>则剩余</w:t>
            </w:r>
            <w:r>
              <w:rPr>
                <w:rFonts w:hint="eastAsia"/>
                <w:color w:val="auto"/>
                <w:sz w:val="24"/>
                <w:highlight w:val="none"/>
              </w:rPr>
              <w:t>10</w:t>
            </w:r>
            <w:r>
              <w:rPr>
                <w:color w:val="auto"/>
                <w:sz w:val="24"/>
                <w:highlight w:val="none"/>
                <w:lang w:val="zh-CN"/>
              </w:rPr>
              <w:t>%未被</w:t>
            </w:r>
            <w:r>
              <w:rPr>
                <w:rFonts w:hint="eastAsia"/>
                <w:color w:val="auto"/>
                <w:sz w:val="24"/>
                <w:highlight w:val="none"/>
                <w:lang w:val="zh-CN"/>
              </w:rPr>
              <w:t>集气管道</w:t>
            </w:r>
            <w:r>
              <w:rPr>
                <w:color w:val="auto"/>
                <w:sz w:val="24"/>
                <w:highlight w:val="none"/>
                <w:lang w:val="zh-CN"/>
              </w:rPr>
              <w:t>收集的</w:t>
            </w:r>
            <w:r>
              <w:rPr>
                <w:rFonts w:hint="eastAsia"/>
                <w:color w:val="auto"/>
                <w:sz w:val="24"/>
                <w:highlight w:val="none"/>
                <w:lang w:val="zh-CN"/>
              </w:rPr>
              <w:t>氟化氢</w:t>
            </w:r>
            <w:r>
              <w:rPr>
                <w:color w:val="auto"/>
                <w:sz w:val="24"/>
                <w:highlight w:val="none"/>
                <w:lang w:val="zh-CN"/>
              </w:rPr>
              <w:t>在</w:t>
            </w:r>
            <w:r>
              <w:rPr>
                <w:rFonts w:hint="eastAsia"/>
                <w:color w:val="auto"/>
                <w:sz w:val="24"/>
                <w:highlight w:val="none"/>
                <w:lang w:val="zh-CN"/>
              </w:rPr>
              <w:t>车间</w:t>
            </w:r>
            <w:r>
              <w:rPr>
                <w:color w:val="auto"/>
                <w:sz w:val="24"/>
                <w:highlight w:val="none"/>
                <w:lang w:val="zh-CN"/>
              </w:rPr>
              <w:t>内</w:t>
            </w:r>
            <w:r>
              <w:rPr>
                <w:rFonts w:hint="eastAsia"/>
                <w:color w:val="auto"/>
                <w:sz w:val="24"/>
                <w:highlight w:val="none"/>
                <w:lang w:val="zh-CN"/>
              </w:rPr>
              <w:t>呈</w:t>
            </w:r>
            <w:r>
              <w:rPr>
                <w:color w:val="auto"/>
                <w:sz w:val="24"/>
                <w:highlight w:val="none"/>
                <w:lang w:val="zh-CN"/>
              </w:rPr>
              <w:t>无组织排放</w:t>
            </w:r>
            <w:r>
              <w:rPr>
                <w:rFonts w:hint="eastAsia"/>
                <w:color w:val="auto"/>
                <w:sz w:val="24"/>
                <w:highlight w:val="none"/>
                <w:lang w:val="zh-CN"/>
              </w:rPr>
              <w:t>，故</w:t>
            </w:r>
            <w:r>
              <w:rPr>
                <w:rFonts w:hint="eastAsia"/>
                <w:color w:val="auto"/>
                <w:sz w:val="24"/>
                <w:highlight w:val="none"/>
                <w:lang w:eastAsia="zh-CN"/>
              </w:rPr>
              <w:t>本工序</w:t>
            </w:r>
            <w:r>
              <w:rPr>
                <w:rFonts w:hint="eastAsia"/>
                <w:color w:val="auto"/>
                <w:sz w:val="24"/>
                <w:highlight w:val="none"/>
              </w:rPr>
              <w:t>氟化氢</w:t>
            </w:r>
            <w:r>
              <w:rPr>
                <w:color w:val="auto"/>
                <w:sz w:val="24"/>
                <w:highlight w:val="none"/>
                <w:lang w:val="zh-CN"/>
              </w:rPr>
              <w:t>无组织排放量为</w:t>
            </w:r>
            <w:r>
              <w:rPr>
                <w:rFonts w:hint="eastAsia"/>
                <w:color w:val="auto"/>
                <w:sz w:val="24"/>
                <w:highlight w:val="none"/>
                <w:lang w:val="en-US" w:eastAsia="zh-CN"/>
              </w:rPr>
              <w:t>0.0016</w:t>
            </w:r>
            <w:r>
              <w:rPr>
                <w:color w:val="auto"/>
                <w:sz w:val="24"/>
                <w:highlight w:val="none"/>
                <w:lang w:val="zh-CN"/>
              </w:rPr>
              <w:t>t/a</w:t>
            </w:r>
            <w:r>
              <w:rPr>
                <w:rFonts w:hint="eastAsia"/>
                <w:color w:val="auto"/>
                <w:sz w:val="24"/>
                <w:highlight w:val="none"/>
                <w:lang w:val="zh-CN"/>
              </w:rPr>
              <w:t>，</w:t>
            </w:r>
            <w:r>
              <w:rPr>
                <w:rFonts w:hint="eastAsia" w:cs="Times New Roman"/>
                <w:color w:val="auto"/>
                <w:kern w:val="2"/>
                <w:sz w:val="24"/>
                <w:szCs w:val="24"/>
                <w:highlight w:val="none"/>
                <w:lang w:val="zh-CN" w:eastAsia="zh-CN" w:bidi="ar-SA"/>
              </w:rPr>
              <w:t>排放速率为</w:t>
            </w:r>
            <w:r>
              <w:rPr>
                <w:rFonts w:hint="eastAsia" w:cs="Times New Roman"/>
                <w:color w:val="auto"/>
                <w:kern w:val="2"/>
                <w:sz w:val="24"/>
                <w:szCs w:val="24"/>
                <w:highlight w:val="none"/>
                <w:lang w:val="en-US" w:eastAsia="zh-CN" w:bidi="ar-SA"/>
              </w:rPr>
              <w:t>0.0133</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7F3300F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both"/>
              <w:textAlignment w:val="baseline"/>
              <w:rPr>
                <w:rFonts w:hint="default" w:ascii="Times New Roman" w:hAnsi="Times New Roman" w:eastAsia="宋体" w:cs="Times New Roman"/>
                <w:b/>
                <w:bCs/>
                <w:color w:val="auto"/>
                <w:kern w:val="2"/>
                <w:sz w:val="24"/>
                <w:szCs w:val="24"/>
                <w:highlight w:val="none"/>
                <w:lang w:val="zh-CN" w:eastAsia="zh-CN" w:bidi="ar-SA"/>
              </w:rPr>
            </w:pPr>
            <w:r>
              <w:rPr>
                <w:rFonts w:hint="eastAsia" w:cs="Times New Roman"/>
                <w:b/>
                <w:bCs/>
                <w:color w:val="auto"/>
                <w:kern w:val="2"/>
                <w:sz w:val="24"/>
                <w:szCs w:val="24"/>
                <w:highlight w:val="none"/>
                <w:lang w:val="en-US" w:eastAsia="zh-CN" w:bidi="ar-SA"/>
              </w:rPr>
              <w:t>3）</w:t>
            </w:r>
            <w:r>
              <w:rPr>
                <w:rFonts w:hint="eastAsia" w:cs="Times New Roman"/>
                <w:b/>
                <w:bCs/>
                <w:color w:val="auto"/>
                <w:kern w:val="2"/>
                <w:sz w:val="24"/>
                <w:szCs w:val="24"/>
                <w:highlight w:val="none"/>
                <w:lang w:val="zh-CN" w:eastAsia="zh-CN" w:bidi="ar-SA"/>
              </w:rPr>
              <w:t>蒙砂</w:t>
            </w:r>
            <w:r>
              <w:rPr>
                <w:rFonts w:hint="default" w:ascii="Times New Roman" w:hAnsi="Times New Roman" w:eastAsia="宋体" w:cs="Times New Roman"/>
                <w:b/>
                <w:bCs/>
                <w:color w:val="auto"/>
                <w:kern w:val="2"/>
                <w:sz w:val="24"/>
                <w:szCs w:val="24"/>
                <w:highlight w:val="none"/>
                <w:lang w:val="zh-CN" w:eastAsia="zh-CN" w:bidi="ar-SA"/>
              </w:rPr>
              <w:t>废气</w:t>
            </w:r>
          </w:p>
          <w:p w14:paraId="453DD59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蒙砂</w:t>
            </w:r>
            <w:r>
              <w:rPr>
                <w:rFonts w:hint="default" w:ascii="Times New Roman" w:hAnsi="Times New Roman" w:eastAsia="宋体" w:cs="Times New Roman"/>
                <w:color w:val="auto"/>
                <w:kern w:val="2"/>
                <w:sz w:val="24"/>
                <w:szCs w:val="24"/>
                <w:highlight w:val="none"/>
                <w:lang w:val="zh-CN" w:eastAsia="zh-CN" w:bidi="ar-SA"/>
              </w:rPr>
              <w:t>工序产生的挥发废气，主要污染因子</w:t>
            </w:r>
            <w:r>
              <w:rPr>
                <w:rFonts w:hint="eastAsia" w:ascii="Times New Roman" w:hAnsi="Times New Roman" w:eastAsia="宋体" w:cs="Times New Roman"/>
                <w:color w:val="auto"/>
                <w:kern w:val="2"/>
                <w:sz w:val="24"/>
                <w:szCs w:val="24"/>
                <w:highlight w:val="none"/>
                <w:lang w:val="zh-CN" w:eastAsia="zh-CN" w:bidi="ar-SA"/>
              </w:rPr>
              <w:t>为</w:t>
            </w:r>
            <w:r>
              <w:rPr>
                <w:rFonts w:hint="eastAsia" w:cs="Times New Roman"/>
                <w:color w:val="auto"/>
                <w:kern w:val="2"/>
                <w:sz w:val="24"/>
                <w:szCs w:val="24"/>
                <w:highlight w:val="none"/>
                <w:lang w:val="zh-CN" w:eastAsia="zh-CN" w:bidi="ar-SA"/>
              </w:rPr>
              <w:t>氟化氢</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建设单位拟将蒙砂</w:t>
            </w:r>
            <w:r>
              <w:rPr>
                <w:rFonts w:hint="eastAsia" w:cs="Times New Roman"/>
                <w:color w:val="auto"/>
                <w:kern w:val="2"/>
                <w:sz w:val="24"/>
                <w:szCs w:val="24"/>
                <w:highlight w:val="none"/>
                <w:lang w:val="en-US" w:eastAsia="zh-CN" w:bidi="ar-SA"/>
              </w:rPr>
              <w:t>过程</w:t>
            </w:r>
            <w:r>
              <w:rPr>
                <w:rFonts w:hint="eastAsia" w:ascii="Times New Roman" w:hAnsi="Times New Roman" w:eastAsia="宋体" w:cs="Times New Roman"/>
                <w:color w:val="auto"/>
                <w:kern w:val="2"/>
                <w:sz w:val="24"/>
                <w:szCs w:val="24"/>
                <w:highlight w:val="none"/>
                <w:lang w:val="en-US" w:eastAsia="zh-CN" w:bidi="ar-SA"/>
              </w:rPr>
              <w:t>与</w:t>
            </w:r>
            <w:r>
              <w:rPr>
                <w:rFonts w:hint="eastAsia" w:ascii="Times New Roman" w:hAnsi="Times New Roman" w:eastAsia="宋体" w:cs="Times New Roman"/>
                <w:color w:val="auto"/>
                <w:kern w:val="2"/>
                <w:sz w:val="24"/>
                <w:szCs w:val="24"/>
                <w:highlight w:val="none"/>
                <w:lang w:val="zh-CN" w:eastAsia="zh-CN" w:bidi="ar-SA"/>
              </w:rPr>
              <w:t>硫酸稀释、蒙砂液配制共同置于封闭生产车间内，生产车间保持负压状态，并在上方设置集气管道，</w:t>
            </w:r>
            <w:r>
              <w:rPr>
                <w:rFonts w:hint="default" w:ascii="Times New Roman" w:hAnsi="Times New Roman" w:eastAsia="宋体" w:cs="Times New Roman"/>
                <w:color w:val="auto"/>
                <w:kern w:val="2"/>
                <w:sz w:val="24"/>
                <w:szCs w:val="24"/>
                <w:highlight w:val="none"/>
                <w:lang w:val="zh-CN" w:eastAsia="zh-CN" w:bidi="ar-SA"/>
              </w:rPr>
              <w:t>硫酸挥发废气、配料废气</w:t>
            </w:r>
            <w:r>
              <w:rPr>
                <w:rFonts w:hint="eastAsia" w:ascii="Times New Roman" w:hAnsi="Times New Roman" w:eastAsia="宋体" w:cs="Times New Roman"/>
                <w:color w:val="auto"/>
                <w:kern w:val="2"/>
                <w:sz w:val="24"/>
                <w:szCs w:val="24"/>
                <w:highlight w:val="none"/>
                <w:lang w:val="zh-CN" w:eastAsia="zh-CN" w:bidi="ar-SA"/>
              </w:rPr>
              <w:t>和蒙砂</w:t>
            </w:r>
            <w:r>
              <w:rPr>
                <w:rFonts w:hint="default" w:ascii="Times New Roman" w:hAnsi="Times New Roman" w:eastAsia="宋体" w:cs="Times New Roman"/>
                <w:color w:val="auto"/>
                <w:kern w:val="2"/>
                <w:sz w:val="24"/>
                <w:szCs w:val="24"/>
                <w:highlight w:val="none"/>
                <w:lang w:val="zh-CN" w:eastAsia="zh-CN" w:bidi="ar-SA"/>
              </w:rPr>
              <w:t>废气由</w:t>
            </w:r>
            <w:r>
              <w:rPr>
                <w:rFonts w:hint="eastAsia" w:cs="Times New Roman"/>
                <w:color w:val="auto"/>
                <w:kern w:val="2"/>
                <w:sz w:val="24"/>
                <w:szCs w:val="24"/>
                <w:highlight w:val="none"/>
                <w:lang w:val="zh-CN" w:eastAsia="zh-CN" w:bidi="ar-SA"/>
              </w:rPr>
              <w:t>封</w:t>
            </w:r>
            <w:r>
              <w:rPr>
                <w:rFonts w:hint="default" w:ascii="Times New Roman" w:hAnsi="Times New Roman" w:eastAsia="宋体" w:cs="Times New Roman"/>
                <w:color w:val="auto"/>
                <w:kern w:val="2"/>
                <w:sz w:val="24"/>
                <w:szCs w:val="24"/>
                <w:highlight w:val="none"/>
                <w:lang w:val="zh-CN" w:eastAsia="zh-CN" w:bidi="ar-SA"/>
              </w:rPr>
              <w:t>闭生产</w:t>
            </w:r>
            <w:r>
              <w:rPr>
                <w:rFonts w:hint="eastAsia" w:cs="Times New Roman"/>
                <w:color w:val="auto"/>
                <w:kern w:val="2"/>
                <w:sz w:val="24"/>
                <w:szCs w:val="24"/>
                <w:highlight w:val="none"/>
                <w:lang w:val="zh-CN" w:eastAsia="zh-CN" w:bidi="ar-SA"/>
              </w:rPr>
              <w:t>车间</w:t>
            </w:r>
            <w:r>
              <w:rPr>
                <w:rFonts w:hint="default" w:ascii="Times New Roman" w:hAnsi="Times New Roman" w:eastAsia="宋体" w:cs="Times New Roman"/>
                <w:color w:val="auto"/>
                <w:kern w:val="2"/>
                <w:sz w:val="24"/>
                <w:szCs w:val="24"/>
                <w:highlight w:val="none"/>
                <w:lang w:val="en-US" w:eastAsia="zh-CN" w:bidi="ar-SA"/>
              </w:rPr>
              <w:t>集气管道</w:t>
            </w:r>
            <w:r>
              <w:rPr>
                <w:rFonts w:hint="default" w:ascii="Times New Roman" w:hAnsi="Times New Roman" w:eastAsia="宋体" w:cs="Times New Roman"/>
                <w:color w:val="auto"/>
                <w:kern w:val="2"/>
                <w:sz w:val="24"/>
                <w:szCs w:val="24"/>
                <w:highlight w:val="none"/>
                <w:lang w:val="zh-CN" w:eastAsia="zh-CN" w:bidi="ar-SA"/>
              </w:rPr>
              <w:t>收集后，</w:t>
            </w:r>
            <w:r>
              <w:rPr>
                <w:rFonts w:hint="eastAsia" w:ascii="Times New Roman" w:hAnsi="Times New Roman" w:eastAsia="宋体" w:cs="Times New Roman"/>
                <w:color w:val="auto"/>
                <w:kern w:val="2"/>
                <w:sz w:val="24"/>
                <w:szCs w:val="24"/>
                <w:highlight w:val="none"/>
                <w:lang w:val="zh-CN" w:eastAsia="zh-CN" w:bidi="ar-SA"/>
              </w:rPr>
              <w:t>通过</w:t>
            </w:r>
            <w:r>
              <w:rPr>
                <w:rFonts w:hint="default" w:ascii="Times New Roman" w:hAnsi="Times New Roman" w:eastAsia="宋体" w:cs="Times New Roman"/>
                <w:color w:val="auto"/>
                <w:kern w:val="2"/>
                <w:sz w:val="24"/>
                <w:szCs w:val="24"/>
                <w:highlight w:val="none"/>
                <w:lang w:val="zh-CN" w:eastAsia="zh-CN" w:bidi="ar-SA"/>
              </w:rPr>
              <w:t>一套碱液喷淋洗涤塔废气治理设施处理，</w:t>
            </w:r>
            <w:r>
              <w:rPr>
                <w:rFonts w:hint="eastAsia" w:ascii="Times New Roman" w:hAnsi="Times New Roman" w:eastAsia="宋体" w:cs="Times New Roman"/>
                <w:color w:val="auto"/>
                <w:kern w:val="2"/>
                <w:sz w:val="24"/>
                <w:szCs w:val="24"/>
                <w:highlight w:val="none"/>
                <w:lang w:val="zh-CN" w:eastAsia="zh-CN" w:bidi="ar-SA"/>
              </w:rPr>
              <w:t>后</w:t>
            </w:r>
            <w:r>
              <w:rPr>
                <w:rFonts w:hint="default" w:ascii="Times New Roman" w:hAnsi="Times New Roman" w:eastAsia="宋体" w:cs="Times New Roman"/>
                <w:color w:val="auto"/>
                <w:kern w:val="2"/>
                <w:sz w:val="24"/>
                <w:szCs w:val="24"/>
                <w:highlight w:val="none"/>
                <w:lang w:val="zh-CN" w:eastAsia="zh-CN" w:bidi="ar-SA"/>
              </w:rPr>
              <w:t>经15m高排气筒（</w:t>
            </w:r>
            <w:r>
              <w:rPr>
                <w:rFonts w:hint="default" w:ascii="Times New Roman" w:hAnsi="Times New Roman" w:eastAsia="宋体" w:cs="Times New Roman"/>
                <w:color w:val="auto"/>
                <w:kern w:val="2"/>
                <w:sz w:val="24"/>
                <w:szCs w:val="24"/>
                <w:highlight w:val="none"/>
                <w:lang w:val="en-US" w:eastAsia="zh-CN" w:bidi="ar-SA"/>
              </w:rPr>
              <w:t>DA002</w:t>
            </w:r>
            <w:r>
              <w:rPr>
                <w:rFonts w:hint="default" w:ascii="Times New Roman" w:hAnsi="Times New Roman" w:eastAsia="宋体" w:cs="Times New Roman"/>
                <w:color w:val="auto"/>
                <w:kern w:val="2"/>
                <w:sz w:val="24"/>
                <w:szCs w:val="24"/>
                <w:highlight w:val="none"/>
                <w:lang w:val="zh-CN" w:eastAsia="zh-CN" w:bidi="ar-SA"/>
              </w:rPr>
              <w:t>）排放</w:t>
            </w:r>
            <w:r>
              <w:rPr>
                <w:rFonts w:hint="eastAsia" w:ascii="Times New Roman" w:hAnsi="Times New Roman" w:eastAsia="宋体" w:cs="Times New Roman"/>
                <w:color w:val="auto"/>
                <w:kern w:val="2"/>
                <w:sz w:val="24"/>
                <w:szCs w:val="24"/>
                <w:highlight w:val="none"/>
                <w:lang w:val="en-US" w:eastAsia="zh-CN" w:bidi="ar-SA"/>
              </w:rPr>
              <w:t>（与硫酸挥发废气和配料废气共用一套废气治理设施）。</w:t>
            </w:r>
          </w:p>
          <w:p w14:paraId="5C237B5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本工序</w:t>
            </w:r>
            <w:r>
              <w:rPr>
                <w:rFonts w:hint="eastAsia" w:cs="Times New Roman"/>
                <w:b/>
                <w:bCs/>
                <w:color w:val="auto"/>
                <w:kern w:val="2"/>
                <w:sz w:val="24"/>
                <w:szCs w:val="24"/>
                <w:highlight w:val="none"/>
                <w:lang w:val="zh-CN" w:eastAsia="zh-CN" w:bidi="ar-SA"/>
              </w:rPr>
              <w:t>氟化氢</w:t>
            </w:r>
            <w:r>
              <w:rPr>
                <w:rFonts w:hint="default" w:ascii="Times New Roman" w:hAnsi="Times New Roman" w:eastAsia="宋体" w:cs="Times New Roman"/>
                <w:b/>
                <w:bCs/>
                <w:color w:val="auto"/>
                <w:kern w:val="2"/>
                <w:sz w:val="24"/>
                <w:szCs w:val="24"/>
                <w:highlight w:val="none"/>
                <w:lang w:val="zh-CN" w:eastAsia="zh-CN" w:bidi="ar-SA"/>
              </w:rPr>
              <w:t>的产生速率</w:t>
            </w:r>
            <w:r>
              <w:rPr>
                <w:rFonts w:hint="eastAsia" w:cs="Times New Roman"/>
                <w:b/>
                <w:bCs/>
                <w:color w:val="auto"/>
                <w:kern w:val="2"/>
                <w:sz w:val="24"/>
                <w:szCs w:val="24"/>
                <w:highlight w:val="none"/>
                <w:lang w:val="zh-CN" w:eastAsia="zh-CN" w:bidi="ar-SA"/>
              </w:rPr>
              <w:t>用公式（</w:t>
            </w:r>
            <w:r>
              <w:rPr>
                <w:rFonts w:hint="eastAsia"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进行计算。本项目</w:t>
            </w:r>
            <w:r>
              <w:rPr>
                <w:rFonts w:hint="eastAsia" w:ascii="Times New Roman" w:hAnsi="Times New Roman" w:eastAsia="宋体" w:cs="Times New Roman"/>
                <w:color w:val="auto"/>
                <w:kern w:val="2"/>
                <w:sz w:val="24"/>
                <w:szCs w:val="24"/>
                <w:highlight w:val="none"/>
                <w:lang w:val="zh-CN" w:eastAsia="zh-CN" w:bidi="ar-SA"/>
              </w:rPr>
              <w:t>蒙砂</w:t>
            </w:r>
            <w:r>
              <w:rPr>
                <w:rFonts w:hint="default" w:ascii="Times New Roman" w:hAnsi="Times New Roman" w:eastAsia="宋体" w:cs="Times New Roman"/>
                <w:color w:val="auto"/>
                <w:kern w:val="2"/>
                <w:sz w:val="24"/>
                <w:szCs w:val="24"/>
                <w:highlight w:val="none"/>
                <w:lang w:val="zh-CN" w:eastAsia="zh-CN" w:bidi="ar-SA"/>
              </w:rPr>
              <w:t>液</w:t>
            </w:r>
            <w:r>
              <w:rPr>
                <w:rFonts w:hint="eastAsia" w:ascii="Times New Roman" w:hAnsi="Times New Roman" w:eastAsia="宋体" w:cs="Times New Roman"/>
                <w:color w:val="auto"/>
                <w:kern w:val="2"/>
                <w:sz w:val="24"/>
                <w:szCs w:val="24"/>
                <w:highlight w:val="none"/>
                <w:lang w:val="zh-CN" w:eastAsia="zh-CN" w:bidi="ar-SA"/>
              </w:rPr>
              <w:t>中氢氟酸</w:t>
            </w:r>
            <w:r>
              <w:rPr>
                <w:rFonts w:hint="default" w:ascii="Times New Roman" w:hAnsi="Times New Roman" w:eastAsia="宋体" w:cs="Times New Roman"/>
                <w:color w:val="auto"/>
                <w:kern w:val="2"/>
                <w:sz w:val="24"/>
                <w:szCs w:val="24"/>
                <w:highlight w:val="none"/>
                <w:lang w:val="zh-CN" w:eastAsia="zh-CN" w:bidi="ar-SA"/>
              </w:rPr>
              <w:t>重量浓度约为</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zh-CN" w:eastAsia="zh-CN" w:bidi="ar-SA"/>
              </w:rPr>
              <w:t>用水溶液的</w:t>
            </w:r>
            <w:r>
              <w:rPr>
                <w:rFonts w:hint="eastAsia" w:cs="Times New Roman"/>
                <w:color w:val="auto"/>
                <w:kern w:val="2"/>
                <w:sz w:val="24"/>
                <w:szCs w:val="24"/>
                <w:highlight w:val="none"/>
                <w:lang w:val="zh-CN" w:eastAsia="zh-CN" w:bidi="ar-SA"/>
              </w:rPr>
              <w:t>饱和蒸汽</w:t>
            </w:r>
            <w:r>
              <w:rPr>
                <w:rFonts w:hint="eastAsia" w:ascii="Times New Roman" w:hAnsi="Times New Roman" w:eastAsia="宋体" w:cs="Times New Roman"/>
                <w:color w:val="auto"/>
                <w:kern w:val="2"/>
                <w:sz w:val="24"/>
                <w:szCs w:val="24"/>
                <w:highlight w:val="none"/>
                <w:lang w:val="zh-CN" w:eastAsia="zh-CN" w:bidi="ar-SA"/>
              </w:rPr>
              <w:t>压代替，</w:t>
            </w:r>
            <w:r>
              <w:rPr>
                <w:rFonts w:hint="default" w:ascii="Times New Roman" w:hAnsi="Times New Roman" w:eastAsia="宋体" w:cs="Times New Roman"/>
                <w:color w:val="auto"/>
                <w:kern w:val="2"/>
                <w:sz w:val="24"/>
                <w:szCs w:val="24"/>
                <w:highlight w:val="none"/>
                <w:lang w:val="zh-CN" w:eastAsia="zh-CN" w:bidi="ar-SA"/>
              </w:rPr>
              <w:t>查《环境统计手册》表4-1</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zh-CN" w:eastAsia="zh-CN" w:bidi="ar-SA"/>
              </w:rPr>
              <w:t>中室温（20℃）</w:t>
            </w:r>
            <w:r>
              <w:rPr>
                <w:rFonts w:hint="eastAsia" w:ascii="Times New Roman" w:hAnsi="Times New Roman" w:eastAsia="宋体" w:cs="Times New Roman"/>
                <w:color w:val="auto"/>
                <w:kern w:val="2"/>
                <w:sz w:val="24"/>
                <w:szCs w:val="24"/>
                <w:highlight w:val="none"/>
                <w:lang w:val="zh-CN" w:eastAsia="zh-CN" w:bidi="ar-SA"/>
              </w:rPr>
              <w:t>水溶液的蒸气压</w:t>
            </w:r>
            <w:r>
              <w:rPr>
                <w:rFonts w:hint="eastAsia" w:cs="Times New Roman"/>
                <w:color w:val="auto"/>
                <w:kern w:val="2"/>
                <w:sz w:val="24"/>
                <w:szCs w:val="24"/>
                <w:highlight w:val="none"/>
                <w:lang w:val="zh-CN" w:eastAsia="zh-CN" w:bidi="ar-SA"/>
              </w:rPr>
              <w:t>pH</w:t>
            </w:r>
            <w:r>
              <w:rPr>
                <w:rFonts w:hint="default" w:ascii="Times New Roman" w:hAnsi="Times New Roman" w:eastAsia="宋体" w:cs="Times New Roman"/>
                <w:color w:val="auto"/>
                <w:kern w:val="2"/>
                <w:sz w:val="24"/>
                <w:szCs w:val="24"/>
                <w:highlight w:val="none"/>
                <w:vertAlign w:val="sub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O=1</w:t>
            </w:r>
            <w:r>
              <w:rPr>
                <w:rFonts w:hint="eastAsia" w:ascii="Times New Roman" w:hAnsi="Times New Roman" w:eastAsia="宋体" w:cs="Times New Roman"/>
                <w:color w:val="auto"/>
                <w:kern w:val="2"/>
                <w:sz w:val="24"/>
                <w:szCs w:val="24"/>
                <w:highlight w:val="none"/>
                <w:lang w:val="en-US" w:eastAsia="zh-CN" w:bidi="ar-SA"/>
              </w:rPr>
              <w:t>7.535</w:t>
            </w:r>
            <w:r>
              <w:rPr>
                <w:rFonts w:hint="default" w:ascii="Times New Roman" w:hAnsi="Times New Roman" w:eastAsia="宋体" w:cs="Times New Roman"/>
                <w:color w:val="auto"/>
                <w:kern w:val="2"/>
                <w:sz w:val="24"/>
                <w:szCs w:val="24"/>
                <w:highlight w:val="none"/>
                <w:lang w:val="zh-CN" w:eastAsia="zh-CN" w:bidi="ar-SA"/>
              </w:rPr>
              <w:t>mmHg</w:t>
            </w:r>
            <w:r>
              <w:rPr>
                <w:rFonts w:hint="eastAsia"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蒙砂槽</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蒸</w:t>
            </w:r>
            <w:r>
              <w:rPr>
                <w:rFonts w:hint="eastAsia" w:ascii="Times New Roman" w:hAnsi="Times New Roman" w:eastAsia="宋体" w:cs="Times New Roman"/>
                <w:color w:val="auto"/>
                <w:kern w:val="2"/>
                <w:sz w:val="24"/>
                <w:szCs w:val="24"/>
                <w:highlight w:val="none"/>
                <w:lang w:val="zh-CN" w:eastAsia="zh-CN" w:bidi="ar-SA"/>
              </w:rPr>
              <w:t>发</w:t>
            </w:r>
            <w:r>
              <w:rPr>
                <w:rFonts w:hint="default" w:ascii="Times New Roman" w:hAnsi="Times New Roman" w:eastAsia="宋体" w:cs="Times New Roman"/>
                <w:color w:val="auto"/>
                <w:kern w:val="2"/>
                <w:sz w:val="24"/>
                <w:szCs w:val="24"/>
                <w:highlight w:val="none"/>
                <w:lang w:val="zh-CN" w:eastAsia="zh-CN" w:bidi="ar-SA"/>
              </w:rPr>
              <w:t>表面积为</w:t>
            </w:r>
            <w:r>
              <w:rPr>
                <w:rFonts w:hint="eastAsia" w:cs="Times New Roman"/>
                <w:color w:val="auto"/>
                <w:kern w:val="2"/>
                <w:sz w:val="24"/>
                <w:szCs w:val="24"/>
                <w:highlight w:val="none"/>
                <w:lang w:val="en-US" w:eastAsia="zh-CN" w:bidi="ar-SA"/>
              </w:rPr>
              <w:t>1.96</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2</w:t>
            </w:r>
            <w:r>
              <w:rPr>
                <w:rFonts w:hint="default" w:ascii="Times New Roman" w:hAnsi="Times New Roman" w:eastAsia="宋体" w:cs="Times New Roman"/>
                <w:color w:val="auto"/>
                <w:kern w:val="2"/>
                <w:sz w:val="24"/>
                <w:szCs w:val="24"/>
                <w:highlight w:val="none"/>
                <w:lang w:val="zh-CN" w:eastAsia="zh-CN" w:bidi="ar-SA"/>
              </w:rPr>
              <w:t>。则</w:t>
            </w:r>
            <w:r>
              <w:rPr>
                <w:rFonts w:hint="eastAsia" w:cs="Times New Roman"/>
                <w:color w:val="auto"/>
                <w:kern w:val="2"/>
                <w:sz w:val="24"/>
                <w:szCs w:val="24"/>
                <w:highlight w:val="none"/>
                <w:lang w:val="zh-CN" w:eastAsia="zh-CN" w:bidi="ar-SA"/>
              </w:rPr>
              <w:t>氟化氢</w:t>
            </w:r>
            <w:r>
              <w:rPr>
                <w:rFonts w:hint="default" w:ascii="Times New Roman" w:hAnsi="Times New Roman" w:eastAsia="宋体" w:cs="Times New Roman"/>
                <w:color w:val="auto"/>
                <w:kern w:val="2"/>
                <w:sz w:val="24"/>
                <w:szCs w:val="24"/>
                <w:highlight w:val="none"/>
                <w:lang w:val="zh-CN" w:eastAsia="zh-CN" w:bidi="ar-SA"/>
              </w:rPr>
              <w:t>的产生速率为</w:t>
            </w:r>
            <w:r>
              <w:rPr>
                <w:rFonts w:hint="eastAsia" w:cs="Times New Roman"/>
                <w:color w:val="auto"/>
                <w:kern w:val="2"/>
                <w:sz w:val="24"/>
                <w:szCs w:val="24"/>
                <w:highlight w:val="none"/>
                <w:lang w:val="en-US" w:eastAsia="zh-CN" w:bidi="ar-SA"/>
              </w:rPr>
              <w:t>0.4311</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。该工序</w:t>
            </w:r>
            <w:r>
              <w:rPr>
                <w:rFonts w:hint="default" w:ascii="Times New Roman" w:hAnsi="Times New Roman" w:eastAsia="宋体" w:cs="Times New Roman"/>
                <w:color w:val="auto"/>
                <w:kern w:val="2"/>
                <w:sz w:val="24"/>
                <w:szCs w:val="24"/>
                <w:highlight w:val="none"/>
                <w:lang w:val="zh-CN" w:eastAsia="zh-CN" w:bidi="ar-SA"/>
              </w:rPr>
              <w:t>每天</w:t>
            </w:r>
            <w:r>
              <w:rPr>
                <w:rFonts w:hint="eastAsia" w:cs="Times New Roman"/>
                <w:color w:val="auto"/>
                <w:kern w:val="2"/>
                <w:sz w:val="24"/>
                <w:szCs w:val="24"/>
                <w:highlight w:val="none"/>
                <w:lang w:val="zh-CN" w:eastAsia="zh-CN" w:bidi="ar-SA"/>
              </w:rPr>
              <w:t>蒙砂</w:t>
            </w:r>
            <w:r>
              <w:rPr>
                <w:rFonts w:hint="default" w:ascii="Times New Roman" w:hAnsi="Times New Roman" w:eastAsia="宋体" w:cs="Times New Roman"/>
                <w:color w:val="auto"/>
                <w:kern w:val="2"/>
                <w:sz w:val="24"/>
                <w:szCs w:val="24"/>
                <w:highlight w:val="none"/>
                <w:lang w:val="zh-CN" w:eastAsia="zh-CN" w:bidi="ar-SA"/>
              </w:rPr>
              <w:t>时间</w:t>
            </w:r>
            <w:r>
              <w:rPr>
                <w:rFonts w:hint="eastAsia" w:cs="Times New Roman"/>
                <w:color w:val="auto"/>
                <w:kern w:val="2"/>
                <w:sz w:val="24"/>
                <w:szCs w:val="24"/>
                <w:highlight w:val="none"/>
                <w:lang w:val="zh-CN" w:eastAsia="zh-CN" w:bidi="ar-SA"/>
              </w:rPr>
              <w:t>为</w:t>
            </w:r>
            <w:r>
              <w:rPr>
                <w:rFonts w:hint="eastAsia" w:cs="Times New Roman"/>
                <w:color w:val="auto"/>
                <w:kern w:val="2"/>
                <w:sz w:val="24"/>
                <w:szCs w:val="24"/>
                <w:highlight w:val="none"/>
                <w:lang w:val="en-US" w:eastAsia="zh-CN" w:bidi="ar-SA"/>
              </w:rPr>
              <w:t>16</w:t>
            </w:r>
            <w:r>
              <w:rPr>
                <w:rFonts w:hint="default" w:ascii="Times New Roman" w:hAnsi="Times New Roman" w:eastAsia="宋体" w:cs="Times New Roman"/>
                <w:color w:val="auto"/>
                <w:kern w:val="2"/>
                <w:sz w:val="24"/>
                <w:szCs w:val="24"/>
                <w:highlight w:val="none"/>
                <w:lang w:val="zh-CN" w:eastAsia="zh-CN" w:bidi="ar-SA"/>
              </w:rPr>
              <w:t>h，年运行300天，年有效工作时间为</w:t>
            </w:r>
            <w:r>
              <w:rPr>
                <w:rFonts w:hint="eastAsia" w:cs="Times New Roman"/>
                <w:color w:val="auto"/>
                <w:kern w:val="2"/>
                <w:sz w:val="24"/>
                <w:szCs w:val="24"/>
                <w:highlight w:val="none"/>
                <w:lang w:val="en-US" w:eastAsia="zh-CN" w:bidi="ar-SA"/>
              </w:rPr>
              <w:t>4800</w:t>
            </w:r>
            <w:r>
              <w:rPr>
                <w:rFonts w:hint="default" w:ascii="Times New Roman" w:hAnsi="Times New Roman" w:eastAsia="宋体" w:cs="Times New Roman"/>
                <w:color w:val="auto"/>
                <w:kern w:val="2"/>
                <w:sz w:val="24"/>
                <w:szCs w:val="24"/>
                <w:highlight w:val="none"/>
                <w:lang w:val="zh-CN" w:eastAsia="zh-CN" w:bidi="ar-SA"/>
              </w:rPr>
              <w:t>h，则</w:t>
            </w:r>
            <w:r>
              <w:rPr>
                <w:rFonts w:hint="eastAsia" w:cs="Times New Roman"/>
                <w:color w:val="auto"/>
                <w:kern w:val="2"/>
                <w:sz w:val="24"/>
                <w:szCs w:val="24"/>
                <w:highlight w:val="none"/>
                <w:lang w:val="zh-CN" w:eastAsia="zh-CN" w:bidi="ar-SA"/>
              </w:rPr>
              <w:t>氟化氢</w:t>
            </w:r>
            <w:r>
              <w:rPr>
                <w:rFonts w:hint="default" w:ascii="Times New Roman" w:hAnsi="Times New Roman" w:eastAsia="宋体" w:cs="Times New Roman"/>
                <w:color w:val="auto"/>
                <w:kern w:val="2"/>
                <w:sz w:val="24"/>
                <w:szCs w:val="24"/>
                <w:highlight w:val="none"/>
                <w:lang w:val="zh-CN" w:eastAsia="zh-CN" w:bidi="ar-SA"/>
              </w:rPr>
              <w:t>的年产生量为</w:t>
            </w:r>
            <w:r>
              <w:rPr>
                <w:rFonts w:hint="eastAsia" w:cs="Times New Roman"/>
                <w:color w:val="auto"/>
                <w:kern w:val="2"/>
                <w:sz w:val="24"/>
                <w:szCs w:val="24"/>
                <w:highlight w:val="none"/>
                <w:lang w:val="en-US" w:eastAsia="zh-CN" w:bidi="ar-SA"/>
              </w:rPr>
              <w:t>2.0693</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。封</w:t>
            </w:r>
            <w:r>
              <w:rPr>
                <w:rFonts w:hint="eastAsia" w:ascii="Times New Roman" w:hAnsi="Times New Roman" w:cs="Times New Roman"/>
                <w:color w:val="auto"/>
                <w:kern w:val="2"/>
                <w:sz w:val="24"/>
                <w:szCs w:val="24"/>
                <w:highlight w:val="none"/>
                <w:lang w:val="zh-CN" w:eastAsia="zh-CN" w:bidi="ar-SA"/>
              </w:rPr>
              <w:t>闭</w:t>
            </w:r>
            <w:r>
              <w:rPr>
                <w:rFonts w:hint="eastAsia" w:cs="Times New Roman"/>
                <w:color w:val="auto"/>
                <w:kern w:val="2"/>
                <w:sz w:val="24"/>
                <w:szCs w:val="24"/>
                <w:highlight w:val="none"/>
                <w:lang w:val="zh-CN" w:eastAsia="zh-CN" w:bidi="ar-SA"/>
              </w:rPr>
              <w:t>生产车间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则该工序有组织氟化氢的产生量为</w:t>
            </w:r>
            <w:r>
              <w:rPr>
                <w:rFonts w:hint="eastAsia" w:cs="Times New Roman"/>
                <w:color w:val="auto"/>
                <w:kern w:val="2"/>
                <w:sz w:val="24"/>
                <w:szCs w:val="24"/>
                <w:highlight w:val="none"/>
                <w:lang w:val="en-US" w:eastAsia="zh-CN" w:bidi="ar-SA"/>
              </w:rPr>
              <w:t>1.8624</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产生速率为</w:t>
            </w:r>
            <w:r>
              <w:rPr>
                <w:rFonts w:hint="eastAsia" w:cs="Times New Roman"/>
                <w:color w:val="auto"/>
                <w:kern w:val="2"/>
                <w:sz w:val="24"/>
                <w:szCs w:val="24"/>
                <w:highlight w:val="none"/>
                <w:lang w:val="en-US" w:eastAsia="zh-CN" w:bidi="ar-SA"/>
              </w:rPr>
              <w:t>0.3880</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5D5B38E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olor w:val="auto"/>
                <w:highlight w:val="none"/>
                <w:lang w:val="zh-CN" w:eastAsia="zh-CN"/>
              </w:rPr>
            </w:pPr>
            <w:r>
              <w:rPr>
                <w:rFonts w:hint="eastAsia" w:cs="Times New Roman"/>
                <w:color w:val="auto"/>
                <w:kern w:val="2"/>
                <w:sz w:val="24"/>
                <w:szCs w:val="24"/>
                <w:highlight w:val="none"/>
                <w:lang w:val="zh-CN" w:eastAsia="zh-CN" w:bidi="ar-SA"/>
              </w:rPr>
              <w:t>封</w:t>
            </w:r>
            <w:r>
              <w:rPr>
                <w:rFonts w:hint="eastAsia" w:ascii="Times New Roman" w:hAnsi="Times New Roman" w:eastAsia="宋体" w:cs="Times New Roman"/>
                <w:color w:val="auto"/>
                <w:kern w:val="2"/>
                <w:sz w:val="24"/>
                <w:szCs w:val="24"/>
                <w:highlight w:val="none"/>
                <w:lang w:val="zh-CN" w:eastAsia="zh-CN" w:bidi="ar-SA"/>
              </w:rPr>
              <w:t>闭生产</w:t>
            </w:r>
            <w:r>
              <w:rPr>
                <w:rFonts w:hint="eastAsia" w:cs="Times New Roman"/>
                <w:color w:val="auto"/>
                <w:kern w:val="2"/>
                <w:sz w:val="24"/>
                <w:szCs w:val="24"/>
                <w:highlight w:val="none"/>
                <w:lang w:val="zh-CN" w:eastAsia="zh-CN" w:bidi="ar-SA"/>
              </w:rPr>
              <w:t>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eastAsia="宋体"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color w:val="auto"/>
                <w:sz w:val="24"/>
                <w:highlight w:val="none"/>
                <w:lang w:val="zh-CN"/>
              </w:rPr>
              <w:t>则剩余</w:t>
            </w:r>
            <w:r>
              <w:rPr>
                <w:rFonts w:hint="eastAsia"/>
                <w:color w:val="auto"/>
                <w:sz w:val="24"/>
                <w:highlight w:val="none"/>
              </w:rPr>
              <w:t>10</w:t>
            </w:r>
            <w:r>
              <w:rPr>
                <w:color w:val="auto"/>
                <w:sz w:val="24"/>
                <w:highlight w:val="none"/>
                <w:lang w:val="zh-CN"/>
              </w:rPr>
              <w:t>%未被</w:t>
            </w:r>
            <w:r>
              <w:rPr>
                <w:rFonts w:hint="eastAsia"/>
                <w:color w:val="auto"/>
                <w:sz w:val="24"/>
                <w:highlight w:val="none"/>
                <w:lang w:val="zh-CN"/>
              </w:rPr>
              <w:t>集气管道</w:t>
            </w:r>
            <w:r>
              <w:rPr>
                <w:color w:val="auto"/>
                <w:sz w:val="24"/>
                <w:highlight w:val="none"/>
                <w:lang w:val="zh-CN"/>
              </w:rPr>
              <w:t>收集的</w:t>
            </w:r>
            <w:r>
              <w:rPr>
                <w:rFonts w:hint="eastAsia"/>
                <w:color w:val="auto"/>
                <w:sz w:val="24"/>
                <w:highlight w:val="none"/>
                <w:lang w:val="zh-CN"/>
              </w:rPr>
              <w:t>氟化氢</w:t>
            </w:r>
            <w:r>
              <w:rPr>
                <w:color w:val="auto"/>
                <w:sz w:val="24"/>
                <w:highlight w:val="none"/>
                <w:lang w:val="zh-CN"/>
              </w:rPr>
              <w:t>在</w:t>
            </w:r>
            <w:r>
              <w:rPr>
                <w:rFonts w:hint="eastAsia"/>
                <w:color w:val="auto"/>
                <w:sz w:val="24"/>
                <w:highlight w:val="none"/>
                <w:lang w:val="zh-CN"/>
              </w:rPr>
              <w:t>车间</w:t>
            </w:r>
            <w:r>
              <w:rPr>
                <w:color w:val="auto"/>
                <w:sz w:val="24"/>
                <w:highlight w:val="none"/>
                <w:lang w:val="zh-CN"/>
              </w:rPr>
              <w:t>内</w:t>
            </w:r>
            <w:r>
              <w:rPr>
                <w:rFonts w:hint="eastAsia"/>
                <w:color w:val="auto"/>
                <w:sz w:val="24"/>
                <w:highlight w:val="none"/>
                <w:lang w:val="zh-CN"/>
              </w:rPr>
              <w:t>呈</w:t>
            </w:r>
            <w:r>
              <w:rPr>
                <w:color w:val="auto"/>
                <w:sz w:val="24"/>
                <w:highlight w:val="none"/>
                <w:lang w:val="zh-CN"/>
              </w:rPr>
              <w:t>无组织排放</w:t>
            </w:r>
            <w:r>
              <w:rPr>
                <w:rFonts w:hint="eastAsia"/>
                <w:color w:val="auto"/>
                <w:sz w:val="24"/>
                <w:highlight w:val="none"/>
                <w:lang w:val="zh-CN"/>
              </w:rPr>
              <w:t>，故</w:t>
            </w:r>
            <w:r>
              <w:rPr>
                <w:rFonts w:hint="eastAsia"/>
                <w:color w:val="auto"/>
                <w:sz w:val="24"/>
                <w:highlight w:val="none"/>
                <w:lang w:eastAsia="zh-CN"/>
              </w:rPr>
              <w:t>本工序</w:t>
            </w:r>
            <w:r>
              <w:rPr>
                <w:rFonts w:hint="eastAsia"/>
                <w:color w:val="auto"/>
                <w:sz w:val="24"/>
                <w:highlight w:val="none"/>
              </w:rPr>
              <w:t>氟化氢</w:t>
            </w:r>
            <w:r>
              <w:rPr>
                <w:color w:val="auto"/>
                <w:sz w:val="24"/>
                <w:highlight w:val="none"/>
                <w:lang w:val="zh-CN"/>
              </w:rPr>
              <w:t>无组织排放量为</w:t>
            </w:r>
            <w:r>
              <w:rPr>
                <w:rFonts w:hint="eastAsia"/>
                <w:color w:val="auto"/>
                <w:sz w:val="24"/>
                <w:highlight w:val="none"/>
                <w:lang w:val="en-US" w:eastAsia="zh-CN"/>
              </w:rPr>
              <w:t>0.2069</w:t>
            </w:r>
            <w:r>
              <w:rPr>
                <w:color w:val="auto"/>
                <w:sz w:val="24"/>
                <w:highlight w:val="none"/>
                <w:lang w:val="zh-CN"/>
              </w:rPr>
              <w:t>t/a</w:t>
            </w:r>
            <w:r>
              <w:rPr>
                <w:rFonts w:hint="eastAsia"/>
                <w:color w:val="auto"/>
                <w:sz w:val="24"/>
                <w:highlight w:val="none"/>
                <w:lang w:val="zh-CN"/>
              </w:rPr>
              <w:t>，</w:t>
            </w:r>
            <w:r>
              <w:rPr>
                <w:rFonts w:hint="eastAsia" w:cs="Times New Roman"/>
                <w:color w:val="auto"/>
                <w:kern w:val="2"/>
                <w:sz w:val="24"/>
                <w:szCs w:val="24"/>
                <w:highlight w:val="none"/>
                <w:lang w:val="zh-CN" w:eastAsia="zh-CN" w:bidi="ar-SA"/>
              </w:rPr>
              <w:t>排放速率为</w:t>
            </w:r>
            <w:r>
              <w:rPr>
                <w:rFonts w:hint="eastAsia" w:cs="Times New Roman"/>
                <w:color w:val="auto"/>
                <w:kern w:val="2"/>
                <w:sz w:val="24"/>
                <w:szCs w:val="24"/>
                <w:highlight w:val="none"/>
                <w:lang w:val="en-US" w:eastAsia="zh-CN" w:bidi="ar-SA"/>
              </w:rPr>
              <w:t>0.0431</w:t>
            </w:r>
            <w:r>
              <w:rPr>
                <w:rFonts w:hint="default" w:ascii="Times New Roman" w:hAnsi="Times New Roman" w:eastAsia="宋体" w:cs="Times New Roman"/>
                <w:color w:val="auto"/>
                <w:kern w:val="2"/>
                <w:sz w:val="24"/>
                <w:szCs w:val="24"/>
                <w:highlight w:val="none"/>
                <w:lang w:val="zh-CN" w:eastAsia="zh-CN" w:bidi="ar-SA"/>
              </w:rPr>
              <w:t>kg/h</w:t>
            </w:r>
            <w:r>
              <w:rPr>
                <w:rFonts w:hint="eastAsia" w:ascii="Times New Roman" w:hAnsi="Times New Roman" w:eastAsia="宋体" w:cs="Times New Roman"/>
                <w:color w:val="auto"/>
                <w:kern w:val="2"/>
                <w:sz w:val="24"/>
                <w:szCs w:val="24"/>
                <w:highlight w:val="none"/>
                <w:lang w:val="zh-CN" w:eastAsia="zh-CN" w:bidi="ar-SA"/>
              </w:rPr>
              <w:t>。</w:t>
            </w:r>
          </w:p>
          <w:p w14:paraId="0F5196B8">
            <w:pPr>
              <w:keepNext w:val="0"/>
              <w:keepLines w:val="0"/>
              <w:pageBreakBefore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200" w:right="0" w:rightChars="0"/>
              <w:jc w:val="both"/>
              <w:textAlignment w:val="baseline"/>
              <w:rPr>
                <w:rFonts w:hint="eastAsia" w:cs="Times New Roman"/>
                <w:b/>
                <w:bCs/>
                <w:color w:val="auto"/>
                <w:kern w:val="2"/>
                <w:sz w:val="24"/>
                <w:szCs w:val="24"/>
                <w:highlight w:val="none"/>
                <w:lang w:val="zh-CN" w:eastAsia="zh-CN" w:bidi="ar-SA"/>
              </w:rPr>
            </w:pPr>
            <w:r>
              <w:rPr>
                <w:rFonts w:hint="eastAsia" w:cs="Times New Roman"/>
                <w:b/>
                <w:bCs/>
                <w:color w:val="auto"/>
                <w:kern w:val="2"/>
                <w:sz w:val="24"/>
                <w:szCs w:val="24"/>
                <w:highlight w:val="none"/>
                <w:lang w:val="en-US" w:eastAsia="zh-CN" w:bidi="ar-SA"/>
              </w:rPr>
              <w:t>4）</w:t>
            </w:r>
            <w:r>
              <w:rPr>
                <w:rFonts w:hint="eastAsia" w:cs="Times New Roman"/>
                <w:b/>
                <w:bCs/>
                <w:color w:val="auto"/>
                <w:kern w:val="2"/>
                <w:sz w:val="24"/>
                <w:szCs w:val="24"/>
                <w:highlight w:val="none"/>
                <w:lang w:val="zh-CN" w:eastAsia="zh-CN" w:bidi="ar-SA"/>
              </w:rPr>
              <w:t>混合废气</w:t>
            </w:r>
          </w:p>
          <w:p w14:paraId="67024AC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firstLine="480" w:firstLineChars="200"/>
              <w:jc w:val="both"/>
              <w:textAlignment w:val="baseline"/>
              <w:rPr>
                <w:rFonts w:hint="eastAsia" w:cs="Times New Roman"/>
                <w:b/>
                <w:bCs/>
                <w:color w:val="auto"/>
                <w:sz w:val="24"/>
                <w:highlight w:val="none"/>
                <w:shd w:val="clear" w:color="auto" w:fill="auto"/>
                <w:lang w:val="en-US" w:eastAsia="zh-CN"/>
              </w:rPr>
            </w:pPr>
            <w:r>
              <w:rPr>
                <w:rFonts w:hint="eastAsia"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zh-CN" w:eastAsia="zh-CN" w:bidi="ar-SA"/>
              </w:rPr>
              <w:t>硫酸稀释、蒙砂液配制与蒙砂</w:t>
            </w:r>
            <w:r>
              <w:rPr>
                <w:rFonts w:hint="eastAsia" w:cs="Times New Roman"/>
                <w:color w:val="auto"/>
                <w:kern w:val="2"/>
                <w:sz w:val="24"/>
                <w:szCs w:val="24"/>
                <w:highlight w:val="none"/>
                <w:lang w:val="zh-CN" w:eastAsia="zh-CN" w:bidi="ar-SA"/>
              </w:rPr>
              <w:t>过程</w:t>
            </w:r>
            <w:r>
              <w:rPr>
                <w:rFonts w:hint="eastAsia" w:ascii="Times New Roman" w:hAnsi="Times New Roman" w:eastAsia="宋体" w:cs="Times New Roman"/>
                <w:color w:val="auto"/>
                <w:kern w:val="2"/>
                <w:sz w:val="24"/>
                <w:szCs w:val="24"/>
                <w:highlight w:val="none"/>
                <w:lang w:val="zh-CN" w:eastAsia="zh-CN" w:bidi="ar-SA"/>
              </w:rPr>
              <w:t>共同置于封闭生产车间内，生产车间保持负压状态，并在上方设置集气管道，</w:t>
            </w:r>
            <w:r>
              <w:rPr>
                <w:rFonts w:hint="default" w:ascii="Times New Roman" w:hAnsi="Times New Roman" w:eastAsia="宋体" w:cs="Times New Roman"/>
                <w:color w:val="auto"/>
                <w:kern w:val="2"/>
                <w:sz w:val="24"/>
                <w:szCs w:val="24"/>
                <w:highlight w:val="none"/>
                <w:lang w:val="zh-CN" w:eastAsia="zh-CN" w:bidi="ar-SA"/>
              </w:rPr>
              <w:t>硫酸挥发废气、配料废气</w:t>
            </w:r>
            <w:r>
              <w:rPr>
                <w:rFonts w:hint="eastAsia" w:ascii="Times New Roman" w:hAnsi="Times New Roman" w:eastAsia="宋体" w:cs="Times New Roman"/>
                <w:color w:val="auto"/>
                <w:kern w:val="2"/>
                <w:sz w:val="24"/>
                <w:szCs w:val="24"/>
                <w:highlight w:val="none"/>
                <w:lang w:val="zh-CN" w:eastAsia="zh-CN" w:bidi="ar-SA"/>
              </w:rPr>
              <w:t>和蒙砂</w:t>
            </w:r>
            <w:r>
              <w:rPr>
                <w:rFonts w:hint="default" w:ascii="Times New Roman" w:hAnsi="Times New Roman" w:eastAsia="宋体" w:cs="Times New Roman"/>
                <w:color w:val="auto"/>
                <w:kern w:val="2"/>
                <w:sz w:val="24"/>
                <w:szCs w:val="24"/>
                <w:highlight w:val="none"/>
                <w:lang w:val="zh-CN" w:eastAsia="zh-CN" w:bidi="ar-SA"/>
              </w:rPr>
              <w:t>废气由</w:t>
            </w:r>
            <w:r>
              <w:rPr>
                <w:rFonts w:hint="eastAsia" w:cs="Times New Roman"/>
                <w:color w:val="auto"/>
                <w:kern w:val="2"/>
                <w:sz w:val="24"/>
                <w:szCs w:val="24"/>
                <w:highlight w:val="none"/>
                <w:lang w:val="zh-CN" w:eastAsia="zh-CN" w:bidi="ar-SA"/>
              </w:rPr>
              <w:t>封</w:t>
            </w:r>
            <w:r>
              <w:rPr>
                <w:rFonts w:hint="default" w:ascii="Times New Roman" w:hAnsi="Times New Roman" w:eastAsia="宋体" w:cs="Times New Roman"/>
                <w:color w:val="auto"/>
                <w:kern w:val="2"/>
                <w:sz w:val="24"/>
                <w:szCs w:val="24"/>
                <w:highlight w:val="none"/>
                <w:lang w:val="zh-CN" w:eastAsia="zh-CN" w:bidi="ar-SA"/>
              </w:rPr>
              <w:t>闭</w:t>
            </w:r>
            <w:r>
              <w:rPr>
                <w:rFonts w:hint="eastAsia" w:cs="Times New Roman"/>
                <w:color w:val="auto"/>
                <w:kern w:val="2"/>
                <w:sz w:val="24"/>
                <w:szCs w:val="24"/>
                <w:highlight w:val="none"/>
                <w:lang w:val="zh-CN" w:eastAsia="zh-CN" w:bidi="ar-SA"/>
              </w:rPr>
              <w:t>生产车间</w:t>
            </w:r>
            <w:r>
              <w:rPr>
                <w:rFonts w:hint="default" w:ascii="Times New Roman" w:hAnsi="Times New Roman" w:eastAsia="宋体" w:cs="Times New Roman"/>
                <w:color w:val="auto"/>
                <w:kern w:val="2"/>
                <w:sz w:val="24"/>
                <w:szCs w:val="24"/>
                <w:highlight w:val="none"/>
                <w:lang w:val="en-US" w:eastAsia="zh-CN" w:bidi="ar-SA"/>
              </w:rPr>
              <w:t>集气管道</w:t>
            </w:r>
            <w:r>
              <w:rPr>
                <w:rFonts w:hint="default" w:ascii="Times New Roman" w:hAnsi="Times New Roman" w:eastAsia="宋体" w:cs="Times New Roman"/>
                <w:color w:val="auto"/>
                <w:kern w:val="2"/>
                <w:sz w:val="24"/>
                <w:szCs w:val="24"/>
                <w:highlight w:val="none"/>
                <w:lang w:val="zh-CN" w:eastAsia="zh-CN" w:bidi="ar-SA"/>
              </w:rPr>
              <w:t>收集后，</w:t>
            </w:r>
            <w:r>
              <w:rPr>
                <w:rFonts w:hint="eastAsia" w:ascii="Times New Roman" w:hAnsi="Times New Roman" w:eastAsia="宋体" w:cs="Times New Roman"/>
                <w:color w:val="auto"/>
                <w:kern w:val="2"/>
                <w:sz w:val="24"/>
                <w:szCs w:val="24"/>
                <w:highlight w:val="none"/>
                <w:lang w:val="zh-CN" w:eastAsia="zh-CN" w:bidi="ar-SA"/>
              </w:rPr>
              <w:t>通过</w:t>
            </w:r>
            <w:r>
              <w:rPr>
                <w:rFonts w:hint="default" w:ascii="Times New Roman" w:hAnsi="Times New Roman" w:eastAsia="宋体" w:cs="Times New Roman"/>
                <w:color w:val="auto"/>
                <w:kern w:val="2"/>
                <w:sz w:val="24"/>
                <w:szCs w:val="24"/>
                <w:highlight w:val="none"/>
                <w:lang w:val="zh-CN" w:eastAsia="zh-CN" w:bidi="ar-SA"/>
              </w:rPr>
              <w:t>一套碱液喷淋洗涤塔废气治理设施处理，</w:t>
            </w:r>
            <w:r>
              <w:rPr>
                <w:rFonts w:hint="eastAsia" w:ascii="Times New Roman" w:hAnsi="Times New Roman" w:eastAsia="宋体" w:cs="Times New Roman"/>
                <w:color w:val="auto"/>
                <w:kern w:val="2"/>
                <w:sz w:val="24"/>
                <w:szCs w:val="24"/>
                <w:highlight w:val="none"/>
                <w:lang w:val="zh-CN" w:eastAsia="zh-CN" w:bidi="ar-SA"/>
              </w:rPr>
              <w:t>后</w:t>
            </w:r>
            <w:r>
              <w:rPr>
                <w:rFonts w:hint="default" w:ascii="Times New Roman" w:hAnsi="Times New Roman" w:eastAsia="宋体" w:cs="Times New Roman"/>
                <w:color w:val="auto"/>
                <w:kern w:val="2"/>
                <w:sz w:val="24"/>
                <w:szCs w:val="24"/>
                <w:highlight w:val="none"/>
                <w:lang w:val="zh-CN" w:eastAsia="zh-CN" w:bidi="ar-SA"/>
              </w:rPr>
              <w:t>经15m高排气筒（</w:t>
            </w:r>
            <w:r>
              <w:rPr>
                <w:rFonts w:hint="default" w:ascii="Times New Roman" w:hAnsi="Times New Roman" w:eastAsia="宋体" w:cs="Times New Roman"/>
                <w:color w:val="auto"/>
                <w:kern w:val="2"/>
                <w:sz w:val="24"/>
                <w:szCs w:val="24"/>
                <w:highlight w:val="none"/>
                <w:lang w:val="en-US" w:eastAsia="zh-CN" w:bidi="ar-SA"/>
              </w:rPr>
              <w:t>DA002</w:t>
            </w:r>
            <w:r>
              <w:rPr>
                <w:rFonts w:hint="default" w:ascii="Times New Roman" w:hAnsi="Times New Roman" w:eastAsia="宋体" w:cs="Times New Roman"/>
                <w:color w:val="auto"/>
                <w:kern w:val="2"/>
                <w:sz w:val="24"/>
                <w:szCs w:val="24"/>
                <w:highlight w:val="none"/>
                <w:lang w:val="zh-CN" w:eastAsia="zh-CN" w:bidi="ar-SA"/>
              </w:rPr>
              <w:t>）排放</w:t>
            </w:r>
            <w:r>
              <w:rPr>
                <w:rFonts w:hint="eastAsia" w:cs="Times New Roman"/>
                <w:color w:val="auto"/>
                <w:kern w:val="2"/>
                <w:sz w:val="24"/>
                <w:szCs w:val="24"/>
                <w:highlight w:val="none"/>
                <w:lang w:val="zh-CN" w:eastAsia="zh-CN" w:bidi="ar-SA"/>
              </w:rPr>
              <w:t>（</w:t>
            </w:r>
            <w:r>
              <w:rPr>
                <w:rFonts w:hint="eastAsia" w:cs="Times New Roman"/>
                <w:color w:val="auto"/>
                <w:sz w:val="24"/>
                <w:szCs w:val="24"/>
                <w:highlight w:val="none"/>
                <w:lang w:val="en-US" w:eastAsia="zh-CN"/>
              </w:rPr>
              <w:t>三个工序均置于同一个封闭生产车间，</w:t>
            </w:r>
            <w:r>
              <w:rPr>
                <w:rFonts w:hint="eastAsia" w:ascii="Times New Roman" w:hAnsi="Times New Roman" w:cs="Times New Roman"/>
                <w:color w:val="auto"/>
                <w:sz w:val="24"/>
                <w:szCs w:val="24"/>
                <w:highlight w:val="none"/>
                <w:lang w:val="en-US" w:eastAsia="zh-CN"/>
              </w:rPr>
              <w:t>共用一套废气治理</w:t>
            </w:r>
            <w:r>
              <w:rPr>
                <w:rFonts w:hint="eastAsia" w:cs="Times New Roman"/>
                <w:color w:val="auto"/>
                <w:sz w:val="24"/>
                <w:szCs w:val="24"/>
                <w:highlight w:val="none"/>
                <w:lang w:val="en-US" w:eastAsia="zh-CN"/>
              </w:rPr>
              <w:t>设</w:t>
            </w:r>
            <w:r>
              <w:rPr>
                <w:rFonts w:hint="eastAsia" w:ascii="Times New Roman" w:hAnsi="Times New Roman" w:cs="Times New Roman"/>
                <w:color w:val="auto"/>
                <w:sz w:val="24"/>
                <w:szCs w:val="24"/>
                <w:highlight w:val="none"/>
                <w:lang w:val="en-US" w:eastAsia="zh-CN"/>
              </w:rPr>
              <w:t>施）</w:t>
            </w:r>
            <w:r>
              <w:rPr>
                <w:rFonts w:hint="eastAsia" w:ascii="Times New Roman" w:hAnsi="Times New Roman" w:eastAsia="宋体" w:cs="Times New Roman"/>
                <w:color w:val="auto"/>
                <w:kern w:val="2"/>
                <w:sz w:val="24"/>
                <w:szCs w:val="24"/>
                <w:highlight w:val="none"/>
                <w:lang w:val="en-US" w:eastAsia="zh-CN" w:bidi="ar-SA"/>
              </w:rPr>
              <w:t>。</w:t>
            </w:r>
          </w:p>
          <w:p w14:paraId="477DE1B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both"/>
              <w:textAlignment w:val="baseline"/>
              <w:rPr>
                <w:rFonts w:hint="eastAsia" w:eastAsia="宋体" w:cs="Times New Roman"/>
                <w:b/>
                <w:bCs/>
                <w:color w:val="auto"/>
                <w:sz w:val="24"/>
                <w:highlight w:val="none"/>
                <w:shd w:val="clear" w:color="auto" w:fill="auto"/>
                <w:lang w:val="en-US" w:eastAsia="zh-CN"/>
              </w:rPr>
            </w:pPr>
            <w:r>
              <w:rPr>
                <w:rFonts w:hint="eastAsia" w:cs="Times New Roman"/>
                <w:b/>
                <w:bCs/>
                <w:color w:val="auto"/>
                <w:sz w:val="24"/>
                <w:highlight w:val="none"/>
                <w:shd w:val="clear" w:color="auto" w:fill="auto"/>
                <w:lang w:val="en-US" w:eastAsia="zh-CN"/>
              </w:rPr>
              <w:t>①有组织废气</w:t>
            </w:r>
          </w:p>
          <w:p w14:paraId="28BCBD9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zh-CN" w:eastAsia="zh-CN" w:bidi="ar-SA"/>
              </w:rPr>
              <w:t>本项目拟</w:t>
            </w:r>
            <w:r>
              <w:rPr>
                <w:rFonts w:hint="eastAsia" w:ascii="Times New Roman" w:hAnsi="Times New Roman" w:eastAsia="宋体" w:cs="Times New Roman"/>
                <w:color w:val="auto"/>
                <w:sz w:val="24"/>
                <w:highlight w:val="none"/>
                <w:lang w:val="en-US" w:eastAsia="zh-CN"/>
              </w:rPr>
              <w:t>配套设置的风机</w:t>
            </w:r>
            <w:r>
              <w:rPr>
                <w:rFonts w:hint="eastAsia" w:ascii="Times New Roman" w:hAnsi="Times New Roman" w:eastAsia="宋体" w:cs="Times New Roman"/>
                <w:color w:val="auto"/>
                <w:sz w:val="24"/>
                <w:highlight w:val="none"/>
                <w:lang w:val="zh-CN"/>
              </w:rPr>
              <w:t>风量为</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rPr>
              <w:t>0</w:t>
            </w:r>
            <w:r>
              <w:rPr>
                <w:rFonts w:hint="eastAsia" w:ascii="Times New Roman" w:hAnsi="Times New Roman" w:eastAsia="宋体" w:cs="Times New Roman"/>
                <w:color w:val="auto"/>
                <w:sz w:val="24"/>
                <w:highlight w:val="none"/>
                <w:lang w:val="zh-CN"/>
              </w:rPr>
              <w:t>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zh-CN"/>
              </w:rPr>
              <w:t>/h</w:t>
            </w:r>
            <w:r>
              <w:rPr>
                <w:rFonts w:hint="eastAsia" w:cs="Times New Roman"/>
                <w:color w:val="auto"/>
                <w:sz w:val="24"/>
                <w:highlight w:val="none"/>
                <w:lang w:val="zh-CN"/>
              </w:rPr>
              <w:t>，</w:t>
            </w:r>
            <w:r>
              <w:rPr>
                <w:rFonts w:hint="eastAsia" w:cs="Times New Roman"/>
                <w:color w:val="auto"/>
                <w:kern w:val="2"/>
                <w:sz w:val="24"/>
                <w:szCs w:val="24"/>
                <w:highlight w:val="none"/>
                <w:lang w:val="zh-CN" w:eastAsia="zh-CN" w:bidi="ar-SA"/>
              </w:rPr>
              <w:t>封</w:t>
            </w:r>
            <w:r>
              <w:rPr>
                <w:rFonts w:hint="eastAsia" w:ascii="Times New Roman" w:hAnsi="Times New Roman" w:cs="Times New Roman"/>
                <w:color w:val="auto"/>
                <w:kern w:val="2"/>
                <w:sz w:val="24"/>
                <w:szCs w:val="24"/>
                <w:highlight w:val="none"/>
                <w:lang w:val="zh-CN" w:eastAsia="zh-CN" w:bidi="ar-SA"/>
              </w:rPr>
              <w:t>闭</w:t>
            </w:r>
            <w:r>
              <w:rPr>
                <w:rFonts w:hint="eastAsia" w:cs="Times New Roman"/>
                <w:color w:val="auto"/>
                <w:kern w:val="2"/>
                <w:sz w:val="24"/>
                <w:szCs w:val="24"/>
                <w:highlight w:val="none"/>
                <w:lang w:val="zh-CN" w:eastAsia="zh-CN" w:bidi="ar-SA"/>
              </w:rPr>
              <w:t>生产车间</w:t>
            </w:r>
            <w:r>
              <w:rPr>
                <w:rFonts w:hint="default" w:ascii="Times New Roman" w:hAnsi="Times New Roman" w:eastAsia="宋体" w:cs="Times New Roman"/>
                <w:color w:val="auto"/>
                <w:kern w:val="2"/>
                <w:sz w:val="24"/>
                <w:szCs w:val="24"/>
                <w:highlight w:val="none"/>
                <w:lang w:val="zh-CN" w:eastAsia="zh-CN" w:bidi="ar-SA"/>
              </w:rPr>
              <w:t>集气</w:t>
            </w:r>
            <w:r>
              <w:rPr>
                <w:rFonts w:hint="eastAsia" w:ascii="Times New Roman" w:hAnsi="Times New Roman" w:cs="Times New Roman"/>
                <w:color w:val="auto"/>
                <w:kern w:val="2"/>
                <w:sz w:val="24"/>
                <w:szCs w:val="24"/>
                <w:highlight w:val="none"/>
                <w:lang w:val="zh-CN" w:eastAsia="zh-CN" w:bidi="ar-SA"/>
              </w:rPr>
              <w:t>管道</w:t>
            </w:r>
            <w:r>
              <w:rPr>
                <w:rFonts w:hint="default" w:ascii="Times New Roman" w:hAnsi="Times New Roman" w:eastAsia="宋体" w:cs="Times New Roman"/>
                <w:color w:val="auto"/>
                <w:kern w:val="2"/>
                <w:sz w:val="24"/>
                <w:szCs w:val="24"/>
                <w:highlight w:val="none"/>
                <w:lang w:val="zh-CN" w:eastAsia="zh-CN" w:bidi="ar-SA"/>
              </w:rPr>
              <w:t>的收集效率为9</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。综上分析，本项目有组织</w:t>
            </w:r>
            <w:r>
              <w:rPr>
                <w:rFonts w:hint="default" w:ascii="Times New Roman" w:hAnsi="Times New Roman" w:eastAsia="宋体" w:cs="Times New Roman"/>
                <w:color w:val="auto"/>
                <w:kern w:val="2"/>
                <w:sz w:val="24"/>
                <w:szCs w:val="24"/>
                <w:highlight w:val="none"/>
                <w:lang w:val="zh-CN" w:eastAsia="zh-CN" w:bidi="ar-SA"/>
              </w:rPr>
              <w:t>硫酸雾的</w:t>
            </w:r>
            <w:r>
              <w:rPr>
                <w:rFonts w:hint="eastAsia" w:cs="Times New Roman"/>
                <w:color w:val="auto"/>
                <w:kern w:val="2"/>
                <w:sz w:val="24"/>
                <w:szCs w:val="24"/>
                <w:highlight w:val="none"/>
                <w:lang w:val="zh-CN" w:eastAsia="zh-CN" w:bidi="ar-SA"/>
              </w:rPr>
              <w:t>产生</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0.00016</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，最大产生速率为</w:t>
            </w:r>
            <w:r>
              <w:rPr>
                <w:rFonts w:hint="eastAsia" w:cs="Times New Roman"/>
                <w:color w:val="auto"/>
                <w:kern w:val="2"/>
                <w:sz w:val="24"/>
                <w:szCs w:val="24"/>
                <w:highlight w:val="none"/>
                <w:lang w:val="en-US" w:eastAsia="zh-CN" w:bidi="ar-SA"/>
              </w:rPr>
              <w:t>0.0052</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，最大产生浓度为</w:t>
            </w:r>
            <w:r>
              <w:rPr>
                <w:rFonts w:hint="eastAsia" w:cs="Times New Roman"/>
                <w:color w:val="auto"/>
                <w:kern w:val="2"/>
                <w:sz w:val="24"/>
                <w:szCs w:val="24"/>
                <w:highlight w:val="none"/>
                <w:lang w:val="en-US" w:eastAsia="zh-CN" w:bidi="ar-SA"/>
              </w:rPr>
              <w:t>0.52</w:t>
            </w:r>
            <w:r>
              <w:rPr>
                <w:rFonts w:hint="default" w:ascii="Times New Roman" w:hAnsi="Times New Roman" w:eastAsia="宋体" w:cs="Times New Roman"/>
                <w:color w:val="auto"/>
                <w:kern w:val="2"/>
                <w:sz w:val="24"/>
                <w:szCs w:val="24"/>
                <w:highlight w:val="none"/>
                <w:lang w:val="zh-CN" w:eastAsia="zh-CN" w:bidi="ar-SA"/>
              </w:rPr>
              <w:t>mg/m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eastAsia" w:cs="Times New Roman"/>
                <w:color w:val="auto"/>
                <w:kern w:val="2"/>
                <w:sz w:val="24"/>
                <w:szCs w:val="24"/>
                <w:highlight w:val="none"/>
                <w:lang w:val="zh-CN" w:eastAsia="zh-CN" w:bidi="ar-SA"/>
              </w:rPr>
              <w:t>；有组织</w:t>
            </w:r>
            <w:r>
              <w:rPr>
                <w:rFonts w:hint="eastAsia" w:cs="Times New Roman"/>
                <w:color w:val="auto"/>
                <w:sz w:val="24"/>
                <w:highlight w:val="none"/>
                <w:lang w:val="zh-CN" w:eastAsia="zh-CN"/>
              </w:rPr>
              <w:t>氯化氢</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产生</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0.0584</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，产生速率为</w:t>
            </w:r>
            <w:r>
              <w:rPr>
                <w:rFonts w:hint="eastAsia" w:cs="Times New Roman"/>
                <w:color w:val="auto"/>
                <w:kern w:val="2"/>
                <w:sz w:val="24"/>
                <w:szCs w:val="24"/>
                <w:highlight w:val="none"/>
                <w:lang w:val="en-US" w:eastAsia="zh-CN" w:bidi="ar-SA"/>
              </w:rPr>
              <w:t>1.9467</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，产生浓度为</w:t>
            </w:r>
            <w:r>
              <w:rPr>
                <w:rFonts w:hint="eastAsia" w:cs="Times New Roman"/>
                <w:color w:val="auto"/>
                <w:kern w:val="2"/>
                <w:sz w:val="24"/>
                <w:szCs w:val="24"/>
                <w:highlight w:val="none"/>
                <w:lang w:val="en-US" w:eastAsia="zh-CN" w:bidi="ar-SA"/>
              </w:rPr>
              <w:t>194.67</w:t>
            </w:r>
            <w:r>
              <w:rPr>
                <w:rFonts w:hint="default" w:ascii="Times New Roman" w:hAnsi="Times New Roman" w:eastAsia="宋体" w:cs="Times New Roman"/>
                <w:color w:val="auto"/>
                <w:kern w:val="2"/>
                <w:sz w:val="24"/>
                <w:szCs w:val="24"/>
                <w:highlight w:val="none"/>
                <w:lang w:val="zh-CN" w:eastAsia="zh-CN" w:bidi="ar-SA"/>
              </w:rPr>
              <w:t>mg/m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eastAsia" w:cs="Times New Roman"/>
                <w:color w:val="auto"/>
                <w:kern w:val="2"/>
                <w:sz w:val="24"/>
                <w:szCs w:val="24"/>
                <w:highlight w:val="none"/>
                <w:lang w:val="zh-CN" w:eastAsia="zh-CN" w:bidi="ar-SA"/>
              </w:rPr>
              <w:t>；有组织颗粒物</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产生</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0.09</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，产生速率为</w:t>
            </w:r>
            <w:r>
              <w:rPr>
                <w:rFonts w:hint="eastAsia" w:cs="Times New Roman"/>
                <w:color w:val="auto"/>
                <w:kern w:val="2"/>
                <w:sz w:val="24"/>
                <w:szCs w:val="24"/>
                <w:highlight w:val="none"/>
                <w:lang w:val="en-US" w:eastAsia="zh-CN" w:bidi="ar-SA"/>
              </w:rPr>
              <w:t>0.75</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，产生浓度为</w:t>
            </w:r>
            <w:r>
              <w:rPr>
                <w:rFonts w:hint="eastAsia" w:cs="Times New Roman"/>
                <w:color w:val="auto"/>
                <w:kern w:val="2"/>
                <w:sz w:val="24"/>
                <w:szCs w:val="24"/>
                <w:highlight w:val="none"/>
                <w:lang w:val="en-US" w:eastAsia="zh-CN" w:bidi="ar-SA"/>
              </w:rPr>
              <w:t>75</w:t>
            </w:r>
            <w:r>
              <w:rPr>
                <w:rFonts w:hint="default" w:ascii="Times New Roman" w:hAnsi="Times New Roman" w:eastAsia="宋体" w:cs="Times New Roman"/>
                <w:color w:val="auto"/>
                <w:kern w:val="2"/>
                <w:sz w:val="24"/>
                <w:szCs w:val="24"/>
                <w:highlight w:val="none"/>
                <w:lang w:val="zh-CN" w:eastAsia="zh-CN" w:bidi="ar-SA"/>
              </w:rPr>
              <w:t>mg/m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eastAsia" w:cs="Times New Roman"/>
                <w:color w:val="auto"/>
                <w:kern w:val="2"/>
                <w:sz w:val="24"/>
                <w:szCs w:val="24"/>
                <w:highlight w:val="none"/>
                <w:lang w:val="zh-CN" w:eastAsia="zh-CN" w:bidi="ar-SA"/>
              </w:rPr>
              <w:t>；有组织氟化物</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产生</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1.8766</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，最大产生速率为</w:t>
            </w:r>
            <w:r>
              <w:rPr>
                <w:rFonts w:hint="eastAsia" w:cs="Times New Roman"/>
                <w:color w:val="auto"/>
                <w:kern w:val="2"/>
                <w:sz w:val="24"/>
                <w:szCs w:val="24"/>
                <w:highlight w:val="none"/>
                <w:lang w:val="en-US" w:eastAsia="zh-CN" w:bidi="ar-SA"/>
              </w:rPr>
              <w:t>0.5063</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，最大产生浓度为</w:t>
            </w:r>
            <w:r>
              <w:rPr>
                <w:rFonts w:hint="eastAsia" w:cs="Times New Roman"/>
                <w:color w:val="auto"/>
                <w:kern w:val="2"/>
                <w:sz w:val="24"/>
                <w:szCs w:val="24"/>
                <w:highlight w:val="none"/>
                <w:lang w:val="en-US" w:eastAsia="zh-CN" w:bidi="ar-SA"/>
              </w:rPr>
              <w:t>50.63</w:t>
            </w:r>
            <w:r>
              <w:rPr>
                <w:rFonts w:hint="default" w:ascii="Times New Roman" w:hAnsi="Times New Roman" w:eastAsia="宋体" w:cs="Times New Roman"/>
                <w:color w:val="auto"/>
                <w:kern w:val="2"/>
                <w:sz w:val="24"/>
                <w:szCs w:val="24"/>
                <w:highlight w:val="none"/>
                <w:lang w:val="zh-CN" w:eastAsia="zh-CN" w:bidi="ar-SA"/>
              </w:rPr>
              <w:t>mg/m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eastAsia" w:cs="Times New Roman"/>
                <w:color w:val="auto"/>
                <w:kern w:val="2"/>
                <w:sz w:val="24"/>
                <w:szCs w:val="24"/>
                <w:highlight w:val="none"/>
                <w:lang w:val="zh-CN" w:eastAsia="zh-CN" w:bidi="ar-SA"/>
              </w:rPr>
              <w:t>。</w:t>
            </w:r>
            <w:r>
              <w:rPr>
                <w:rFonts w:hint="eastAsia" w:cs="Times New Roman"/>
                <w:color w:val="auto"/>
                <w:kern w:val="2"/>
                <w:sz w:val="24"/>
                <w:szCs w:val="24"/>
                <w:highlight w:val="none"/>
                <w:lang w:val="en-US" w:eastAsia="zh-CN" w:bidi="ar-SA"/>
              </w:rPr>
              <w:t>本项目有组织废气</w:t>
            </w:r>
            <w:r>
              <w:rPr>
                <w:rFonts w:hint="eastAsia" w:cs="Times New Roman"/>
                <w:color w:val="auto"/>
                <w:kern w:val="2"/>
                <w:sz w:val="24"/>
                <w:szCs w:val="24"/>
                <w:highlight w:val="none"/>
                <w:lang w:val="zh-CN" w:eastAsia="zh-CN" w:bidi="ar-SA"/>
              </w:rPr>
              <w:t>产生情况如下表。</w:t>
            </w:r>
          </w:p>
          <w:p w14:paraId="16767C90">
            <w:pPr>
              <w:pStyle w:val="2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b/>
                <w:color w:val="auto"/>
                <w:sz w:val="21"/>
                <w:szCs w:val="21"/>
                <w:highlight w:val="none"/>
                <w:lang w:eastAsia="zh-CN"/>
              </w:rPr>
            </w:pPr>
            <w:r>
              <w:rPr>
                <w:rFonts w:hint="eastAsia"/>
                <w:b/>
                <w:color w:val="auto"/>
                <w:sz w:val="21"/>
                <w:szCs w:val="21"/>
                <w:highlight w:val="none"/>
                <w:lang w:eastAsia="zh-CN"/>
              </w:rPr>
              <w:t>表</w:t>
            </w:r>
            <w:r>
              <w:rPr>
                <w:rFonts w:hint="eastAsia"/>
                <w:b/>
                <w:color w:val="auto"/>
                <w:sz w:val="21"/>
                <w:szCs w:val="21"/>
                <w:highlight w:val="none"/>
                <w:lang w:val="en-US" w:eastAsia="zh-CN"/>
              </w:rPr>
              <w:t>4-2  有组织废气</w:t>
            </w:r>
            <w:r>
              <w:rPr>
                <w:rFonts w:hint="eastAsia"/>
                <w:b/>
                <w:color w:val="auto"/>
                <w:sz w:val="21"/>
                <w:szCs w:val="21"/>
                <w:highlight w:val="none"/>
                <w:lang w:eastAsia="zh-CN"/>
              </w:rPr>
              <w:t>产生情况一览表</w:t>
            </w:r>
          </w:p>
          <w:tbl>
            <w:tblPr>
              <w:tblStyle w:val="25"/>
              <w:tblW w:w="8541" w:type="dxa"/>
              <w:tblInd w:w="-1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5"/>
              <w:gridCol w:w="645"/>
              <w:gridCol w:w="765"/>
              <w:gridCol w:w="660"/>
              <w:gridCol w:w="941"/>
              <w:gridCol w:w="1005"/>
              <w:gridCol w:w="667"/>
              <w:gridCol w:w="950"/>
              <w:gridCol w:w="850"/>
              <w:gridCol w:w="916"/>
              <w:gridCol w:w="767"/>
            </w:tblGrid>
            <w:tr w14:paraId="4F66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C4FAE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污染源</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E14ED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产污环节</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B8BE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6397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年工作时间h</w:t>
                  </w:r>
                </w:p>
              </w:tc>
              <w:tc>
                <w:tcPr>
                  <w:tcW w:w="19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EC22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每个工序产生情况</w:t>
                  </w:r>
                </w:p>
              </w:tc>
              <w:tc>
                <w:tcPr>
                  <w:tcW w:w="338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BE323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污染物混合后产生情况</w:t>
                  </w:r>
                </w:p>
              </w:tc>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056F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废气量万</w:t>
                  </w:r>
                  <w:r>
                    <w:rPr>
                      <w:rFonts w:hint="default" w:ascii="Times New Roman" w:hAnsi="Times New Roman" w:eastAsia="宋体" w:cs="Times New Roman"/>
                      <w:b/>
                      <w:bCs/>
                      <w:i w:val="0"/>
                      <w:iCs w:val="0"/>
                      <w:color w:val="auto"/>
                      <w:kern w:val="0"/>
                      <w:sz w:val="21"/>
                      <w:szCs w:val="21"/>
                      <w:highlight w:val="none"/>
                      <w:u w:val="none"/>
                      <w:lang w:val="en-US" w:eastAsia="zh-CN" w:bidi="ar"/>
                    </w:rPr>
                    <w:t>Nm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/a</w:t>
                  </w:r>
                </w:p>
              </w:tc>
            </w:tr>
            <w:tr w14:paraId="6477A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57BDC">
                  <w:pPr>
                    <w:jc w:val="center"/>
                    <w:rPr>
                      <w:rFonts w:hint="eastAsia" w:ascii="宋体" w:hAnsi="宋体" w:eastAsia="宋体" w:cs="宋体"/>
                      <w:b/>
                      <w:bCs/>
                      <w:i w:val="0"/>
                      <w:iCs w:val="0"/>
                      <w:color w:val="auto"/>
                      <w:sz w:val="21"/>
                      <w:szCs w:val="21"/>
                      <w:highlight w:val="none"/>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C7BF3">
                  <w:pPr>
                    <w:jc w:val="center"/>
                    <w:rPr>
                      <w:rFonts w:hint="eastAsia" w:ascii="宋体" w:hAnsi="宋体" w:eastAsia="宋体" w:cs="宋体"/>
                      <w:b/>
                      <w:bCs/>
                      <w:i w:val="0"/>
                      <w:iCs w:val="0"/>
                      <w:color w:val="auto"/>
                      <w:sz w:val="21"/>
                      <w:szCs w:val="21"/>
                      <w:highlight w:val="none"/>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5D512">
                  <w:pPr>
                    <w:jc w:val="center"/>
                    <w:rPr>
                      <w:rFonts w:hint="eastAsia" w:ascii="宋体" w:hAnsi="宋体" w:eastAsia="宋体" w:cs="宋体"/>
                      <w:b/>
                      <w:bCs/>
                      <w:i w:val="0"/>
                      <w:iCs w:val="0"/>
                      <w:color w:val="auto"/>
                      <w:sz w:val="21"/>
                      <w:szCs w:val="21"/>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5B80D">
                  <w:pPr>
                    <w:jc w:val="center"/>
                    <w:rPr>
                      <w:rFonts w:hint="eastAsia" w:ascii="宋体" w:hAnsi="宋体" w:eastAsia="宋体" w:cs="宋体"/>
                      <w:b/>
                      <w:bCs/>
                      <w:i w:val="0"/>
                      <w:iCs w:val="0"/>
                      <w:color w:val="auto"/>
                      <w:sz w:val="21"/>
                      <w:szCs w:val="21"/>
                      <w:highlight w:val="none"/>
                      <w:u w:val="none"/>
                    </w:rPr>
                  </w:pPr>
                </w:p>
              </w:tc>
              <w:tc>
                <w:tcPr>
                  <w:tcW w:w="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2517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05CB1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产生速率</w:t>
                  </w:r>
                  <w:r>
                    <w:rPr>
                      <w:rFonts w:hint="default" w:ascii="Times New Roman" w:hAnsi="Times New Roman" w:eastAsia="宋体" w:cs="Times New Roman"/>
                      <w:b/>
                      <w:bCs/>
                      <w:i w:val="0"/>
                      <w:iCs w:val="0"/>
                      <w:color w:val="auto"/>
                      <w:kern w:val="0"/>
                      <w:sz w:val="21"/>
                      <w:szCs w:val="21"/>
                      <w:highlight w:val="none"/>
                      <w:u w:val="none"/>
                      <w:lang w:val="en-US" w:eastAsia="zh-CN" w:bidi="ar"/>
                    </w:rPr>
                    <w:t>kg/h</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9AA56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污染因子</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C78EB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5CE83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产生速率</w:t>
                  </w:r>
                  <w:r>
                    <w:rPr>
                      <w:rFonts w:hint="default" w:ascii="Times New Roman" w:hAnsi="Times New Roman" w:eastAsia="宋体" w:cs="Times New Roman"/>
                      <w:b/>
                      <w:bCs/>
                      <w:i w:val="0"/>
                      <w:iCs w:val="0"/>
                      <w:color w:val="auto"/>
                      <w:kern w:val="0"/>
                      <w:sz w:val="21"/>
                      <w:szCs w:val="21"/>
                      <w:highlight w:val="none"/>
                      <w:u w:val="none"/>
                      <w:lang w:val="en-US" w:eastAsia="zh-CN" w:bidi="ar"/>
                    </w:rPr>
                    <w:t>kg/h</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EE16D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产生浓度</w:t>
                  </w:r>
                  <w:r>
                    <w:rPr>
                      <w:rFonts w:hint="default" w:ascii="Times New Roman" w:hAnsi="Times New Roman" w:eastAsia="宋体" w:cs="Times New Roman"/>
                      <w:b/>
                      <w:bCs/>
                      <w:i w:val="0"/>
                      <w:iCs w:val="0"/>
                      <w:color w:val="auto"/>
                      <w:kern w:val="0"/>
                      <w:sz w:val="21"/>
                      <w:szCs w:val="21"/>
                      <w:highlight w:val="none"/>
                      <w:u w:val="none"/>
                      <w:lang w:val="en-US" w:eastAsia="zh-CN" w:bidi="ar"/>
                    </w:rPr>
                    <w:t>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1DD4D">
                  <w:pPr>
                    <w:jc w:val="center"/>
                    <w:rPr>
                      <w:rFonts w:hint="eastAsia" w:ascii="宋体" w:hAnsi="宋体" w:eastAsia="宋体" w:cs="宋体"/>
                      <w:b/>
                      <w:bCs/>
                      <w:i w:val="0"/>
                      <w:iCs w:val="0"/>
                      <w:color w:val="auto"/>
                      <w:sz w:val="21"/>
                      <w:szCs w:val="21"/>
                      <w:highlight w:val="none"/>
                      <w:u w:val="none"/>
                    </w:rPr>
                  </w:pPr>
                </w:p>
              </w:tc>
            </w:tr>
            <w:tr w14:paraId="7061F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89CF0">
                  <w:pPr>
                    <w:jc w:val="center"/>
                    <w:rPr>
                      <w:rFonts w:hint="eastAsia" w:ascii="宋体" w:hAnsi="宋体" w:eastAsia="宋体" w:cs="宋体"/>
                      <w:b/>
                      <w:bCs/>
                      <w:i w:val="0"/>
                      <w:iCs w:val="0"/>
                      <w:color w:val="auto"/>
                      <w:sz w:val="21"/>
                      <w:szCs w:val="21"/>
                      <w:highlight w:val="none"/>
                      <w:u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075C3">
                  <w:pPr>
                    <w:jc w:val="center"/>
                    <w:rPr>
                      <w:rFonts w:hint="eastAsia" w:ascii="宋体" w:hAnsi="宋体" w:eastAsia="宋体" w:cs="宋体"/>
                      <w:b/>
                      <w:bCs/>
                      <w:i w:val="0"/>
                      <w:iCs w:val="0"/>
                      <w:color w:val="auto"/>
                      <w:sz w:val="21"/>
                      <w:szCs w:val="21"/>
                      <w:highlight w:val="none"/>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779D9">
                  <w:pPr>
                    <w:jc w:val="center"/>
                    <w:rPr>
                      <w:rFonts w:hint="eastAsia" w:ascii="宋体" w:hAnsi="宋体" w:eastAsia="宋体" w:cs="宋体"/>
                      <w:b/>
                      <w:bCs/>
                      <w:i w:val="0"/>
                      <w:iCs w:val="0"/>
                      <w:color w:val="auto"/>
                      <w:sz w:val="21"/>
                      <w:szCs w:val="21"/>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F2D01">
                  <w:pPr>
                    <w:jc w:val="center"/>
                    <w:rPr>
                      <w:rFonts w:hint="eastAsia" w:ascii="宋体" w:hAnsi="宋体" w:eastAsia="宋体" w:cs="宋体"/>
                      <w:b/>
                      <w:bCs/>
                      <w:i w:val="0"/>
                      <w:iCs w:val="0"/>
                      <w:color w:val="auto"/>
                      <w:sz w:val="21"/>
                      <w:szCs w:val="21"/>
                      <w:highlight w:val="none"/>
                      <w:u w:val="none"/>
                    </w:rPr>
                  </w:pPr>
                </w:p>
              </w:tc>
              <w:tc>
                <w:tcPr>
                  <w:tcW w:w="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59B4E">
                  <w:pPr>
                    <w:jc w:val="center"/>
                    <w:rPr>
                      <w:rFonts w:hint="eastAsia" w:ascii="宋体" w:hAnsi="宋体" w:eastAsia="宋体" w:cs="宋体"/>
                      <w:b/>
                      <w:bCs/>
                      <w:i w:val="0"/>
                      <w:iCs w:val="0"/>
                      <w:color w:val="auto"/>
                      <w:sz w:val="21"/>
                      <w:szCs w:val="21"/>
                      <w:highlight w:val="none"/>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4C1DD">
                  <w:pPr>
                    <w:jc w:val="center"/>
                    <w:rPr>
                      <w:rFonts w:hint="eastAsia" w:ascii="宋体" w:hAnsi="宋体" w:eastAsia="宋体" w:cs="宋体"/>
                      <w:b/>
                      <w:bCs/>
                      <w:i w:val="0"/>
                      <w:iCs w:val="0"/>
                      <w:color w:val="auto"/>
                      <w:sz w:val="21"/>
                      <w:szCs w:val="21"/>
                      <w:highlight w:val="none"/>
                      <w:u w:val="none"/>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1E571">
                  <w:pPr>
                    <w:jc w:val="center"/>
                    <w:rPr>
                      <w:rFonts w:hint="eastAsia" w:ascii="宋体" w:hAnsi="宋体" w:eastAsia="宋体" w:cs="宋体"/>
                      <w:b/>
                      <w:bCs/>
                      <w:i w:val="0"/>
                      <w:iCs w:val="0"/>
                      <w:color w:val="auto"/>
                      <w:sz w:val="21"/>
                      <w:szCs w:val="21"/>
                      <w:highlight w:val="none"/>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66B18">
                  <w:pPr>
                    <w:jc w:val="center"/>
                    <w:rPr>
                      <w:rFonts w:hint="eastAsia" w:ascii="宋体" w:hAnsi="宋体" w:eastAsia="宋体" w:cs="宋体"/>
                      <w:b/>
                      <w:bCs/>
                      <w:i w:val="0"/>
                      <w:iCs w:val="0"/>
                      <w:color w:val="auto"/>
                      <w:sz w:val="21"/>
                      <w:szCs w:val="21"/>
                      <w:highlight w:val="none"/>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FA351">
                  <w:pPr>
                    <w:jc w:val="center"/>
                    <w:rPr>
                      <w:rFonts w:hint="eastAsia" w:ascii="宋体" w:hAnsi="宋体" w:eastAsia="宋体" w:cs="宋体"/>
                      <w:b/>
                      <w:bCs/>
                      <w:i w:val="0"/>
                      <w:iCs w:val="0"/>
                      <w:color w:val="auto"/>
                      <w:sz w:val="21"/>
                      <w:szCs w:val="21"/>
                      <w:highlight w:val="none"/>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C88A3">
                  <w:pPr>
                    <w:jc w:val="center"/>
                    <w:rPr>
                      <w:rFonts w:hint="eastAsia" w:ascii="宋体" w:hAnsi="宋体" w:eastAsia="宋体" w:cs="宋体"/>
                      <w:b/>
                      <w:bCs/>
                      <w:i w:val="0"/>
                      <w:iCs w:val="0"/>
                      <w:color w:val="auto"/>
                      <w:sz w:val="21"/>
                      <w:szCs w:val="21"/>
                      <w:highlight w:val="none"/>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327C0">
                  <w:pPr>
                    <w:jc w:val="center"/>
                    <w:rPr>
                      <w:rFonts w:hint="eastAsia" w:ascii="宋体" w:hAnsi="宋体" w:eastAsia="宋体" w:cs="宋体"/>
                      <w:b/>
                      <w:bCs/>
                      <w:i w:val="0"/>
                      <w:iCs w:val="0"/>
                      <w:color w:val="auto"/>
                      <w:sz w:val="21"/>
                      <w:szCs w:val="21"/>
                      <w:highlight w:val="none"/>
                      <w:u w:val="none"/>
                    </w:rPr>
                  </w:pPr>
                </w:p>
              </w:tc>
            </w:tr>
            <w:tr w14:paraId="4C0E8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547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有组织废气</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70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硫酸稀释</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95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硫酸雾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28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A5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C2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0.0026</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936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硫酸雾</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0231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0.00016</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437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0.0052</w:t>
                  </w:r>
                  <w:r>
                    <w:rPr>
                      <w:rFonts w:hint="eastAsia" w:ascii="宋体" w:hAnsi="宋体" w:eastAsia="宋体" w:cs="宋体"/>
                      <w:i w:val="0"/>
                      <w:iCs w:val="0"/>
                      <w:color w:val="auto"/>
                      <w:kern w:val="0"/>
                      <w:sz w:val="21"/>
                      <w:szCs w:val="21"/>
                      <w:highlight w:val="none"/>
                      <w:u w:val="none"/>
                      <w:lang w:val="en-US" w:eastAsia="zh-CN" w:bidi="ar"/>
                    </w:rPr>
                    <w:t>（最大）</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A364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p w14:paraId="0E51F4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（最大）</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56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14:paraId="2123A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911B9">
                  <w:pPr>
                    <w:jc w:val="center"/>
                    <w:rPr>
                      <w:rFonts w:hint="eastAsia" w:ascii="宋体" w:hAnsi="宋体" w:eastAsia="宋体" w:cs="宋体"/>
                      <w:i w:val="0"/>
                      <w:iCs w:val="0"/>
                      <w:color w:val="auto"/>
                      <w:sz w:val="21"/>
                      <w:szCs w:val="21"/>
                      <w:highlight w:val="none"/>
                      <w:u w:val="none"/>
                    </w:rPr>
                  </w:pPr>
                </w:p>
              </w:tc>
              <w:tc>
                <w:tcPr>
                  <w:tcW w:w="645" w:type="dxa"/>
                  <w:vMerge w:val="restart"/>
                  <w:tcBorders>
                    <w:top w:val="single" w:color="000000" w:sz="4" w:space="0"/>
                    <w:left w:val="single" w:color="000000" w:sz="4" w:space="0"/>
                    <w:right w:val="single" w:color="000000" w:sz="4" w:space="0"/>
                  </w:tcBorders>
                  <w:shd w:val="clear" w:color="auto" w:fill="auto"/>
                  <w:vAlign w:val="center"/>
                </w:tcPr>
                <w:p w14:paraId="05B61A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蒙砂液配制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3B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硫酸雾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B4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0F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79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0.0026</w:t>
                  </w: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D6441">
                  <w:pPr>
                    <w:jc w:val="center"/>
                    <w:rPr>
                      <w:rFonts w:hint="eastAsia" w:ascii="宋体" w:hAnsi="宋体" w:eastAsia="宋体" w:cs="宋体"/>
                      <w:i w:val="0"/>
                      <w:iCs w:val="0"/>
                      <w:color w:val="auto"/>
                      <w:sz w:val="21"/>
                      <w:szCs w:val="21"/>
                      <w:highlight w:val="none"/>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993E4">
                  <w:pPr>
                    <w:jc w:val="center"/>
                    <w:rPr>
                      <w:rFonts w:hint="default" w:ascii="Times New Roman" w:hAnsi="Times New Roman" w:eastAsia="宋体" w:cs="Times New Roman"/>
                      <w:i w:val="0"/>
                      <w:iCs w:val="0"/>
                      <w:color w:val="auto"/>
                      <w:sz w:val="21"/>
                      <w:szCs w:val="21"/>
                      <w:highlight w:val="none"/>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8AFCD">
                  <w:pPr>
                    <w:jc w:val="center"/>
                    <w:rPr>
                      <w:rFonts w:hint="default" w:ascii="Times New Roman" w:hAnsi="Times New Roman" w:eastAsia="宋体" w:cs="Times New Roman"/>
                      <w:i w:val="0"/>
                      <w:iCs w:val="0"/>
                      <w:color w:val="auto"/>
                      <w:sz w:val="21"/>
                      <w:szCs w:val="21"/>
                      <w:highlight w:val="none"/>
                      <w:u w:val="none"/>
                    </w:rPr>
                  </w:pP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C61D9">
                  <w:pPr>
                    <w:jc w:val="center"/>
                    <w:rPr>
                      <w:rFonts w:hint="default" w:ascii="Times New Roman" w:hAnsi="Times New Roman" w:eastAsia="宋体" w:cs="Times New Roman"/>
                      <w:i w:val="0"/>
                      <w:iCs w:val="0"/>
                      <w:color w:val="auto"/>
                      <w:sz w:val="21"/>
                      <w:szCs w:val="21"/>
                      <w:highlight w:val="none"/>
                      <w:u w:val="none"/>
                    </w:rPr>
                  </w:pPr>
                </w:p>
              </w:tc>
              <w:tc>
                <w:tcPr>
                  <w:tcW w:w="767" w:type="dxa"/>
                  <w:vMerge w:val="restart"/>
                  <w:tcBorders>
                    <w:top w:val="single" w:color="000000" w:sz="4" w:space="0"/>
                    <w:left w:val="single" w:color="000000" w:sz="4" w:space="0"/>
                    <w:right w:val="single" w:color="000000" w:sz="4" w:space="0"/>
                  </w:tcBorders>
                  <w:shd w:val="clear" w:color="auto" w:fill="auto"/>
                  <w:vAlign w:val="center"/>
                </w:tcPr>
                <w:p w14:paraId="08CC10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r>
            <w:tr w14:paraId="3AB9E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8713F">
                  <w:pPr>
                    <w:jc w:val="center"/>
                    <w:rPr>
                      <w:rFonts w:hint="eastAsia" w:ascii="宋体" w:hAnsi="宋体" w:eastAsia="宋体" w:cs="宋体"/>
                      <w:i w:val="0"/>
                      <w:iCs w:val="0"/>
                      <w:color w:val="auto"/>
                      <w:sz w:val="21"/>
                      <w:szCs w:val="21"/>
                      <w:highlight w:val="none"/>
                      <w:u w:val="none"/>
                    </w:rPr>
                  </w:pPr>
                </w:p>
              </w:tc>
              <w:tc>
                <w:tcPr>
                  <w:tcW w:w="645" w:type="dxa"/>
                  <w:vMerge w:val="continue"/>
                  <w:tcBorders>
                    <w:left w:val="single" w:color="000000" w:sz="4" w:space="0"/>
                    <w:right w:val="single" w:color="000000" w:sz="4" w:space="0"/>
                  </w:tcBorders>
                  <w:shd w:val="clear" w:color="auto" w:fill="auto"/>
                  <w:vAlign w:val="center"/>
                </w:tcPr>
                <w:p w14:paraId="274CA7A3">
                  <w:pPr>
                    <w:jc w:val="center"/>
                    <w:rPr>
                      <w:rFonts w:hint="eastAsia" w:ascii="宋体" w:hAnsi="宋体" w:eastAsia="宋体" w:cs="宋体"/>
                      <w:i w:val="0"/>
                      <w:iCs w:val="0"/>
                      <w:color w:val="auto"/>
                      <w:sz w:val="21"/>
                      <w:szCs w:val="21"/>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04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zh-CN" w:eastAsia="zh-CN"/>
                    </w:rPr>
                    <w:t>氯化氢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76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7D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0.0584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BC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1.9467</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F1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zh-CN" w:eastAsia="zh-CN"/>
                    </w:rPr>
                    <w:t>氯化氢</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30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0.0584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24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1.9467</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16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194.67</w:t>
                  </w:r>
                </w:p>
              </w:tc>
              <w:tc>
                <w:tcPr>
                  <w:tcW w:w="767" w:type="dxa"/>
                  <w:vMerge w:val="continue"/>
                  <w:tcBorders>
                    <w:left w:val="single" w:color="000000" w:sz="4" w:space="0"/>
                    <w:right w:val="single" w:color="000000" w:sz="4" w:space="0"/>
                  </w:tcBorders>
                  <w:shd w:val="clear" w:color="auto" w:fill="auto"/>
                  <w:vAlign w:val="center"/>
                </w:tcPr>
                <w:p w14:paraId="2A99BEDB">
                  <w:pPr>
                    <w:jc w:val="center"/>
                    <w:rPr>
                      <w:rFonts w:hint="default" w:ascii="Times New Roman" w:hAnsi="Times New Roman" w:eastAsia="宋体" w:cs="Times New Roman"/>
                      <w:i w:val="0"/>
                      <w:iCs w:val="0"/>
                      <w:color w:val="auto"/>
                      <w:sz w:val="21"/>
                      <w:szCs w:val="21"/>
                      <w:highlight w:val="none"/>
                      <w:u w:val="none"/>
                    </w:rPr>
                  </w:pPr>
                </w:p>
              </w:tc>
            </w:tr>
            <w:tr w14:paraId="72C75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0F7B7">
                  <w:pPr>
                    <w:jc w:val="center"/>
                    <w:rPr>
                      <w:rFonts w:hint="eastAsia" w:ascii="宋体" w:hAnsi="宋体" w:eastAsia="宋体" w:cs="宋体"/>
                      <w:i w:val="0"/>
                      <w:iCs w:val="0"/>
                      <w:color w:val="auto"/>
                      <w:sz w:val="21"/>
                      <w:szCs w:val="21"/>
                      <w:highlight w:val="none"/>
                      <w:u w:val="none"/>
                    </w:rPr>
                  </w:pPr>
                </w:p>
              </w:tc>
              <w:tc>
                <w:tcPr>
                  <w:tcW w:w="645" w:type="dxa"/>
                  <w:vMerge w:val="continue"/>
                  <w:tcBorders>
                    <w:left w:val="single" w:color="000000" w:sz="4" w:space="0"/>
                    <w:right w:val="single" w:color="000000" w:sz="4" w:space="0"/>
                  </w:tcBorders>
                  <w:shd w:val="clear" w:color="auto" w:fill="auto"/>
                  <w:vAlign w:val="center"/>
                </w:tcPr>
                <w:p w14:paraId="788BEEDE">
                  <w:pPr>
                    <w:jc w:val="center"/>
                    <w:rPr>
                      <w:rFonts w:hint="eastAsia" w:ascii="宋体" w:hAnsi="宋体" w:eastAsia="宋体" w:cs="宋体"/>
                      <w:i w:val="0"/>
                      <w:iCs w:val="0"/>
                      <w:color w:val="auto"/>
                      <w:sz w:val="21"/>
                      <w:szCs w:val="21"/>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DF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89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19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92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0.75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02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颗粒物</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BF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69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0.75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07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767" w:type="dxa"/>
                  <w:vMerge w:val="continue"/>
                  <w:tcBorders>
                    <w:left w:val="single" w:color="000000" w:sz="4" w:space="0"/>
                    <w:right w:val="single" w:color="000000" w:sz="4" w:space="0"/>
                  </w:tcBorders>
                  <w:shd w:val="clear" w:color="auto" w:fill="auto"/>
                  <w:vAlign w:val="center"/>
                </w:tcPr>
                <w:p w14:paraId="4D178844">
                  <w:pPr>
                    <w:jc w:val="center"/>
                    <w:rPr>
                      <w:rFonts w:hint="default" w:ascii="Times New Roman" w:hAnsi="Times New Roman" w:eastAsia="宋体" w:cs="Times New Roman"/>
                      <w:i w:val="0"/>
                      <w:iCs w:val="0"/>
                      <w:color w:val="auto"/>
                      <w:sz w:val="21"/>
                      <w:szCs w:val="21"/>
                      <w:highlight w:val="none"/>
                      <w:u w:val="none"/>
                    </w:rPr>
                  </w:pPr>
                </w:p>
              </w:tc>
            </w:tr>
            <w:tr w14:paraId="24204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80FC2">
                  <w:pPr>
                    <w:jc w:val="center"/>
                    <w:rPr>
                      <w:rFonts w:hint="eastAsia" w:ascii="宋体" w:hAnsi="宋体" w:eastAsia="宋体" w:cs="宋体"/>
                      <w:i w:val="0"/>
                      <w:iCs w:val="0"/>
                      <w:color w:val="auto"/>
                      <w:sz w:val="21"/>
                      <w:szCs w:val="21"/>
                      <w:highlight w:val="none"/>
                      <w:u w:val="none"/>
                    </w:rPr>
                  </w:pPr>
                </w:p>
              </w:tc>
              <w:tc>
                <w:tcPr>
                  <w:tcW w:w="645" w:type="dxa"/>
                  <w:vMerge w:val="continue"/>
                  <w:tcBorders>
                    <w:left w:val="single" w:color="000000" w:sz="4" w:space="0"/>
                    <w:bottom w:val="single" w:color="000000" w:sz="4" w:space="0"/>
                    <w:right w:val="single" w:color="000000" w:sz="4" w:space="0"/>
                  </w:tcBorders>
                  <w:shd w:val="clear" w:color="auto" w:fill="auto"/>
                  <w:vAlign w:val="center"/>
                </w:tcPr>
                <w:p w14:paraId="27AD0A62">
                  <w:pPr>
                    <w:jc w:val="center"/>
                    <w:rPr>
                      <w:rFonts w:hint="eastAsia" w:ascii="宋体" w:hAnsi="宋体" w:eastAsia="宋体" w:cs="宋体"/>
                      <w:i w:val="0"/>
                      <w:iCs w:val="0"/>
                      <w:color w:val="auto"/>
                      <w:sz w:val="21"/>
                      <w:szCs w:val="21"/>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29D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氟化物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D6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77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0.0142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F5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0.1183</w:t>
                  </w:r>
                </w:p>
              </w:tc>
              <w:tc>
                <w:tcPr>
                  <w:tcW w:w="667" w:type="dxa"/>
                  <w:vMerge w:val="restart"/>
                  <w:tcBorders>
                    <w:top w:val="single" w:color="000000" w:sz="4" w:space="0"/>
                    <w:left w:val="single" w:color="000000" w:sz="4" w:space="0"/>
                    <w:right w:val="single" w:color="000000" w:sz="4" w:space="0"/>
                  </w:tcBorders>
                  <w:shd w:val="clear" w:color="auto" w:fill="auto"/>
                  <w:vAlign w:val="center"/>
                </w:tcPr>
                <w:p w14:paraId="2A2B6B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氟化</w:t>
                  </w:r>
                  <w:r>
                    <w:rPr>
                      <w:rFonts w:hint="eastAsia" w:ascii="宋体" w:hAnsi="宋体" w:cs="宋体"/>
                      <w:i w:val="0"/>
                      <w:iCs w:val="0"/>
                      <w:color w:val="auto"/>
                      <w:kern w:val="0"/>
                      <w:sz w:val="21"/>
                      <w:szCs w:val="21"/>
                      <w:highlight w:val="none"/>
                      <w:u w:val="none"/>
                      <w:lang w:val="en-US" w:eastAsia="zh-CN" w:bidi="ar"/>
                    </w:rPr>
                    <w:t>物</w:t>
                  </w:r>
                </w:p>
              </w:tc>
              <w:tc>
                <w:tcPr>
                  <w:tcW w:w="950" w:type="dxa"/>
                  <w:vMerge w:val="restart"/>
                  <w:tcBorders>
                    <w:top w:val="single" w:color="000000" w:sz="4" w:space="0"/>
                    <w:left w:val="single" w:color="000000" w:sz="4" w:space="0"/>
                    <w:right w:val="single" w:color="000000" w:sz="4" w:space="0"/>
                  </w:tcBorders>
                  <w:shd w:val="clear" w:color="auto" w:fill="auto"/>
                  <w:vAlign w:val="center"/>
                </w:tcPr>
                <w:p w14:paraId="71255E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eastAsia" w:ascii="Times New Roman" w:hAnsi="Times New Roman" w:eastAsia="宋体" w:cs="Times New Roman"/>
                      <w:i w:val="0"/>
                      <w:iCs w:val="0"/>
                      <w:color w:val="auto"/>
                      <w:kern w:val="0"/>
                      <w:sz w:val="21"/>
                      <w:szCs w:val="21"/>
                      <w:highlight w:val="none"/>
                      <w:u w:val="none"/>
                      <w:lang w:val="en-US" w:eastAsia="zh-CN" w:bidi="ar"/>
                    </w:rPr>
                    <w:t>766</w:t>
                  </w:r>
                </w:p>
              </w:tc>
              <w:tc>
                <w:tcPr>
                  <w:tcW w:w="850" w:type="dxa"/>
                  <w:vMerge w:val="restart"/>
                  <w:tcBorders>
                    <w:top w:val="single" w:color="000000" w:sz="4" w:space="0"/>
                    <w:left w:val="single" w:color="000000" w:sz="4" w:space="0"/>
                    <w:right w:val="single" w:color="000000" w:sz="4" w:space="0"/>
                  </w:tcBorders>
                  <w:shd w:val="clear" w:color="auto" w:fill="auto"/>
                  <w:vAlign w:val="center"/>
                </w:tcPr>
                <w:p w14:paraId="46043B8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0.5063</w:t>
                  </w:r>
                  <w:r>
                    <w:rPr>
                      <w:rFonts w:hint="eastAsia" w:cs="Times New Roman"/>
                      <w:color w:val="auto"/>
                      <w:w w:val="100"/>
                      <w:kern w:val="2"/>
                      <w:sz w:val="21"/>
                      <w:szCs w:val="21"/>
                      <w:highlight w:val="none"/>
                      <w:lang w:val="en-US" w:eastAsia="zh-CN" w:bidi="ar-SA"/>
                    </w:rPr>
                    <w:t>（最大）</w:t>
                  </w:r>
                </w:p>
              </w:tc>
              <w:tc>
                <w:tcPr>
                  <w:tcW w:w="916" w:type="dxa"/>
                  <w:vMerge w:val="restart"/>
                  <w:tcBorders>
                    <w:top w:val="single" w:color="000000" w:sz="4" w:space="0"/>
                    <w:left w:val="single" w:color="000000" w:sz="4" w:space="0"/>
                    <w:right w:val="single" w:color="000000" w:sz="4" w:space="0"/>
                  </w:tcBorders>
                  <w:shd w:val="clear" w:color="auto" w:fill="auto"/>
                  <w:vAlign w:val="center"/>
                </w:tcPr>
                <w:p w14:paraId="7734143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50.63</w:t>
                  </w:r>
                  <w:r>
                    <w:rPr>
                      <w:rFonts w:hint="eastAsia" w:cs="Times New Roman"/>
                      <w:color w:val="auto"/>
                      <w:w w:val="100"/>
                      <w:kern w:val="2"/>
                      <w:sz w:val="21"/>
                      <w:szCs w:val="21"/>
                      <w:highlight w:val="none"/>
                      <w:lang w:val="en-US" w:eastAsia="zh-CN" w:bidi="ar-SA"/>
                    </w:rPr>
                    <w:t>（最大）</w:t>
                  </w:r>
                </w:p>
              </w:tc>
              <w:tc>
                <w:tcPr>
                  <w:tcW w:w="767" w:type="dxa"/>
                  <w:vMerge w:val="continue"/>
                  <w:tcBorders>
                    <w:left w:val="single" w:color="000000" w:sz="4" w:space="0"/>
                    <w:bottom w:val="single" w:color="000000" w:sz="4" w:space="0"/>
                    <w:right w:val="single" w:color="000000" w:sz="4" w:space="0"/>
                  </w:tcBorders>
                  <w:shd w:val="clear" w:color="auto" w:fill="auto"/>
                  <w:vAlign w:val="center"/>
                </w:tcPr>
                <w:p w14:paraId="53E90C17">
                  <w:pPr>
                    <w:jc w:val="center"/>
                    <w:rPr>
                      <w:rFonts w:hint="default" w:ascii="Times New Roman" w:hAnsi="Times New Roman" w:eastAsia="宋体" w:cs="Times New Roman"/>
                      <w:i w:val="0"/>
                      <w:iCs w:val="0"/>
                      <w:color w:val="auto"/>
                      <w:sz w:val="21"/>
                      <w:szCs w:val="21"/>
                      <w:highlight w:val="none"/>
                      <w:u w:val="none"/>
                    </w:rPr>
                  </w:pPr>
                </w:p>
              </w:tc>
            </w:tr>
            <w:tr w14:paraId="44A7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E79E9">
                  <w:pPr>
                    <w:jc w:val="center"/>
                    <w:rPr>
                      <w:rFonts w:hint="eastAsia" w:ascii="宋体" w:hAnsi="宋体" w:eastAsia="宋体" w:cs="宋体"/>
                      <w:i w:val="0"/>
                      <w:iCs w:val="0"/>
                      <w:color w:val="auto"/>
                      <w:sz w:val="21"/>
                      <w:szCs w:val="21"/>
                      <w:highlight w:val="none"/>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17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蒙砂</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38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氟化物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E7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4800</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74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1.8624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22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0.388</w:t>
                  </w:r>
                </w:p>
              </w:tc>
              <w:tc>
                <w:tcPr>
                  <w:tcW w:w="667" w:type="dxa"/>
                  <w:vMerge w:val="continue"/>
                  <w:tcBorders>
                    <w:left w:val="single" w:color="000000" w:sz="4" w:space="0"/>
                    <w:bottom w:val="single" w:color="000000" w:sz="4" w:space="0"/>
                    <w:right w:val="single" w:color="000000" w:sz="4" w:space="0"/>
                  </w:tcBorders>
                  <w:shd w:val="clear" w:color="auto" w:fill="auto"/>
                  <w:vAlign w:val="center"/>
                </w:tcPr>
                <w:p w14:paraId="4035C9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950" w:type="dxa"/>
                  <w:vMerge w:val="continue"/>
                  <w:tcBorders>
                    <w:left w:val="single" w:color="000000" w:sz="4" w:space="0"/>
                    <w:bottom w:val="single" w:color="000000" w:sz="4" w:space="0"/>
                    <w:right w:val="single" w:color="000000" w:sz="4" w:space="0"/>
                  </w:tcBorders>
                  <w:shd w:val="clear" w:color="auto" w:fill="auto"/>
                  <w:vAlign w:val="center"/>
                </w:tcPr>
                <w:p w14:paraId="48BE893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850" w:type="dxa"/>
                  <w:vMerge w:val="continue"/>
                  <w:tcBorders>
                    <w:left w:val="single" w:color="000000" w:sz="4" w:space="0"/>
                    <w:bottom w:val="single" w:color="000000" w:sz="4" w:space="0"/>
                    <w:right w:val="single" w:color="000000" w:sz="4" w:space="0"/>
                  </w:tcBorders>
                  <w:shd w:val="clear" w:color="auto" w:fill="auto"/>
                  <w:vAlign w:val="center"/>
                </w:tcPr>
                <w:p w14:paraId="03DC820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916" w:type="dxa"/>
                  <w:vMerge w:val="continue"/>
                  <w:tcBorders>
                    <w:left w:val="single" w:color="000000" w:sz="4" w:space="0"/>
                    <w:bottom w:val="single" w:color="000000" w:sz="4" w:space="0"/>
                    <w:right w:val="single" w:color="000000" w:sz="4" w:space="0"/>
                  </w:tcBorders>
                  <w:shd w:val="clear" w:color="auto" w:fill="auto"/>
                  <w:vAlign w:val="center"/>
                </w:tcPr>
                <w:p w14:paraId="0A292FE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2C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4800</w:t>
                  </w:r>
                </w:p>
              </w:tc>
            </w:tr>
          </w:tbl>
          <w:p w14:paraId="0448EE9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jc w:val="both"/>
              <w:textAlignment w:val="baseline"/>
              <w:rPr>
                <w:rFonts w:hint="eastAsia" w:cs="Times New Roman"/>
                <w:color w:val="auto"/>
                <w:kern w:val="2"/>
                <w:sz w:val="24"/>
                <w:szCs w:val="24"/>
                <w:highlight w:val="none"/>
                <w:lang w:val="zh-CN" w:eastAsia="zh-CN" w:bidi="ar-SA"/>
              </w:rPr>
            </w:pPr>
            <w:r>
              <w:rPr>
                <w:rFonts w:hint="eastAsia" w:cs="Times New Roman"/>
                <w:b/>
                <w:bCs/>
                <w:color w:val="auto"/>
                <w:kern w:val="2"/>
                <w:sz w:val="18"/>
                <w:szCs w:val="18"/>
                <w:highlight w:val="none"/>
                <w:lang w:val="zh-CN" w:eastAsia="zh-CN" w:bidi="ar-SA"/>
              </w:rPr>
              <w:t>注：括号中最大值为硫酸稀释、蒙砂液配制和蒙砂</w:t>
            </w:r>
            <w:r>
              <w:rPr>
                <w:rFonts w:hint="eastAsia" w:cs="Times New Roman"/>
                <w:b/>
                <w:bCs/>
                <w:color w:val="auto"/>
                <w:kern w:val="2"/>
                <w:sz w:val="18"/>
                <w:szCs w:val="18"/>
                <w:highlight w:val="none"/>
                <w:lang w:val="en-US" w:eastAsia="zh-CN" w:bidi="ar-SA"/>
              </w:rPr>
              <w:t>3</w:t>
            </w:r>
            <w:r>
              <w:rPr>
                <w:rFonts w:hint="eastAsia" w:cs="Times New Roman"/>
                <w:b/>
                <w:bCs/>
                <w:color w:val="auto"/>
                <w:kern w:val="2"/>
                <w:sz w:val="18"/>
                <w:szCs w:val="18"/>
                <w:highlight w:val="none"/>
                <w:lang w:val="zh-CN" w:eastAsia="zh-CN" w:bidi="ar-SA"/>
              </w:rPr>
              <w:t>个工序同时进行时的最大产生速率和最大产生浓度。</w:t>
            </w:r>
          </w:p>
          <w:p w14:paraId="506C9BF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碱液喷淋洗涤塔</w:t>
            </w:r>
            <w:r>
              <w:rPr>
                <w:rFonts w:hint="default" w:ascii="Times New Roman" w:hAnsi="Times New Roman" w:eastAsia="宋体" w:cs="Times New Roman"/>
                <w:color w:val="auto"/>
                <w:kern w:val="2"/>
                <w:sz w:val="24"/>
                <w:szCs w:val="24"/>
                <w:highlight w:val="none"/>
                <w:lang w:val="zh-CN" w:eastAsia="zh-CN" w:bidi="ar-SA"/>
              </w:rPr>
              <w:t>对硫酸雾</w:t>
            </w:r>
            <w:r>
              <w:rPr>
                <w:rFonts w:hint="eastAsia" w:ascii="Times New Roman" w:hAnsi="Times New Roman" w:cs="Times New Roman"/>
                <w:color w:val="auto"/>
                <w:kern w:val="2"/>
                <w:sz w:val="24"/>
                <w:szCs w:val="24"/>
                <w:highlight w:val="none"/>
                <w:lang w:val="zh-CN" w:eastAsia="zh-CN" w:bidi="ar-SA"/>
              </w:rPr>
              <w:t>、</w:t>
            </w:r>
            <w:r>
              <w:rPr>
                <w:rFonts w:hint="eastAsia" w:cs="Times New Roman"/>
                <w:color w:val="auto"/>
                <w:sz w:val="24"/>
                <w:highlight w:val="none"/>
                <w:lang w:val="zh-CN" w:eastAsia="zh-CN"/>
              </w:rPr>
              <w:t>氯化氢</w:t>
            </w:r>
            <w:r>
              <w:rPr>
                <w:rFonts w:hint="eastAsia" w:ascii="Times New Roman" w:hAnsi="Times New Roman" w:cs="Times New Roman"/>
                <w:color w:val="auto"/>
                <w:kern w:val="2"/>
                <w:sz w:val="24"/>
                <w:szCs w:val="24"/>
                <w:highlight w:val="none"/>
                <w:lang w:val="zh-CN" w:eastAsia="zh-CN" w:bidi="ar-SA"/>
              </w:rPr>
              <w:t>和氟化</w:t>
            </w:r>
            <w:r>
              <w:rPr>
                <w:rFonts w:hint="eastAsia" w:cs="Times New Roman"/>
                <w:color w:val="auto"/>
                <w:kern w:val="2"/>
                <w:sz w:val="24"/>
                <w:szCs w:val="24"/>
                <w:highlight w:val="none"/>
                <w:lang w:val="zh-CN" w:eastAsia="zh-CN" w:bidi="ar-SA"/>
              </w:rPr>
              <w:t>物</w:t>
            </w:r>
            <w:r>
              <w:rPr>
                <w:rFonts w:hint="default" w:ascii="Times New Roman" w:hAnsi="Times New Roman" w:eastAsia="宋体" w:cs="Times New Roman"/>
                <w:color w:val="auto"/>
                <w:kern w:val="2"/>
                <w:sz w:val="24"/>
                <w:szCs w:val="24"/>
                <w:highlight w:val="none"/>
                <w:lang w:val="zh-CN" w:eastAsia="zh-CN" w:bidi="ar-SA"/>
              </w:rPr>
              <w:t>的处理效率为</w:t>
            </w:r>
            <w:r>
              <w:rPr>
                <w:rFonts w:hint="eastAsia" w:cs="Times New Roman"/>
                <w:color w:val="auto"/>
                <w:kern w:val="2"/>
                <w:sz w:val="24"/>
                <w:szCs w:val="24"/>
                <w:highlight w:val="none"/>
                <w:lang w:val="en-US" w:eastAsia="zh-CN" w:bidi="ar-SA"/>
              </w:rPr>
              <w:t>90</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，对颗粒物的</w:t>
            </w:r>
            <w:r>
              <w:rPr>
                <w:rFonts w:hint="default" w:ascii="Times New Roman" w:hAnsi="Times New Roman" w:eastAsia="宋体" w:cs="Times New Roman"/>
                <w:color w:val="auto"/>
                <w:kern w:val="2"/>
                <w:sz w:val="24"/>
                <w:szCs w:val="24"/>
                <w:highlight w:val="none"/>
                <w:lang w:val="zh-CN" w:eastAsia="zh-CN" w:bidi="ar-SA"/>
              </w:rPr>
              <w:t>处理效率为</w:t>
            </w:r>
            <w:r>
              <w:rPr>
                <w:rFonts w:hint="eastAsia" w:ascii="Times New Roman" w:hAnsi="Times New Roman" w:cs="Times New Roman"/>
                <w:color w:val="auto"/>
                <w:kern w:val="2"/>
                <w:sz w:val="24"/>
                <w:szCs w:val="24"/>
                <w:highlight w:val="none"/>
                <w:lang w:val="en-US" w:eastAsia="zh-CN" w:bidi="ar-SA"/>
              </w:rPr>
              <w:t>70</w:t>
            </w:r>
            <w:r>
              <w:rPr>
                <w:rFonts w:hint="default" w:ascii="Times New Roman" w:hAnsi="Times New Roman" w:eastAsia="宋体" w:cs="Times New Roman"/>
                <w:color w:val="auto"/>
                <w:kern w:val="2"/>
                <w:sz w:val="24"/>
                <w:szCs w:val="24"/>
                <w:highlight w:val="none"/>
                <w:lang w:val="zh-CN" w:eastAsia="zh-CN" w:bidi="ar-SA"/>
              </w:rPr>
              <w:t>%</w:t>
            </w:r>
            <w:r>
              <w:rPr>
                <w:rFonts w:hint="eastAsia" w:cs="Times New Roman"/>
                <w:color w:val="auto"/>
                <w:kern w:val="2"/>
                <w:sz w:val="24"/>
                <w:szCs w:val="24"/>
                <w:highlight w:val="none"/>
                <w:lang w:val="zh-CN" w:eastAsia="zh-CN" w:bidi="ar-SA"/>
              </w:rPr>
              <w:t>，则本项目有组织</w:t>
            </w:r>
            <w:r>
              <w:rPr>
                <w:rFonts w:hint="default" w:ascii="Times New Roman" w:hAnsi="Times New Roman" w:eastAsia="宋体" w:cs="Times New Roman"/>
                <w:color w:val="auto"/>
                <w:kern w:val="2"/>
                <w:sz w:val="24"/>
                <w:szCs w:val="24"/>
                <w:highlight w:val="none"/>
                <w:lang w:val="zh-CN" w:eastAsia="zh-CN" w:bidi="ar-SA"/>
              </w:rPr>
              <w:t>硫酸雾的</w:t>
            </w:r>
            <w:r>
              <w:rPr>
                <w:rFonts w:hint="eastAsia" w:cs="Times New Roman"/>
                <w:color w:val="auto"/>
                <w:kern w:val="2"/>
                <w:sz w:val="24"/>
                <w:szCs w:val="24"/>
                <w:highlight w:val="none"/>
                <w:lang w:val="zh-CN" w:eastAsia="zh-CN" w:bidi="ar-SA"/>
              </w:rPr>
              <w:t>排放</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0.00002</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，最大排放速率为</w:t>
            </w:r>
            <w:r>
              <w:rPr>
                <w:rFonts w:hint="eastAsia" w:cs="Times New Roman"/>
                <w:color w:val="auto"/>
                <w:kern w:val="2"/>
                <w:sz w:val="24"/>
                <w:szCs w:val="24"/>
                <w:highlight w:val="none"/>
                <w:lang w:val="en-US" w:eastAsia="zh-CN" w:bidi="ar-SA"/>
              </w:rPr>
              <w:t>0.0005</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，最大排放浓度为</w:t>
            </w:r>
            <w:r>
              <w:rPr>
                <w:rFonts w:hint="eastAsia" w:cs="Times New Roman"/>
                <w:color w:val="auto"/>
                <w:kern w:val="2"/>
                <w:sz w:val="24"/>
                <w:szCs w:val="24"/>
                <w:highlight w:val="none"/>
                <w:lang w:val="en-US" w:eastAsia="zh-CN" w:bidi="ar-SA"/>
              </w:rPr>
              <w:t>0.05</w:t>
            </w:r>
            <w:r>
              <w:rPr>
                <w:rFonts w:hint="default" w:ascii="Times New Roman" w:hAnsi="Times New Roman" w:eastAsia="宋体" w:cs="Times New Roman"/>
                <w:color w:val="auto"/>
                <w:kern w:val="2"/>
                <w:sz w:val="24"/>
                <w:szCs w:val="24"/>
                <w:highlight w:val="none"/>
                <w:lang w:val="zh-CN" w:eastAsia="zh-CN" w:bidi="ar-SA"/>
              </w:rPr>
              <w:t>mg/m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eastAsia" w:cs="Times New Roman"/>
                <w:color w:val="auto"/>
                <w:kern w:val="2"/>
                <w:sz w:val="24"/>
                <w:szCs w:val="24"/>
                <w:highlight w:val="none"/>
                <w:lang w:val="zh-CN" w:eastAsia="zh-CN" w:bidi="ar-SA"/>
              </w:rPr>
              <w:t>；有组织</w:t>
            </w:r>
            <w:r>
              <w:rPr>
                <w:rFonts w:hint="eastAsia" w:cs="Times New Roman"/>
                <w:color w:val="auto"/>
                <w:sz w:val="24"/>
                <w:highlight w:val="none"/>
                <w:lang w:val="zh-CN" w:eastAsia="zh-CN"/>
              </w:rPr>
              <w:t>氯化氢</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排放</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0.00584</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，排放速率为</w:t>
            </w:r>
            <w:r>
              <w:rPr>
                <w:rFonts w:hint="eastAsia" w:cs="Times New Roman"/>
                <w:color w:val="auto"/>
                <w:kern w:val="2"/>
                <w:sz w:val="24"/>
                <w:szCs w:val="24"/>
                <w:highlight w:val="none"/>
                <w:lang w:val="en-US" w:eastAsia="zh-CN" w:bidi="ar-SA"/>
              </w:rPr>
              <w:t>0.1947</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，排放浓度为</w:t>
            </w:r>
            <w:r>
              <w:rPr>
                <w:rFonts w:hint="eastAsia" w:cs="Times New Roman"/>
                <w:color w:val="auto"/>
                <w:kern w:val="2"/>
                <w:sz w:val="24"/>
                <w:szCs w:val="24"/>
                <w:highlight w:val="none"/>
                <w:lang w:val="en-US" w:eastAsia="zh-CN" w:bidi="ar-SA"/>
              </w:rPr>
              <w:t>19.47</w:t>
            </w:r>
            <w:r>
              <w:rPr>
                <w:rFonts w:hint="default" w:ascii="Times New Roman" w:hAnsi="Times New Roman" w:eastAsia="宋体" w:cs="Times New Roman"/>
                <w:color w:val="auto"/>
                <w:kern w:val="2"/>
                <w:sz w:val="24"/>
                <w:szCs w:val="24"/>
                <w:highlight w:val="none"/>
                <w:lang w:val="zh-CN" w:eastAsia="zh-CN" w:bidi="ar-SA"/>
              </w:rPr>
              <w:t>mg/m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eastAsia" w:cs="Times New Roman"/>
                <w:color w:val="auto"/>
                <w:kern w:val="2"/>
                <w:sz w:val="24"/>
                <w:szCs w:val="24"/>
                <w:highlight w:val="none"/>
                <w:lang w:val="zh-CN" w:eastAsia="zh-CN" w:bidi="ar-SA"/>
              </w:rPr>
              <w:t>；有组织颗粒物</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排放</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0.027</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，排放速率为</w:t>
            </w:r>
            <w:r>
              <w:rPr>
                <w:rFonts w:hint="eastAsia" w:cs="Times New Roman"/>
                <w:color w:val="auto"/>
                <w:kern w:val="2"/>
                <w:sz w:val="24"/>
                <w:szCs w:val="24"/>
                <w:highlight w:val="none"/>
                <w:lang w:val="en-US" w:eastAsia="zh-CN" w:bidi="ar-SA"/>
              </w:rPr>
              <w:t>0.225</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，排放浓度为</w:t>
            </w:r>
            <w:r>
              <w:rPr>
                <w:rFonts w:hint="eastAsia" w:cs="Times New Roman"/>
                <w:color w:val="auto"/>
                <w:kern w:val="2"/>
                <w:sz w:val="24"/>
                <w:szCs w:val="24"/>
                <w:highlight w:val="none"/>
                <w:lang w:val="en-US" w:eastAsia="zh-CN" w:bidi="ar-SA"/>
              </w:rPr>
              <w:t>22.5</w:t>
            </w:r>
            <w:r>
              <w:rPr>
                <w:rFonts w:hint="default" w:ascii="Times New Roman" w:hAnsi="Times New Roman" w:eastAsia="宋体" w:cs="Times New Roman"/>
                <w:color w:val="auto"/>
                <w:kern w:val="2"/>
                <w:sz w:val="24"/>
                <w:szCs w:val="24"/>
                <w:highlight w:val="none"/>
                <w:lang w:val="zh-CN" w:eastAsia="zh-CN" w:bidi="ar-SA"/>
              </w:rPr>
              <w:t>mg/m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eastAsia" w:cs="Times New Roman"/>
                <w:color w:val="auto"/>
                <w:kern w:val="2"/>
                <w:sz w:val="24"/>
                <w:szCs w:val="24"/>
                <w:highlight w:val="none"/>
                <w:lang w:val="zh-CN" w:eastAsia="zh-CN" w:bidi="ar-SA"/>
              </w:rPr>
              <w:t>；有组织氟化物</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排放</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0.1877</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，最大排放速率为</w:t>
            </w:r>
            <w:r>
              <w:rPr>
                <w:rFonts w:hint="eastAsia" w:cs="Times New Roman"/>
                <w:color w:val="auto"/>
                <w:kern w:val="2"/>
                <w:sz w:val="24"/>
                <w:szCs w:val="24"/>
                <w:highlight w:val="none"/>
                <w:lang w:val="en-US" w:eastAsia="zh-CN" w:bidi="ar-SA"/>
              </w:rPr>
              <w:t>0.0391</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，最大排放浓度为</w:t>
            </w:r>
            <w:r>
              <w:rPr>
                <w:rFonts w:hint="eastAsia" w:cs="Times New Roman"/>
                <w:color w:val="auto"/>
                <w:kern w:val="2"/>
                <w:sz w:val="24"/>
                <w:szCs w:val="24"/>
                <w:highlight w:val="none"/>
                <w:lang w:val="en-US" w:eastAsia="zh-CN" w:bidi="ar-SA"/>
              </w:rPr>
              <w:t>3.91</w:t>
            </w:r>
            <w:r>
              <w:rPr>
                <w:rFonts w:hint="default" w:ascii="Times New Roman" w:hAnsi="Times New Roman" w:eastAsia="宋体" w:cs="Times New Roman"/>
                <w:color w:val="auto"/>
                <w:kern w:val="2"/>
                <w:sz w:val="24"/>
                <w:szCs w:val="24"/>
                <w:highlight w:val="none"/>
                <w:lang w:val="zh-CN" w:eastAsia="zh-CN" w:bidi="ar-SA"/>
              </w:rPr>
              <w:t>mg/m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eastAsia" w:cs="Times New Roman"/>
                <w:color w:val="auto"/>
                <w:kern w:val="2"/>
                <w:sz w:val="24"/>
                <w:szCs w:val="24"/>
                <w:highlight w:val="none"/>
                <w:lang w:val="zh-CN" w:eastAsia="zh-CN" w:bidi="ar-SA"/>
              </w:rPr>
              <w:t>。</w:t>
            </w:r>
          </w:p>
          <w:p w14:paraId="3A26606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olor w:val="auto"/>
                <w:highlight w:val="none"/>
                <w:lang w:val="en-US" w:eastAsia="zh-CN"/>
              </w:rPr>
            </w:pPr>
            <w:r>
              <w:rPr>
                <w:rFonts w:hint="eastAsia"/>
                <w:color w:val="auto"/>
                <w:sz w:val="24"/>
                <w:szCs w:val="24"/>
                <w:highlight w:val="none"/>
                <w:lang w:val="zh-CN"/>
              </w:rPr>
              <w:t>本项目运营期间</w:t>
            </w:r>
            <w:r>
              <w:rPr>
                <w:rFonts w:hint="eastAsia"/>
                <w:color w:val="auto"/>
                <w:sz w:val="24"/>
                <w:szCs w:val="24"/>
                <w:highlight w:val="none"/>
                <w:lang w:val="en-US" w:eastAsia="zh-CN"/>
              </w:rPr>
              <w:t>有组织废气</w:t>
            </w:r>
            <w:r>
              <w:rPr>
                <w:rFonts w:hint="eastAsia"/>
                <w:color w:val="auto"/>
                <w:sz w:val="24"/>
                <w:szCs w:val="24"/>
                <w:highlight w:val="none"/>
                <w:lang w:val="zh-CN"/>
              </w:rPr>
              <w:t>的产排情况见下表</w:t>
            </w:r>
            <w:r>
              <w:rPr>
                <w:rFonts w:hint="eastAsia"/>
                <w:color w:val="auto"/>
                <w:sz w:val="24"/>
                <w:szCs w:val="24"/>
                <w:highlight w:val="none"/>
                <w:lang w:val="en-US" w:eastAsia="zh-CN"/>
              </w:rPr>
              <w:t>。</w:t>
            </w:r>
          </w:p>
          <w:p w14:paraId="4D822CEA">
            <w:pPr>
              <w:pStyle w:val="2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b/>
                <w:color w:val="auto"/>
                <w:sz w:val="21"/>
                <w:szCs w:val="21"/>
                <w:highlight w:val="none"/>
                <w:lang w:eastAsia="zh-CN"/>
              </w:rPr>
            </w:pPr>
            <w:r>
              <w:rPr>
                <w:rFonts w:hint="eastAsia"/>
                <w:b/>
                <w:color w:val="auto"/>
                <w:sz w:val="21"/>
                <w:szCs w:val="21"/>
                <w:highlight w:val="none"/>
                <w:lang w:eastAsia="zh-CN"/>
              </w:rPr>
              <w:t>表</w:t>
            </w:r>
            <w:r>
              <w:rPr>
                <w:rFonts w:hint="eastAsia"/>
                <w:b/>
                <w:color w:val="auto"/>
                <w:sz w:val="21"/>
                <w:szCs w:val="21"/>
                <w:highlight w:val="none"/>
                <w:lang w:val="en-US" w:eastAsia="zh-CN"/>
              </w:rPr>
              <w:t>4-3  有组织废气</w:t>
            </w:r>
            <w:r>
              <w:rPr>
                <w:rFonts w:hint="eastAsia"/>
                <w:b/>
                <w:color w:val="auto"/>
                <w:sz w:val="21"/>
                <w:szCs w:val="21"/>
                <w:highlight w:val="none"/>
                <w:lang w:eastAsia="zh-CN"/>
              </w:rPr>
              <w:t>产排情况一览表</w:t>
            </w:r>
          </w:p>
          <w:tbl>
            <w:tblPr>
              <w:tblStyle w:val="25"/>
              <w:tblW w:w="84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1"/>
              <w:gridCol w:w="390"/>
              <w:gridCol w:w="900"/>
              <w:gridCol w:w="797"/>
              <w:gridCol w:w="855"/>
              <w:gridCol w:w="960"/>
              <w:gridCol w:w="450"/>
              <w:gridCol w:w="900"/>
              <w:gridCol w:w="885"/>
              <w:gridCol w:w="780"/>
              <w:gridCol w:w="435"/>
              <w:gridCol w:w="643"/>
            </w:tblGrid>
            <w:tr w14:paraId="5DCB1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jc w:val="center"/>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075F5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污染源</w:t>
                  </w:r>
                </w:p>
              </w:tc>
              <w:tc>
                <w:tcPr>
                  <w:tcW w:w="3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0963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w:t>
                  </w:r>
                </w:p>
              </w:tc>
              <w:tc>
                <w:tcPr>
                  <w:tcW w:w="2552" w:type="dxa"/>
                  <w:gridSpan w:val="3"/>
                  <w:tcBorders>
                    <w:top w:val="single" w:color="000000" w:sz="4" w:space="0"/>
                    <w:left w:val="single" w:color="000000" w:sz="4" w:space="0"/>
                    <w:bottom w:val="single" w:color="000000" w:sz="4" w:space="0"/>
                    <w:right w:val="nil"/>
                  </w:tcBorders>
                  <w:shd w:val="clear" w:color="auto" w:fill="auto"/>
                  <w:vAlign w:val="center"/>
                </w:tcPr>
                <w:p w14:paraId="3382899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产生情况</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23F6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治理措施</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38B83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去除效率</w:t>
                  </w:r>
                </w:p>
              </w:tc>
              <w:tc>
                <w:tcPr>
                  <w:tcW w:w="2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0D99A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排放情况</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0A341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排放去向</w:t>
                  </w:r>
                </w:p>
              </w:tc>
              <w:tc>
                <w:tcPr>
                  <w:tcW w:w="6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5C0A43">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废气量</w:t>
                  </w:r>
                </w:p>
                <w:p w14:paraId="606AF0E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万</w:t>
                  </w:r>
                  <w:r>
                    <w:rPr>
                      <w:rFonts w:hint="default" w:ascii="Times New Roman" w:hAnsi="Times New Roman" w:eastAsia="宋体" w:cs="Times New Roman"/>
                      <w:b/>
                      <w:bCs/>
                      <w:i w:val="0"/>
                      <w:iCs w:val="0"/>
                      <w:color w:val="auto"/>
                      <w:kern w:val="0"/>
                      <w:sz w:val="21"/>
                      <w:szCs w:val="21"/>
                      <w:highlight w:val="none"/>
                      <w:u w:val="none"/>
                      <w:lang w:val="en-US" w:eastAsia="zh-CN" w:bidi="ar"/>
                    </w:rPr>
                    <w:t>Nm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/a</w:t>
                  </w:r>
                </w:p>
              </w:tc>
            </w:tr>
            <w:tr w14:paraId="7EB8B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7C5C0">
                  <w:pPr>
                    <w:jc w:val="center"/>
                    <w:rPr>
                      <w:rFonts w:hint="eastAsia" w:ascii="宋体" w:hAnsi="宋体" w:eastAsia="宋体" w:cs="宋体"/>
                      <w:b/>
                      <w:bCs/>
                      <w:i w:val="0"/>
                      <w:iCs w:val="0"/>
                      <w:color w:val="auto"/>
                      <w:sz w:val="21"/>
                      <w:szCs w:val="21"/>
                      <w:highlight w:val="none"/>
                      <w:u w:val="none"/>
                    </w:rPr>
                  </w:pPr>
                </w:p>
              </w:tc>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EAF8E">
                  <w:pPr>
                    <w:jc w:val="center"/>
                    <w:rPr>
                      <w:rFonts w:hint="eastAsia" w:ascii="宋体" w:hAnsi="宋体" w:eastAsia="宋体" w:cs="宋体"/>
                      <w:b/>
                      <w:bCs/>
                      <w:i w:val="0"/>
                      <w:iCs w:val="0"/>
                      <w:color w:val="auto"/>
                      <w:sz w:val="21"/>
                      <w:szCs w:val="21"/>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E81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EED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产生速率</w:t>
                  </w:r>
                  <w:r>
                    <w:rPr>
                      <w:rFonts w:hint="default" w:ascii="Times New Roman" w:hAnsi="Times New Roman" w:eastAsia="宋体" w:cs="Times New Roman"/>
                      <w:b/>
                      <w:bCs/>
                      <w:i w:val="0"/>
                      <w:iCs w:val="0"/>
                      <w:color w:val="auto"/>
                      <w:kern w:val="0"/>
                      <w:sz w:val="21"/>
                      <w:szCs w:val="21"/>
                      <w:highlight w:val="none"/>
                      <w:u w:val="none"/>
                      <w:lang w:val="en-US" w:eastAsia="zh-CN" w:bidi="ar"/>
                    </w:rPr>
                    <w:t>kg/h</w:t>
                  </w:r>
                </w:p>
              </w:tc>
              <w:tc>
                <w:tcPr>
                  <w:tcW w:w="855" w:type="dxa"/>
                  <w:tcBorders>
                    <w:top w:val="single" w:color="000000" w:sz="4" w:space="0"/>
                    <w:left w:val="single" w:color="000000" w:sz="4" w:space="0"/>
                    <w:bottom w:val="single" w:color="000000" w:sz="4" w:space="0"/>
                    <w:right w:val="nil"/>
                  </w:tcBorders>
                  <w:shd w:val="clear" w:color="auto" w:fill="auto"/>
                  <w:vAlign w:val="center"/>
                </w:tcPr>
                <w:p w14:paraId="18A200F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产生浓度</w:t>
                  </w:r>
                  <w:r>
                    <w:rPr>
                      <w:rFonts w:hint="default" w:ascii="Times New Roman" w:hAnsi="Times New Roman" w:eastAsia="宋体" w:cs="Times New Roman"/>
                      <w:b/>
                      <w:bCs/>
                      <w:i w:val="0"/>
                      <w:iCs w:val="0"/>
                      <w:color w:val="auto"/>
                      <w:kern w:val="0"/>
                      <w:sz w:val="21"/>
                      <w:szCs w:val="21"/>
                      <w:highlight w:val="none"/>
                      <w:u w:val="none"/>
                      <w:lang w:val="en-US" w:eastAsia="zh-CN" w:bidi="ar"/>
                    </w:rPr>
                    <w:t>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E7DAA">
                  <w:pPr>
                    <w:jc w:val="center"/>
                    <w:rPr>
                      <w:rFonts w:hint="eastAsia" w:ascii="宋体" w:hAnsi="宋体" w:eastAsia="宋体" w:cs="宋体"/>
                      <w:b/>
                      <w:bCs/>
                      <w:i w:val="0"/>
                      <w:iCs w:val="0"/>
                      <w:color w:val="auto"/>
                      <w:sz w:val="21"/>
                      <w:szCs w:val="21"/>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DC00F">
                  <w:pPr>
                    <w:jc w:val="center"/>
                    <w:rPr>
                      <w:rFonts w:hint="eastAsia" w:ascii="宋体" w:hAnsi="宋体" w:eastAsia="宋体" w:cs="宋体"/>
                      <w:b/>
                      <w:bCs/>
                      <w:i w:val="0"/>
                      <w:iCs w:val="0"/>
                      <w:color w:val="auto"/>
                      <w:sz w:val="21"/>
                      <w:szCs w:val="21"/>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218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D46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排放速率</w:t>
                  </w:r>
                  <w:r>
                    <w:rPr>
                      <w:rStyle w:val="99"/>
                      <w:rFonts w:eastAsia="宋体"/>
                      <w:color w:val="auto"/>
                      <w:sz w:val="21"/>
                      <w:szCs w:val="21"/>
                      <w:highlight w:val="none"/>
                      <w:lang w:val="en-US" w:eastAsia="zh-CN" w:bidi="ar"/>
                    </w:rPr>
                    <w:t>kg/h</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8A7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排放浓度</w:t>
                  </w:r>
                  <w:r>
                    <w:rPr>
                      <w:rStyle w:val="99"/>
                      <w:rFonts w:eastAsia="宋体"/>
                      <w:color w:val="auto"/>
                      <w:sz w:val="21"/>
                      <w:szCs w:val="21"/>
                      <w:highlight w:val="none"/>
                      <w:lang w:val="en-US" w:eastAsia="zh-CN" w:bidi="ar"/>
                    </w:rPr>
                    <w:t>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893C5">
                  <w:pPr>
                    <w:jc w:val="center"/>
                    <w:rPr>
                      <w:rFonts w:hint="eastAsia" w:ascii="宋体" w:hAnsi="宋体" w:eastAsia="宋体" w:cs="宋体"/>
                      <w:b/>
                      <w:bCs/>
                      <w:i w:val="0"/>
                      <w:iCs w:val="0"/>
                      <w:color w:val="auto"/>
                      <w:sz w:val="21"/>
                      <w:szCs w:val="21"/>
                      <w:highlight w:val="none"/>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9B7FE">
                  <w:pPr>
                    <w:jc w:val="center"/>
                    <w:rPr>
                      <w:rFonts w:hint="eastAsia" w:ascii="宋体" w:hAnsi="宋体" w:eastAsia="宋体" w:cs="宋体"/>
                      <w:b/>
                      <w:bCs/>
                      <w:i w:val="0"/>
                      <w:iCs w:val="0"/>
                      <w:color w:val="auto"/>
                      <w:sz w:val="21"/>
                      <w:szCs w:val="21"/>
                      <w:highlight w:val="none"/>
                      <w:u w:val="none"/>
                    </w:rPr>
                  </w:pPr>
                </w:p>
              </w:tc>
            </w:tr>
            <w:tr w14:paraId="408D1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jc w:val="center"/>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70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混合废气有组织排放（</w:t>
                  </w:r>
                  <w:r>
                    <w:rPr>
                      <w:rStyle w:val="100"/>
                      <w:rFonts w:eastAsia="宋体"/>
                      <w:color w:val="auto"/>
                      <w:sz w:val="21"/>
                      <w:szCs w:val="21"/>
                      <w:highlight w:val="none"/>
                      <w:lang w:val="en-US" w:eastAsia="zh-CN" w:bidi="ar"/>
                    </w:rPr>
                    <w:t>DA002</w:t>
                  </w:r>
                  <w:r>
                    <w:rPr>
                      <w:rFonts w:hint="eastAsia" w:ascii="宋体" w:hAnsi="宋体" w:eastAsia="宋体" w:cs="宋体"/>
                      <w:i w:val="0"/>
                      <w:iCs w:val="0"/>
                      <w:color w:val="auto"/>
                      <w:kern w:val="0"/>
                      <w:sz w:val="21"/>
                      <w:szCs w:val="21"/>
                      <w:highlight w:val="none"/>
                      <w:u w:val="none"/>
                      <w:lang w:val="en-US" w:eastAsia="zh-CN" w:bidi="ar"/>
                    </w:rPr>
                    <w:t>）</w:t>
                  </w:r>
                </w:p>
              </w:tc>
              <w:tc>
                <w:tcPr>
                  <w:tcW w:w="390" w:type="dxa"/>
                  <w:tcBorders>
                    <w:top w:val="single" w:color="000000" w:sz="4" w:space="0"/>
                    <w:left w:val="single" w:color="000000" w:sz="4" w:space="0"/>
                    <w:right w:val="single" w:color="000000" w:sz="4" w:space="0"/>
                  </w:tcBorders>
                  <w:shd w:val="clear" w:color="auto" w:fill="auto"/>
                  <w:vAlign w:val="center"/>
                </w:tcPr>
                <w:p w14:paraId="0B5304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硫酸雾</w:t>
                  </w:r>
                </w:p>
              </w:tc>
              <w:tc>
                <w:tcPr>
                  <w:tcW w:w="900" w:type="dxa"/>
                  <w:tcBorders>
                    <w:top w:val="single" w:color="000000" w:sz="4" w:space="0"/>
                    <w:left w:val="single" w:color="000000" w:sz="4" w:space="0"/>
                    <w:right w:val="single" w:color="000000" w:sz="4" w:space="0"/>
                  </w:tcBorders>
                  <w:shd w:val="clear" w:color="auto" w:fill="auto"/>
                  <w:vAlign w:val="center"/>
                </w:tcPr>
                <w:p w14:paraId="1BAD9C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0.00016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D5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0.0052</w:t>
                  </w:r>
                  <w:r>
                    <w:rPr>
                      <w:rFonts w:hint="eastAsia" w:ascii="宋体" w:hAnsi="宋体" w:eastAsia="宋体" w:cs="宋体"/>
                      <w:i w:val="0"/>
                      <w:iCs w:val="0"/>
                      <w:color w:val="auto"/>
                      <w:kern w:val="0"/>
                      <w:sz w:val="21"/>
                      <w:szCs w:val="21"/>
                      <w:highlight w:val="none"/>
                      <w:u w:val="none"/>
                      <w:lang w:val="en-US" w:eastAsia="zh-CN" w:bidi="ar"/>
                    </w:rPr>
                    <w:t>（最大）</w:t>
                  </w:r>
                </w:p>
              </w:tc>
              <w:tc>
                <w:tcPr>
                  <w:tcW w:w="855" w:type="dxa"/>
                  <w:tcBorders>
                    <w:top w:val="single" w:color="000000" w:sz="4" w:space="0"/>
                    <w:left w:val="single" w:color="000000" w:sz="4" w:space="0"/>
                    <w:right w:val="single" w:color="000000" w:sz="4" w:space="0"/>
                  </w:tcBorders>
                  <w:shd w:val="clear" w:color="auto" w:fill="auto"/>
                  <w:vAlign w:val="center"/>
                </w:tcPr>
                <w:p w14:paraId="34666F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0.52</w:t>
                  </w:r>
                  <w:r>
                    <w:rPr>
                      <w:rFonts w:hint="eastAsia" w:ascii="宋体" w:hAnsi="宋体" w:eastAsia="宋体" w:cs="宋体"/>
                      <w:i w:val="0"/>
                      <w:iCs w:val="0"/>
                      <w:color w:val="auto"/>
                      <w:kern w:val="0"/>
                      <w:sz w:val="21"/>
                      <w:szCs w:val="21"/>
                      <w:highlight w:val="none"/>
                      <w:u w:val="none"/>
                      <w:lang w:val="en-US" w:eastAsia="zh-CN" w:bidi="ar"/>
                    </w:rPr>
                    <w:t>（最大）</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E460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封</w:t>
                  </w:r>
                  <w:r>
                    <w:rPr>
                      <w:rFonts w:hint="eastAsia" w:ascii="宋体" w:hAnsi="宋体" w:eastAsia="宋体" w:cs="宋体"/>
                      <w:i w:val="0"/>
                      <w:iCs w:val="0"/>
                      <w:color w:val="auto"/>
                      <w:kern w:val="0"/>
                      <w:sz w:val="21"/>
                      <w:szCs w:val="21"/>
                      <w:highlight w:val="none"/>
                      <w:u w:val="none"/>
                      <w:lang w:val="en-US" w:eastAsia="zh-CN" w:bidi="ar"/>
                    </w:rPr>
                    <w:t>闭生产</w:t>
                  </w:r>
                  <w:r>
                    <w:rPr>
                      <w:rFonts w:hint="eastAsia" w:ascii="宋体" w:hAnsi="宋体" w:cs="宋体"/>
                      <w:i w:val="0"/>
                      <w:iCs w:val="0"/>
                      <w:color w:val="auto"/>
                      <w:kern w:val="0"/>
                      <w:sz w:val="21"/>
                      <w:szCs w:val="21"/>
                      <w:highlight w:val="none"/>
                      <w:u w:val="none"/>
                      <w:lang w:val="en-US" w:eastAsia="zh-CN" w:bidi="ar"/>
                    </w:rPr>
                    <w:t>车间</w:t>
                  </w:r>
                  <w:r>
                    <w:rPr>
                      <w:rFonts w:hint="eastAsia" w:ascii="宋体" w:hAnsi="宋体" w:eastAsia="宋体" w:cs="宋体"/>
                      <w:i w:val="0"/>
                      <w:iCs w:val="0"/>
                      <w:color w:val="auto"/>
                      <w:kern w:val="0"/>
                      <w:sz w:val="21"/>
                      <w:szCs w:val="21"/>
                      <w:highlight w:val="none"/>
                      <w:u w:val="none"/>
                      <w:lang w:val="en-US" w:eastAsia="zh-CN" w:bidi="ar"/>
                    </w:rPr>
                    <w:t>集气管道</w:t>
                  </w:r>
                  <w:r>
                    <w:rPr>
                      <w:rStyle w:val="100"/>
                      <w:rFonts w:eastAsia="宋体"/>
                      <w:color w:val="auto"/>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碱液喷淋洗涤塔</w:t>
                  </w:r>
                  <w:r>
                    <w:rPr>
                      <w:rStyle w:val="100"/>
                      <w:rFonts w:eastAsia="宋体"/>
                      <w:color w:val="auto"/>
                      <w:sz w:val="21"/>
                      <w:szCs w:val="21"/>
                      <w:highlight w:val="none"/>
                      <w:lang w:val="en-US" w:eastAsia="zh-CN" w:bidi="ar"/>
                    </w:rPr>
                    <w:t>+15m</w:t>
                  </w:r>
                  <w:r>
                    <w:rPr>
                      <w:rFonts w:hint="eastAsia" w:ascii="宋体" w:hAnsi="宋体" w:eastAsia="宋体" w:cs="宋体"/>
                      <w:i w:val="0"/>
                      <w:iCs w:val="0"/>
                      <w:color w:val="auto"/>
                      <w:kern w:val="0"/>
                      <w:sz w:val="21"/>
                      <w:szCs w:val="21"/>
                      <w:highlight w:val="none"/>
                      <w:u w:val="none"/>
                      <w:lang w:val="en-US" w:eastAsia="zh-CN" w:bidi="ar"/>
                    </w:rPr>
                    <w:t>高排气筒。风机风量为10000m</w:t>
                  </w:r>
                  <w:r>
                    <w:rPr>
                      <w:rFonts w:hint="eastAsia" w:ascii="宋体" w:hAnsi="宋体" w:eastAsia="宋体" w:cs="宋体"/>
                      <w:i w:val="0"/>
                      <w:iCs w:val="0"/>
                      <w:color w:val="auto"/>
                      <w:kern w:val="0"/>
                      <w:sz w:val="21"/>
                      <w:szCs w:val="21"/>
                      <w:highlight w:val="none"/>
                      <w:u w:val="none"/>
                      <w:vertAlign w:val="superscript"/>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/h，收集效率为90%。</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E6C7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90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00" w:type="dxa"/>
                  <w:tcBorders>
                    <w:top w:val="single" w:color="000000" w:sz="4" w:space="0"/>
                    <w:left w:val="single" w:color="000000" w:sz="4" w:space="0"/>
                    <w:right w:val="single" w:color="000000" w:sz="4" w:space="0"/>
                  </w:tcBorders>
                  <w:shd w:val="clear" w:color="auto" w:fill="auto"/>
                  <w:vAlign w:val="center"/>
                </w:tcPr>
                <w:p w14:paraId="2CA140A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0.00002</w:t>
                  </w:r>
                </w:p>
              </w:tc>
              <w:tc>
                <w:tcPr>
                  <w:tcW w:w="885" w:type="dxa"/>
                  <w:tcBorders>
                    <w:top w:val="single" w:color="000000" w:sz="4" w:space="0"/>
                    <w:left w:val="single" w:color="000000" w:sz="4" w:space="0"/>
                    <w:right w:val="single" w:color="000000" w:sz="4" w:space="0"/>
                  </w:tcBorders>
                  <w:shd w:val="clear" w:color="auto" w:fill="auto"/>
                  <w:vAlign w:val="center"/>
                </w:tcPr>
                <w:p w14:paraId="63ED7A1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0.0005</w:t>
                  </w:r>
                  <w:r>
                    <w:rPr>
                      <w:rFonts w:hint="eastAsia" w:ascii="宋体" w:hAnsi="宋体" w:eastAsia="宋体" w:cs="宋体"/>
                      <w:i w:val="0"/>
                      <w:iCs w:val="0"/>
                      <w:color w:val="auto"/>
                      <w:kern w:val="0"/>
                      <w:sz w:val="21"/>
                      <w:szCs w:val="21"/>
                      <w:highlight w:val="none"/>
                      <w:u w:val="none"/>
                      <w:lang w:val="en-US" w:eastAsia="zh-CN" w:bidi="ar"/>
                    </w:rPr>
                    <w:t>（最大）</w:t>
                  </w:r>
                </w:p>
              </w:tc>
              <w:tc>
                <w:tcPr>
                  <w:tcW w:w="780" w:type="dxa"/>
                  <w:tcBorders>
                    <w:top w:val="single" w:color="000000" w:sz="4" w:space="0"/>
                    <w:left w:val="single" w:color="000000" w:sz="4" w:space="0"/>
                    <w:right w:val="single" w:color="000000" w:sz="4" w:space="0"/>
                  </w:tcBorders>
                  <w:shd w:val="clear" w:color="auto" w:fill="auto"/>
                  <w:vAlign w:val="center"/>
                </w:tcPr>
                <w:p w14:paraId="7949474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r>
                    <w:rPr>
                      <w:rFonts w:hint="eastAsia" w:ascii="宋体" w:hAnsi="宋体" w:eastAsia="宋体" w:cs="宋体"/>
                      <w:i w:val="0"/>
                      <w:iCs w:val="0"/>
                      <w:color w:val="auto"/>
                      <w:kern w:val="0"/>
                      <w:sz w:val="21"/>
                      <w:szCs w:val="21"/>
                      <w:highlight w:val="none"/>
                      <w:u w:val="none"/>
                      <w:lang w:val="en-US" w:eastAsia="zh-CN" w:bidi="ar"/>
                    </w:rPr>
                    <w:t>（最大）</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9C6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15m</w:t>
                  </w:r>
                  <w:r>
                    <w:rPr>
                      <w:rFonts w:hint="eastAsia" w:ascii="宋体" w:hAnsi="宋体" w:eastAsia="宋体" w:cs="宋体"/>
                      <w:i w:val="0"/>
                      <w:iCs w:val="0"/>
                      <w:color w:val="auto"/>
                      <w:kern w:val="0"/>
                      <w:sz w:val="21"/>
                      <w:szCs w:val="21"/>
                      <w:highlight w:val="none"/>
                      <w:u w:val="none"/>
                      <w:lang w:val="en-US" w:eastAsia="zh-CN" w:bidi="ar"/>
                    </w:rPr>
                    <w:t>高排气筒（</w:t>
                  </w:r>
                  <w:r>
                    <w:rPr>
                      <w:rStyle w:val="100"/>
                      <w:rFonts w:eastAsia="宋体"/>
                      <w:color w:val="auto"/>
                      <w:sz w:val="21"/>
                      <w:szCs w:val="21"/>
                      <w:highlight w:val="none"/>
                      <w:lang w:val="en-US" w:eastAsia="zh-CN" w:bidi="ar"/>
                    </w:rPr>
                    <w:t>DA002</w:t>
                  </w:r>
                  <w:r>
                    <w:rPr>
                      <w:rFonts w:hint="eastAsia" w:ascii="宋体" w:hAnsi="宋体" w:eastAsia="宋体" w:cs="宋体"/>
                      <w:i w:val="0"/>
                      <w:iCs w:val="0"/>
                      <w:color w:val="auto"/>
                      <w:kern w:val="0"/>
                      <w:sz w:val="21"/>
                      <w:szCs w:val="21"/>
                      <w:highlight w:val="none"/>
                      <w:u w:val="none"/>
                      <w:lang w:val="en-US" w:eastAsia="zh-CN" w:bidi="ar"/>
                    </w:rPr>
                    <w:t>）</w:t>
                  </w:r>
                </w:p>
              </w:tc>
              <w:tc>
                <w:tcPr>
                  <w:tcW w:w="6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A14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4950</w:t>
                  </w:r>
                </w:p>
              </w:tc>
            </w:tr>
            <w:tr w14:paraId="5109E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8A389">
                  <w:pPr>
                    <w:jc w:val="center"/>
                    <w:rPr>
                      <w:rFonts w:hint="eastAsia" w:ascii="宋体" w:hAnsi="宋体" w:eastAsia="宋体" w:cs="宋体"/>
                      <w:i w:val="0"/>
                      <w:iCs w:val="0"/>
                      <w:color w:val="auto"/>
                      <w:sz w:val="21"/>
                      <w:szCs w:val="21"/>
                      <w:highlight w:val="none"/>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FB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zh-CN" w:eastAsia="zh-CN"/>
                    </w:rPr>
                    <w:t>氯化氢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EF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0.0584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0D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1.9467</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CB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194.67</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72AFB">
                  <w:pPr>
                    <w:jc w:val="center"/>
                    <w:rPr>
                      <w:rFonts w:hint="eastAsia" w:ascii="宋体" w:hAnsi="宋体" w:eastAsia="宋体" w:cs="宋体"/>
                      <w:i w:val="0"/>
                      <w:iCs w:val="0"/>
                      <w:color w:val="auto"/>
                      <w:sz w:val="21"/>
                      <w:szCs w:val="21"/>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89A9A">
                  <w:pPr>
                    <w:jc w:val="center"/>
                    <w:rPr>
                      <w:rFonts w:hint="default" w:ascii="Times New Roman" w:hAnsi="Times New Roman" w:eastAsia="宋体" w:cs="Times New Roman"/>
                      <w:i w:val="0"/>
                      <w:iCs w:val="0"/>
                      <w:color w:val="auto"/>
                      <w:sz w:val="21"/>
                      <w:szCs w:val="21"/>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D1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0.00584</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93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0.1947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1B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19.47</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56544">
                  <w:pPr>
                    <w:jc w:val="center"/>
                    <w:rPr>
                      <w:rFonts w:hint="default" w:ascii="Times New Roman" w:hAnsi="Times New Roman" w:eastAsia="宋体" w:cs="Times New Roman"/>
                      <w:i w:val="0"/>
                      <w:iCs w:val="0"/>
                      <w:color w:val="auto"/>
                      <w:sz w:val="21"/>
                      <w:szCs w:val="21"/>
                      <w:highlight w:val="none"/>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9EB88">
                  <w:pPr>
                    <w:jc w:val="center"/>
                    <w:rPr>
                      <w:rFonts w:hint="default" w:ascii="Times New Roman" w:hAnsi="Times New Roman" w:eastAsia="宋体" w:cs="Times New Roman"/>
                      <w:i w:val="0"/>
                      <w:iCs w:val="0"/>
                      <w:color w:val="auto"/>
                      <w:sz w:val="21"/>
                      <w:szCs w:val="21"/>
                      <w:highlight w:val="none"/>
                      <w:u w:val="none"/>
                    </w:rPr>
                  </w:pPr>
                </w:p>
              </w:tc>
            </w:tr>
            <w:tr w14:paraId="40E43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97" w:hRule="atLeast"/>
                <w:jc w:val="center"/>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74DD5">
                  <w:pPr>
                    <w:jc w:val="center"/>
                    <w:rPr>
                      <w:rFonts w:hint="eastAsia" w:ascii="宋体" w:hAnsi="宋体" w:eastAsia="宋体" w:cs="宋体"/>
                      <w:i w:val="0"/>
                      <w:iCs w:val="0"/>
                      <w:color w:val="auto"/>
                      <w:sz w:val="21"/>
                      <w:szCs w:val="21"/>
                      <w:highlight w:val="none"/>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75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颗粒物</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8D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8B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0.75</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29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79934">
                  <w:pPr>
                    <w:jc w:val="center"/>
                    <w:rPr>
                      <w:rFonts w:hint="eastAsia" w:ascii="宋体" w:hAnsi="宋体" w:eastAsia="宋体" w:cs="宋体"/>
                      <w:i w:val="0"/>
                      <w:iCs w:val="0"/>
                      <w:color w:val="auto"/>
                      <w:sz w:val="21"/>
                      <w:szCs w:val="21"/>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49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61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0.027</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05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0.225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3C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80A47">
                  <w:pPr>
                    <w:jc w:val="center"/>
                    <w:rPr>
                      <w:rFonts w:hint="default" w:ascii="Times New Roman" w:hAnsi="Times New Roman" w:eastAsia="宋体" w:cs="Times New Roman"/>
                      <w:i w:val="0"/>
                      <w:iCs w:val="0"/>
                      <w:color w:val="auto"/>
                      <w:sz w:val="21"/>
                      <w:szCs w:val="21"/>
                      <w:highlight w:val="none"/>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0858B">
                  <w:pPr>
                    <w:jc w:val="center"/>
                    <w:rPr>
                      <w:rFonts w:hint="default" w:ascii="Times New Roman" w:hAnsi="Times New Roman" w:eastAsia="宋体" w:cs="Times New Roman"/>
                      <w:i w:val="0"/>
                      <w:iCs w:val="0"/>
                      <w:color w:val="auto"/>
                      <w:sz w:val="21"/>
                      <w:szCs w:val="21"/>
                      <w:highlight w:val="none"/>
                      <w:u w:val="none"/>
                    </w:rPr>
                  </w:pPr>
                </w:p>
              </w:tc>
            </w:tr>
            <w:tr w14:paraId="0B91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16D90">
                  <w:pPr>
                    <w:jc w:val="center"/>
                    <w:rPr>
                      <w:rFonts w:hint="eastAsia" w:ascii="宋体" w:hAnsi="宋体" w:eastAsia="宋体" w:cs="宋体"/>
                      <w:i w:val="0"/>
                      <w:iCs w:val="0"/>
                      <w:color w:val="auto"/>
                      <w:sz w:val="21"/>
                      <w:szCs w:val="21"/>
                      <w:highlight w:val="none"/>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F0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氟化</w:t>
                  </w:r>
                  <w:r>
                    <w:rPr>
                      <w:rFonts w:hint="eastAsia" w:ascii="宋体" w:hAnsi="宋体" w:cs="宋体"/>
                      <w:i w:val="0"/>
                      <w:iCs w:val="0"/>
                      <w:color w:val="auto"/>
                      <w:kern w:val="0"/>
                      <w:sz w:val="21"/>
                      <w:szCs w:val="21"/>
                      <w:highlight w:val="none"/>
                      <w:u w:val="none"/>
                      <w:lang w:val="en-US" w:eastAsia="zh-CN" w:bidi="ar"/>
                    </w:rPr>
                    <w:t>物</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E3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 1.8766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08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0.5063（最大）</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49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 50.63（最大）</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CA8D1">
                  <w:pPr>
                    <w:jc w:val="center"/>
                    <w:rPr>
                      <w:rFonts w:hint="eastAsia" w:ascii="宋体" w:hAnsi="宋体" w:eastAsia="宋体" w:cs="宋体"/>
                      <w:i w:val="0"/>
                      <w:iCs w:val="0"/>
                      <w:color w:val="auto"/>
                      <w:sz w:val="21"/>
                      <w:szCs w:val="21"/>
                      <w:highlight w:val="none"/>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19B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90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61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 xml:space="preserve"> 0.1877</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58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0.0391</w:t>
                  </w:r>
                  <w:r>
                    <w:rPr>
                      <w:rFonts w:hint="eastAsia" w:cs="Times New Roman"/>
                      <w:color w:val="auto"/>
                      <w:w w:val="100"/>
                      <w:kern w:val="2"/>
                      <w:sz w:val="21"/>
                      <w:szCs w:val="21"/>
                      <w:highlight w:val="none"/>
                      <w:lang w:val="en-US" w:eastAsia="zh-CN" w:bidi="ar-SA"/>
                    </w:rPr>
                    <w:t>（最大）</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E1B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 xml:space="preserve"> 3.91</w:t>
                  </w:r>
                  <w:r>
                    <w:rPr>
                      <w:rFonts w:hint="eastAsia" w:cs="Times New Roman"/>
                      <w:color w:val="auto"/>
                      <w:w w:val="100"/>
                      <w:kern w:val="2"/>
                      <w:sz w:val="21"/>
                      <w:szCs w:val="21"/>
                      <w:highlight w:val="none"/>
                      <w:lang w:val="en-US" w:eastAsia="zh-CN" w:bidi="ar-SA"/>
                    </w:rPr>
                    <w:t>（最大）</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2A5A2">
                  <w:pPr>
                    <w:jc w:val="center"/>
                    <w:rPr>
                      <w:rFonts w:hint="default" w:ascii="Times New Roman" w:hAnsi="Times New Roman" w:eastAsia="宋体" w:cs="Times New Roman"/>
                      <w:i w:val="0"/>
                      <w:iCs w:val="0"/>
                      <w:color w:val="auto"/>
                      <w:sz w:val="21"/>
                      <w:szCs w:val="21"/>
                      <w:highlight w:val="none"/>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241B2">
                  <w:pPr>
                    <w:jc w:val="center"/>
                    <w:rPr>
                      <w:rFonts w:hint="default" w:ascii="Times New Roman" w:hAnsi="Times New Roman" w:eastAsia="宋体" w:cs="Times New Roman"/>
                      <w:i w:val="0"/>
                      <w:iCs w:val="0"/>
                      <w:color w:val="auto"/>
                      <w:sz w:val="21"/>
                      <w:szCs w:val="21"/>
                      <w:highlight w:val="none"/>
                      <w:u w:val="none"/>
                    </w:rPr>
                  </w:pPr>
                </w:p>
              </w:tc>
            </w:tr>
          </w:tbl>
          <w:p w14:paraId="7786249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jc w:val="both"/>
              <w:textAlignment w:val="baseline"/>
              <w:rPr>
                <w:rFonts w:hint="eastAsia"/>
                <w:color w:val="auto"/>
                <w:highlight w:val="none"/>
                <w:lang w:val="zh-CN" w:eastAsia="zh-CN"/>
              </w:rPr>
            </w:pPr>
            <w:r>
              <w:rPr>
                <w:rFonts w:hint="eastAsia" w:cs="Times New Roman"/>
                <w:b/>
                <w:bCs/>
                <w:color w:val="auto"/>
                <w:kern w:val="2"/>
                <w:sz w:val="18"/>
                <w:szCs w:val="18"/>
                <w:highlight w:val="none"/>
                <w:lang w:val="zh-CN" w:eastAsia="zh-CN" w:bidi="ar-SA"/>
              </w:rPr>
              <w:t>注：括号中最大值为硫酸稀释、蒙砂液配制和蒙砂</w:t>
            </w:r>
            <w:r>
              <w:rPr>
                <w:rFonts w:hint="eastAsia" w:cs="Times New Roman"/>
                <w:b/>
                <w:bCs/>
                <w:color w:val="auto"/>
                <w:kern w:val="2"/>
                <w:sz w:val="18"/>
                <w:szCs w:val="18"/>
                <w:highlight w:val="none"/>
                <w:lang w:val="en-US" w:eastAsia="zh-CN" w:bidi="ar-SA"/>
              </w:rPr>
              <w:t>3</w:t>
            </w:r>
            <w:r>
              <w:rPr>
                <w:rFonts w:hint="eastAsia" w:cs="Times New Roman"/>
                <w:b/>
                <w:bCs/>
                <w:color w:val="auto"/>
                <w:kern w:val="2"/>
                <w:sz w:val="18"/>
                <w:szCs w:val="18"/>
                <w:highlight w:val="none"/>
                <w:lang w:val="zh-CN" w:eastAsia="zh-CN" w:bidi="ar-SA"/>
              </w:rPr>
              <w:t>个工序同时进行时的最大产生速率、最大产生浓度和最大排放速率、最大排放浓度。</w:t>
            </w:r>
          </w:p>
          <w:p w14:paraId="6CAEE653">
            <w:pPr>
              <w:adjustRightInd w:val="0"/>
              <w:snapToGrid w:val="0"/>
              <w:spacing w:line="360" w:lineRule="auto"/>
              <w:ind w:firstLine="480" w:firstLineChars="200"/>
              <w:textAlignment w:val="baseline"/>
              <w:rPr>
                <w:rFonts w:hint="eastAsia"/>
                <w:color w:val="auto"/>
                <w:sz w:val="24"/>
                <w:highlight w:val="none"/>
                <w:lang w:val="zh-CN" w:eastAsia="zh-CN"/>
              </w:rPr>
            </w:pPr>
            <w:r>
              <w:rPr>
                <w:rFonts w:hint="eastAsia" w:cs="Times New Roman"/>
                <w:color w:val="auto"/>
                <w:kern w:val="2"/>
                <w:sz w:val="24"/>
                <w:szCs w:val="24"/>
                <w:highlight w:val="none"/>
                <w:lang w:val="zh-CN" w:eastAsia="zh-CN" w:bidi="ar-SA"/>
              </w:rPr>
              <w:t>综上所述，本项目有组织</w:t>
            </w:r>
            <w:r>
              <w:rPr>
                <w:rFonts w:hint="eastAsia" w:cs="Times New Roman"/>
                <w:color w:val="auto"/>
                <w:sz w:val="24"/>
                <w:highlight w:val="none"/>
                <w:lang w:val="zh-CN" w:eastAsia="zh-CN"/>
              </w:rPr>
              <w:t>氯化氢</w:t>
            </w:r>
            <w:r>
              <w:rPr>
                <w:rFonts w:hint="eastAsia"/>
                <w:color w:val="auto"/>
                <w:sz w:val="24"/>
                <w:highlight w:val="none"/>
                <w:lang w:val="en-US" w:eastAsia="zh-CN"/>
              </w:rPr>
              <w:t>、</w:t>
            </w:r>
            <w:r>
              <w:rPr>
                <w:color w:val="auto"/>
                <w:sz w:val="24"/>
                <w:highlight w:val="none"/>
                <w:lang w:val="zh-CN"/>
              </w:rPr>
              <w:t>颗粒物</w:t>
            </w:r>
            <w:r>
              <w:rPr>
                <w:rFonts w:hint="eastAsia"/>
                <w:color w:val="auto"/>
                <w:sz w:val="24"/>
                <w:highlight w:val="none"/>
                <w:lang w:val="zh-CN"/>
              </w:rPr>
              <w:t>和氟化物的排放浓度均</w:t>
            </w:r>
            <w:r>
              <w:rPr>
                <w:color w:val="auto"/>
                <w:sz w:val="24"/>
                <w:highlight w:val="none"/>
                <w:lang w:val="zh-CN"/>
              </w:rPr>
              <w:t>满足</w:t>
            </w:r>
            <w:r>
              <w:rPr>
                <w:rFonts w:hint="eastAsia"/>
                <w:color w:val="auto"/>
                <w:sz w:val="24"/>
                <w:highlight w:val="none"/>
                <w:lang w:val="zh-CN" w:eastAsia="zh-CN"/>
              </w:rPr>
              <w:t>《玻璃工业大气污染物排放标准》（GB 26453-2022）表1中在线镀膜尾气处理系统排放限值，即：</w:t>
            </w:r>
            <w:r>
              <w:rPr>
                <w:rFonts w:hint="eastAsia" w:cs="Times New Roman"/>
                <w:color w:val="auto"/>
                <w:sz w:val="24"/>
                <w:highlight w:val="none"/>
                <w:lang w:val="zh-CN" w:eastAsia="zh-CN"/>
              </w:rPr>
              <w:t>氯化氢</w:t>
            </w:r>
            <w:r>
              <w:rPr>
                <w:rFonts w:hint="eastAsia"/>
                <w:color w:val="auto"/>
                <w:sz w:val="24"/>
                <w:highlight w:val="none"/>
                <w:lang w:val="zh-CN" w:eastAsia="zh-CN"/>
              </w:rPr>
              <w:t>排放浓度≤</w:t>
            </w:r>
            <w:r>
              <w:rPr>
                <w:rFonts w:hint="eastAsia"/>
                <w:color w:val="auto"/>
                <w:sz w:val="24"/>
                <w:highlight w:val="none"/>
                <w:lang w:val="en-US" w:eastAsia="zh-CN"/>
              </w:rPr>
              <w:t>30</w:t>
            </w:r>
            <w:r>
              <w:rPr>
                <w:rFonts w:hint="eastAsia"/>
                <w:color w:val="auto"/>
                <w:sz w:val="24"/>
                <w:highlight w:val="none"/>
                <w:lang w:val="zh-CN" w:eastAsia="zh-CN"/>
              </w:rPr>
              <w:t>mg/m</w:t>
            </w:r>
            <w:r>
              <w:rPr>
                <w:rFonts w:hint="eastAsia"/>
                <w:color w:val="auto"/>
                <w:sz w:val="24"/>
                <w:highlight w:val="none"/>
                <w:vertAlign w:val="superscript"/>
                <w:lang w:val="zh-CN" w:eastAsia="zh-CN"/>
              </w:rPr>
              <w:t>3</w:t>
            </w:r>
            <w:r>
              <w:rPr>
                <w:rFonts w:hint="eastAsia"/>
                <w:color w:val="auto"/>
                <w:sz w:val="24"/>
                <w:highlight w:val="none"/>
                <w:lang w:val="zh-CN" w:eastAsia="zh-CN"/>
              </w:rPr>
              <w:t>；颗粒物排放浓度≤</w:t>
            </w:r>
            <w:r>
              <w:rPr>
                <w:rFonts w:hint="eastAsia"/>
                <w:color w:val="auto"/>
                <w:sz w:val="24"/>
                <w:highlight w:val="none"/>
                <w:lang w:val="en-US" w:eastAsia="zh-CN"/>
              </w:rPr>
              <w:t>3</w:t>
            </w:r>
            <w:r>
              <w:rPr>
                <w:rFonts w:hint="eastAsia"/>
                <w:color w:val="auto"/>
                <w:sz w:val="24"/>
                <w:highlight w:val="none"/>
                <w:lang w:val="zh-CN" w:eastAsia="zh-CN"/>
              </w:rPr>
              <w:t>0mg/m</w:t>
            </w:r>
            <w:r>
              <w:rPr>
                <w:rFonts w:hint="eastAsia"/>
                <w:color w:val="auto"/>
                <w:sz w:val="24"/>
                <w:highlight w:val="none"/>
                <w:vertAlign w:val="superscript"/>
                <w:lang w:val="zh-CN" w:eastAsia="zh-CN"/>
              </w:rPr>
              <w:t>3</w:t>
            </w:r>
            <w:r>
              <w:rPr>
                <w:rFonts w:hint="eastAsia"/>
                <w:color w:val="auto"/>
                <w:sz w:val="24"/>
                <w:highlight w:val="none"/>
                <w:lang w:val="zh-CN" w:eastAsia="zh-CN"/>
              </w:rPr>
              <w:t>；氟化物排放浓度≤</w:t>
            </w:r>
            <w:r>
              <w:rPr>
                <w:rFonts w:hint="eastAsia"/>
                <w:color w:val="auto"/>
                <w:sz w:val="24"/>
                <w:highlight w:val="none"/>
                <w:lang w:val="en-US" w:eastAsia="zh-CN"/>
              </w:rPr>
              <w:t>5</w:t>
            </w:r>
            <w:r>
              <w:rPr>
                <w:rFonts w:hint="eastAsia"/>
                <w:color w:val="auto"/>
                <w:sz w:val="24"/>
                <w:highlight w:val="none"/>
                <w:lang w:val="zh-CN" w:eastAsia="zh-CN"/>
              </w:rPr>
              <w:t>mg/m</w:t>
            </w:r>
            <w:r>
              <w:rPr>
                <w:rFonts w:hint="eastAsia"/>
                <w:color w:val="auto"/>
                <w:sz w:val="24"/>
                <w:highlight w:val="none"/>
                <w:vertAlign w:val="superscript"/>
                <w:lang w:val="zh-CN" w:eastAsia="zh-CN"/>
              </w:rPr>
              <w:t>3</w:t>
            </w:r>
            <w:r>
              <w:rPr>
                <w:rFonts w:hint="eastAsia"/>
                <w:color w:val="auto"/>
                <w:sz w:val="24"/>
                <w:highlight w:val="none"/>
                <w:lang w:val="zh-CN" w:eastAsia="zh-CN"/>
              </w:rPr>
              <w:t>；</w:t>
            </w:r>
            <w:r>
              <w:rPr>
                <w:rFonts w:hint="eastAsia"/>
                <w:color w:val="auto"/>
                <w:sz w:val="24"/>
                <w:highlight w:val="none"/>
                <w:lang w:val="zh-CN"/>
              </w:rPr>
              <w:t>有组织硫酸雾的排放浓度和排放速率</w:t>
            </w:r>
            <w:r>
              <w:rPr>
                <w:color w:val="auto"/>
                <w:sz w:val="24"/>
                <w:highlight w:val="none"/>
                <w:lang w:val="zh-CN"/>
              </w:rPr>
              <w:t>满足《大气污染物综合排放标准》（GB16297-1996）表2中二级标准限值</w:t>
            </w:r>
            <w:r>
              <w:rPr>
                <w:rFonts w:hint="eastAsia"/>
                <w:color w:val="auto"/>
                <w:sz w:val="24"/>
                <w:highlight w:val="none"/>
                <w:lang w:val="zh-CN"/>
              </w:rPr>
              <w:t>，</w:t>
            </w:r>
            <w:r>
              <w:rPr>
                <w:rFonts w:hint="eastAsia"/>
                <w:color w:val="auto"/>
                <w:sz w:val="24"/>
                <w:highlight w:val="none"/>
                <w:lang w:val="zh-CN" w:eastAsia="zh-CN"/>
              </w:rPr>
              <w:t>排放速率严格50%要求，即：硫酸雾：排放速率≤0.75kg/h，排放浓度≤45mg/m</w:t>
            </w:r>
            <w:r>
              <w:rPr>
                <w:rFonts w:hint="eastAsia"/>
                <w:color w:val="auto"/>
                <w:sz w:val="24"/>
                <w:highlight w:val="none"/>
                <w:vertAlign w:val="superscript"/>
                <w:lang w:val="zh-CN" w:eastAsia="zh-CN"/>
              </w:rPr>
              <w:t>3</w:t>
            </w:r>
            <w:r>
              <w:rPr>
                <w:rFonts w:hint="eastAsia"/>
                <w:color w:val="auto"/>
                <w:sz w:val="24"/>
                <w:highlight w:val="none"/>
                <w:lang w:val="zh-CN" w:eastAsia="zh-CN"/>
              </w:rPr>
              <w:t>。</w:t>
            </w:r>
          </w:p>
          <w:p w14:paraId="690CE7F8">
            <w:pPr>
              <w:adjustRightInd w:val="0"/>
              <w:snapToGrid w:val="0"/>
              <w:spacing w:line="360" w:lineRule="auto"/>
              <w:ind w:firstLine="482" w:firstLineChars="200"/>
              <w:textAlignment w:val="baseline"/>
              <w:rPr>
                <w:rFonts w:hint="eastAsia"/>
                <w:b/>
                <w:bCs/>
                <w:color w:val="auto"/>
                <w:sz w:val="24"/>
                <w:highlight w:val="none"/>
                <w:lang w:val="zh-CN" w:eastAsia="zh-CN"/>
              </w:rPr>
            </w:pPr>
            <w:r>
              <w:rPr>
                <w:rFonts w:hint="eastAsia"/>
                <w:b/>
                <w:bCs/>
                <w:color w:val="auto"/>
                <w:sz w:val="24"/>
                <w:highlight w:val="none"/>
                <w:lang w:val="en-US" w:eastAsia="zh-CN"/>
              </w:rPr>
              <w:t>②</w:t>
            </w:r>
            <w:r>
              <w:rPr>
                <w:rFonts w:hint="eastAsia"/>
                <w:b/>
                <w:bCs/>
                <w:color w:val="auto"/>
                <w:sz w:val="24"/>
                <w:highlight w:val="none"/>
                <w:lang w:val="zh-CN" w:eastAsia="zh-CN"/>
              </w:rPr>
              <w:t>无组织废气</w:t>
            </w:r>
          </w:p>
          <w:p w14:paraId="3FC3C73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olor w:val="auto"/>
                <w:highlight w:val="none"/>
                <w:lang w:val="zh-CN" w:eastAsia="zh-CN"/>
              </w:rPr>
            </w:pPr>
            <w:r>
              <w:rPr>
                <w:rFonts w:hint="default"/>
                <w:color w:val="auto"/>
                <w:sz w:val="24"/>
                <w:highlight w:val="none"/>
                <w:lang w:val="zh-CN" w:eastAsia="zh-CN"/>
              </w:rPr>
              <w:t>根据上述分析过程，</w:t>
            </w:r>
            <w:r>
              <w:rPr>
                <w:rFonts w:hint="eastAsia"/>
                <w:color w:val="auto"/>
                <w:sz w:val="24"/>
                <w:highlight w:val="none"/>
                <w:lang w:val="zh-CN" w:eastAsia="zh-CN"/>
              </w:rPr>
              <w:t>封闭生产车间集气管道</w:t>
            </w:r>
            <w:r>
              <w:rPr>
                <w:rFonts w:hint="default"/>
                <w:color w:val="auto"/>
                <w:sz w:val="24"/>
                <w:highlight w:val="none"/>
                <w:lang w:val="zh-CN" w:eastAsia="zh-CN"/>
              </w:rPr>
              <w:t>的收集效率为</w:t>
            </w:r>
            <w:r>
              <w:rPr>
                <w:rFonts w:hint="eastAsia"/>
                <w:color w:val="auto"/>
                <w:sz w:val="24"/>
                <w:highlight w:val="none"/>
                <w:lang w:val="en-US" w:eastAsia="zh-CN"/>
              </w:rPr>
              <w:t>90</w:t>
            </w:r>
            <w:r>
              <w:rPr>
                <w:rFonts w:hint="default"/>
                <w:color w:val="auto"/>
                <w:sz w:val="24"/>
                <w:highlight w:val="none"/>
                <w:lang w:val="zh-CN" w:eastAsia="zh-CN"/>
              </w:rPr>
              <w:t>%</w:t>
            </w:r>
            <w:r>
              <w:rPr>
                <w:rFonts w:hint="eastAsia"/>
                <w:color w:val="auto"/>
                <w:sz w:val="24"/>
                <w:highlight w:val="none"/>
                <w:lang w:val="zh-CN" w:eastAsia="zh-CN"/>
              </w:rPr>
              <w:t>，则剩余10%未被集气管道收集的硫酸雾、</w:t>
            </w:r>
            <w:r>
              <w:rPr>
                <w:rFonts w:hint="eastAsia" w:cs="Times New Roman"/>
                <w:color w:val="auto"/>
                <w:sz w:val="24"/>
                <w:highlight w:val="none"/>
                <w:lang w:val="zh-CN" w:eastAsia="zh-CN"/>
              </w:rPr>
              <w:t>氯化氢</w:t>
            </w:r>
            <w:r>
              <w:rPr>
                <w:rFonts w:hint="eastAsia"/>
                <w:color w:val="auto"/>
                <w:sz w:val="24"/>
                <w:highlight w:val="none"/>
                <w:lang w:val="zh-CN" w:eastAsia="zh-CN"/>
              </w:rPr>
              <w:t>、颗粒物和氟化物在车间内呈无组织排放。</w:t>
            </w:r>
            <w:r>
              <w:rPr>
                <w:rFonts w:hint="eastAsia" w:cs="Times New Roman"/>
                <w:color w:val="auto"/>
                <w:kern w:val="2"/>
                <w:sz w:val="24"/>
                <w:szCs w:val="24"/>
                <w:highlight w:val="none"/>
                <w:lang w:val="en-US" w:eastAsia="zh-CN" w:bidi="ar-SA"/>
              </w:rPr>
              <w:t>本项目无组织废气</w:t>
            </w:r>
            <w:r>
              <w:rPr>
                <w:rFonts w:hint="eastAsia" w:cs="Times New Roman"/>
                <w:color w:val="auto"/>
                <w:kern w:val="2"/>
                <w:sz w:val="24"/>
                <w:szCs w:val="24"/>
                <w:highlight w:val="none"/>
                <w:lang w:val="zh-CN" w:eastAsia="zh-CN" w:bidi="ar-SA"/>
              </w:rPr>
              <w:t>产生情况见表</w:t>
            </w:r>
            <w:r>
              <w:rPr>
                <w:rFonts w:hint="eastAsia" w:cs="Times New Roman"/>
                <w:color w:val="auto"/>
                <w:kern w:val="2"/>
                <w:sz w:val="24"/>
                <w:szCs w:val="24"/>
                <w:highlight w:val="none"/>
                <w:lang w:val="en-US" w:eastAsia="zh-CN" w:bidi="ar-SA"/>
              </w:rPr>
              <w:t>4-4。</w:t>
            </w:r>
          </w:p>
          <w:p w14:paraId="32714D59">
            <w:pPr>
              <w:pStyle w:val="2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b/>
                <w:color w:val="auto"/>
                <w:sz w:val="21"/>
                <w:szCs w:val="21"/>
                <w:highlight w:val="none"/>
                <w:lang w:eastAsia="zh-CN"/>
              </w:rPr>
            </w:pPr>
            <w:r>
              <w:rPr>
                <w:rFonts w:hint="eastAsia"/>
                <w:b/>
                <w:color w:val="auto"/>
                <w:sz w:val="21"/>
                <w:szCs w:val="21"/>
                <w:highlight w:val="none"/>
                <w:lang w:eastAsia="zh-CN"/>
              </w:rPr>
              <w:t>表</w:t>
            </w:r>
            <w:r>
              <w:rPr>
                <w:rFonts w:hint="eastAsia"/>
                <w:b/>
                <w:color w:val="auto"/>
                <w:sz w:val="21"/>
                <w:szCs w:val="21"/>
                <w:highlight w:val="none"/>
                <w:lang w:val="en-US" w:eastAsia="zh-CN"/>
              </w:rPr>
              <w:t>4-4  无组织废气</w:t>
            </w:r>
            <w:r>
              <w:rPr>
                <w:rFonts w:hint="eastAsia"/>
                <w:b/>
                <w:color w:val="auto"/>
                <w:sz w:val="21"/>
                <w:szCs w:val="21"/>
                <w:highlight w:val="none"/>
                <w:lang w:eastAsia="zh-CN"/>
              </w:rPr>
              <w:t>产生情况一览表</w:t>
            </w:r>
          </w:p>
          <w:tbl>
            <w:tblPr>
              <w:tblStyle w:val="25"/>
              <w:tblW w:w="8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57"/>
              <w:gridCol w:w="660"/>
              <w:gridCol w:w="870"/>
              <w:gridCol w:w="690"/>
              <w:gridCol w:w="975"/>
              <w:gridCol w:w="1020"/>
              <w:gridCol w:w="900"/>
              <w:gridCol w:w="930"/>
              <w:gridCol w:w="988"/>
              <w:gridCol w:w="1081"/>
            </w:tblGrid>
            <w:tr w14:paraId="3826C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5021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污染源</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F7772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产污环节</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0379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F0D2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年工作时间h</w:t>
                  </w:r>
                </w:p>
              </w:tc>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86ED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每个工序产生情况</w:t>
                  </w:r>
                </w:p>
              </w:tc>
              <w:tc>
                <w:tcPr>
                  <w:tcW w:w="38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AE4A6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污染物混合后产生情况</w:t>
                  </w:r>
                </w:p>
              </w:tc>
            </w:tr>
            <w:tr w14:paraId="7EA0E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0A982">
                  <w:pPr>
                    <w:jc w:val="center"/>
                    <w:rPr>
                      <w:rFonts w:hint="eastAsia" w:ascii="宋体" w:hAnsi="宋体" w:eastAsia="宋体" w:cs="宋体"/>
                      <w:b/>
                      <w:bCs/>
                      <w:i w:val="0"/>
                      <w:iCs w:val="0"/>
                      <w:color w:val="auto"/>
                      <w:sz w:val="21"/>
                      <w:szCs w:val="21"/>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614C1">
                  <w:pPr>
                    <w:jc w:val="center"/>
                    <w:rPr>
                      <w:rFonts w:hint="eastAsia" w:ascii="宋体" w:hAnsi="宋体" w:eastAsia="宋体" w:cs="宋体"/>
                      <w:b/>
                      <w:bCs/>
                      <w:i w:val="0"/>
                      <w:iCs w:val="0"/>
                      <w:color w:val="auto"/>
                      <w:sz w:val="21"/>
                      <w:szCs w:val="21"/>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EBCAA">
                  <w:pPr>
                    <w:jc w:val="center"/>
                    <w:rPr>
                      <w:rFonts w:hint="eastAsia" w:ascii="宋体" w:hAnsi="宋体" w:eastAsia="宋体" w:cs="宋体"/>
                      <w:b/>
                      <w:bCs/>
                      <w:i w:val="0"/>
                      <w:iCs w:val="0"/>
                      <w:color w:val="auto"/>
                      <w:sz w:val="21"/>
                      <w:szCs w:val="21"/>
                      <w:highlight w:val="none"/>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8867D">
                  <w:pPr>
                    <w:jc w:val="center"/>
                    <w:rPr>
                      <w:rFonts w:hint="eastAsia" w:ascii="宋体" w:hAnsi="宋体" w:eastAsia="宋体" w:cs="宋体"/>
                      <w:b/>
                      <w:bCs/>
                      <w:i w:val="0"/>
                      <w:iCs w:val="0"/>
                      <w:color w:val="auto"/>
                      <w:sz w:val="21"/>
                      <w:szCs w:val="21"/>
                      <w:highlight w:val="none"/>
                      <w:u w:val="none"/>
                    </w:rPr>
                  </w:pP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22D1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产生量t/a</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362F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产生速率kg/h</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D1528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污染因子</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B203F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产生量t/a</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011D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产生速率kg/h</w:t>
                  </w: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4000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产生浓度</w:t>
                  </w:r>
                  <w:r>
                    <w:rPr>
                      <w:rFonts w:hint="default" w:ascii="Times New Roman" w:hAnsi="Times New Roman" w:eastAsia="宋体" w:cs="Times New Roman"/>
                      <w:b/>
                      <w:bCs/>
                      <w:i w:val="0"/>
                      <w:iCs w:val="0"/>
                      <w:color w:val="auto"/>
                      <w:kern w:val="0"/>
                      <w:sz w:val="21"/>
                      <w:szCs w:val="21"/>
                      <w:highlight w:val="none"/>
                      <w:u w:val="none"/>
                      <w:lang w:val="en-US" w:eastAsia="zh-CN" w:bidi="ar"/>
                    </w:rPr>
                    <w:t>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r>
            <w:tr w14:paraId="16482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37528">
                  <w:pPr>
                    <w:jc w:val="center"/>
                    <w:rPr>
                      <w:rFonts w:hint="eastAsia" w:ascii="宋体" w:hAnsi="宋体" w:eastAsia="宋体" w:cs="宋体"/>
                      <w:b/>
                      <w:bCs/>
                      <w:i w:val="0"/>
                      <w:iCs w:val="0"/>
                      <w:color w:val="auto"/>
                      <w:sz w:val="21"/>
                      <w:szCs w:val="21"/>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FDC50">
                  <w:pPr>
                    <w:jc w:val="center"/>
                    <w:rPr>
                      <w:rFonts w:hint="eastAsia" w:ascii="宋体" w:hAnsi="宋体" w:eastAsia="宋体" w:cs="宋体"/>
                      <w:b/>
                      <w:bCs/>
                      <w:i w:val="0"/>
                      <w:iCs w:val="0"/>
                      <w:color w:val="auto"/>
                      <w:sz w:val="21"/>
                      <w:szCs w:val="21"/>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90733">
                  <w:pPr>
                    <w:jc w:val="center"/>
                    <w:rPr>
                      <w:rFonts w:hint="eastAsia" w:ascii="宋体" w:hAnsi="宋体" w:eastAsia="宋体" w:cs="宋体"/>
                      <w:b/>
                      <w:bCs/>
                      <w:i w:val="0"/>
                      <w:iCs w:val="0"/>
                      <w:color w:val="auto"/>
                      <w:sz w:val="21"/>
                      <w:szCs w:val="21"/>
                      <w:highlight w:val="none"/>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D18C3">
                  <w:pPr>
                    <w:jc w:val="center"/>
                    <w:rPr>
                      <w:rFonts w:hint="eastAsia" w:ascii="宋体" w:hAnsi="宋体" w:eastAsia="宋体" w:cs="宋体"/>
                      <w:b/>
                      <w:bCs/>
                      <w:i w:val="0"/>
                      <w:iCs w:val="0"/>
                      <w:color w:val="auto"/>
                      <w:sz w:val="21"/>
                      <w:szCs w:val="21"/>
                      <w:highlight w:val="none"/>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D0AC3">
                  <w:pPr>
                    <w:jc w:val="center"/>
                    <w:rPr>
                      <w:rFonts w:hint="eastAsia" w:ascii="宋体" w:hAnsi="宋体" w:eastAsia="宋体" w:cs="宋体"/>
                      <w:b/>
                      <w:bCs/>
                      <w:i w:val="0"/>
                      <w:iCs w:val="0"/>
                      <w:color w:val="auto"/>
                      <w:sz w:val="21"/>
                      <w:szCs w:val="21"/>
                      <w:highlight w:val="none"/>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F0272">
                  <w:pPr>
                    <w:jc w:val="center"/>
                    <w:rPr>
                      <w:rFonts w:hint="eastAsia" w:ascii="宋体" w:hAnsi="宋体" w:eastAsia="宋体" w:cs="宋体"/>
                      <w:b/>
                      <w:bCs/>
                      <w:i w:val="0"/>
                      <w:iCs w:val="0"/>
                      <w:color w:val="auto"/>
                      <w:sz w:val="21"/>
                      <w:szCs w:val="21"/>
                      <w:highlight w:val="none"/>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4A037">
                  <w:pPr>
                    <w:jc w:val="center"/>
                    <w:rPr>
                      <w:rFonts w:hint="eastAsia" w:ascii="宋体" w:hAnsi="宋体" w:eastAsia="宋体" w:cs="宋体"/>
                      <w:b/>
                      <w:bCs/>
                      <w:i w:val="0"/>
                      <w:iCs w:val="0"/>
                      <w:color w:val="auto"/>
                      <w:sz w:val="21"/>
                      <w:szCs w:val="21"/>
                      <w:highlight w:val="none"/>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0D7B4">
                  <w:pPr>
                    <w:jc w:val="center"/>
                    <w:rPr>
                      <w:rFonts w:hint="eastAsia" w:ascii="宋体" w:hAnsi="宋体" w:eastAsia="宋体" w:cs="宋体"/>
                      <w:b/>
                      <w:bCs/>
                      <w:i w:val="0"/>
                      <w:iCs w:val="0"/>
                      <w:color w:val="auto"/>
                      <w:sz w:val="21"/>
                      <w:szCs w:val="21"/>
                      <w:highlight w:val="none"/>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8E1BC">
                  <w:pPr>
                    <w:jc w:val="center"/>
                    <w:rPr>
                      <w:rFonts w:hint="eastAsia" w:ascii="宋体" w:hAnsi="宋体" w:eastAsia="宋体" w:cs="宋体"/>
                      <w:b/>
                      <w:bCs/>
                      <w:i w:val="0"/>
                      <w:iCs w:val="0"/>
                      <w:color w:val="auto"/>
                      <w:sz w:val="21"/>
                      <w:szCs w:val="21"/>
                      <w:highlight w:val="none"/>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83946">
                  <w:pPr>
                    <w:jc w:val="center"/>
                    <w:rPr>
                      <w:rFonts w:hint="eastAsia" w:ascii="宋体" w:hAnsi="宋体" w:eastAsia="宋体" w:cs="宋体"/>
                      <w:b/>
                      <w:bCs/>
                      <w:i w:val="0"/>
                      <w:iCs w:val="0"/>
                      <w:color w:val="auto"/>
                      <w:sz w:val="21"/>
                      <w:szCs w:val="21"/>
                      <w:highlight w:val="none"/>
                      <w:u w:val="none"/>
                    </w:rPr>
                  </w:pPr>
                </w:p>
              </w:tc>
            </w:tr>
            <w:tr w14:paraId="303C4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3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E3F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无组织废气</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28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硫酸稀释</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274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硫酸雾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0E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50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73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16B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硫酸雾</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F76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0.00002</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0BB2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0.0006</w:t>
                  </w:r>
                  <w:r>
                    <w:rPr>
                      <w:rFonts w:hint="eastAsia" w:ascii="宋体" w:hAnsi="宋体" w:eastAsia="宋体" w:cs="宋体"/>
                      <w:i w:val="0"/>
                      <w:iCs w:val="0"/>
                      <w:color w:val="auto"/>
                      <w:kern w:val="0"/>
                      <w:sz w:val="21"/>
                      <w:szCs w:val="21"/>
                      <w:highlight w:val="none"/>
                      <w:u w:val="none"/>
                      <w:lang w:val="en-US" w:eastAsia="zh-CN" w:bidi="ar"/>
                    </w:rPr>
                    <w:t>（最大）</w:t>
                  </w: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F5BD6">
                  <w:pPr>
                    <w:jc w:val="center"/>
                    <w:rPr>
                      <w:rFonts w:hint="default" w:ascii="Times New Roman" w:hAnsi="Times New Roman" w:eastAsia="宋体" w:cs="Times New Roman"/>
                      <w:i w:val="0"/>
                      <w:iCs w:val="0"/>
                      <w:color w:val="auto"/>
                      <w:sz w:val="21"/>
                      <w:szCs w:val="21"/>
                      <w:highlight w:val="none"/>
                      <w:u w:val="none"/>
                    </w:rPr>
                  </w:pPr>
                  <w:r>
                    <w:rPr>
                      <w:color w:val="auto"/>
                      <w:szCs w:val="21"/>
                      <w:highlight w:val="none"/>
                    </w:rPr>
                    <w:t>/</w:t>
                  </w:r>
                </w:p>
              </w:tc>
            </w:tr>
            <w:tr w14:paraId="1F653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254F1">
                  <w:pPr>
                    <w:jc w:val="center"/>
                    <w:rPr>
                      <w:rFonts w:hint="eastAsia" w:ascii="宋体" w:hAnsi="宋体" w:eastAsia="宋体" w:cs="宋体"/>
                      <w:i w:val="0"/>
                      <w:iCs w:val="0"/>
                      <w:color w:val="auto"/>
                      <w:sz w:val="21"/>
                      <w:szCs w:val="21"/>
                      <w:highlight w:val="none"/>
                      <w:u w:val="none"/>
                    </w:rPr>
                  </w:pP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8CA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蒙砂液配制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BB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硫酸雾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94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C8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00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11AC0">
                  <w:pPr>
                    <w:jc w:val="center"/>
                    <w:rPr>
                      <w:rFonts w:hint="eastAsia" w:ascii="宋体" w:hAnsi="宋体" w:eastAsia="宋体" w:cs="宋体"/>
                      <w:i w:val="0"/>
                      <w:iCs w:val="0"/>
                      <w:color w:val="auto"/>
                      <w:sz w:val="21"/>
                      <w:szCs w:val="21"/>
                      <w:highlight w:val="none"/>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5EC6A">
                  <w:pPr>
                    <w:jc w:val="center"/>
                    <w:rPr>
                      <w:rFonts w:hint="default" w:ascii="Times New Roman" w:hAnsi="Times New Roman" w:eastAsia="宋体" w:cs="Times New Roman"/>
                      <w:i w:val="0"/>
                      <w:iCs w:val="0"/>
                      <w:color w:val="auto"/>
                      <w:sz w:val="21"/>
                      <w:szCs w:val="21"/>
                      <w:highlight w:val="none"/>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FDB9C">
                  <w:pPr>
                    <w:jc w:val="center"/>
                    <w:rPr>
                      <w:rFonts w:hint="default" w:ascii="Times New Roman" w:hAnsi="Times New Roman" w:eastAsia="宋体" w:cs="Times New Roman"/>
                      <w:i w:val="0"/>
                      <w:iCs w:val="0"/>
                      <w:color w:val="auto"/>
                      <w:sz w:val="21"/>
                      <w:szCs w:val="21"/>
                      <w:highlight w:val="none"/>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FAACB">
                  <w:pPr>
                    <w:jc w:val="center"/>
                    <w:rPr>
                      <w:rFonts w:hint="default" w:ascii="Times New Roman" w:hAnsi="Times New Roman" w:eastAsia="宋体" w:cs="Times New Roman"/>
                      <w:i w:val="0"/>
                      <w:iCs w:val="0"/>
                      <w:color w:val="auto"/>
                      <w:sz w:val="21"/>
                      <w:szCs w:val="21"/>
                      <w:highlight w:val="none"/>
                      <w:u w:val="none"/>
                    </w:rPr>
                  </w:pPr>
                </w:p>
              </w:tc>
            </w:tr>
            <w:tr w14:paraId="2AF0D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40E46">
                  <w:pPr>
                    <w:jc w:val="center"/>
                    <w:rPr>
                      <w:rFonts w:hint="eastAsia" w:ascii="宋体" w:hAnsi="宋体" w:eastAsia="宋体" w:cs="宋体"/>
                      <w:i w:val="0"/>
                      <w:iCs w:val="0"/>
                      <w:color w:val="auto"/>
                      <w:sz w:val="21"/>
                      <w:szCs w:val="21"/>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90281">
                  <w:pPr>
                    <w:jc w:val="center"/>
                    <w:rPr>
                      <w:rFonts w:hint="eastAsia" w:ascii="宋体" w:hAnsi="宋体" w:eastAsia="宋体" w:cs="宋体"/>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93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zh-CN" w:eastAsia="zh-CN"/>
                    </w:rPr>
                    <w:t>氯化氢</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6A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A6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0.0065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92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0.2163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FC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zh-CN" w:eastAsia="zh-CN"/>
                    </w:rPr>
                    <w:t>氯化氢</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DC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0.0065</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5A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0.2163</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E61E">
                  <w:pPr>
                    <w:jc w:val="center"/>
                    <w:rPr>
                      <w:rFonts w:hint="eastAsia" w:ascii="宋体" w:hAnsi="宋体" w:eastAsia="宋体" w:cs="宋体"/>
                      <w:i w:val="0"/>
                      <w:iCs w:val="0"/>
                      <w:color w:val="auto"/>
                      <w:sz w:val="24"/>
                      <w:szCs w:val="24"/>
                      <w:highlight w:val="none"/>
                      <w:u w:val="none"/>
                    </w:rPr>
                  </w:pPr>
                  <w:r>
                    <w:rPr>
                      <w:color w:val="auto"/>
                      <w:szCs w:val="21"/>
                      <w:highlight w:val="none"/>
                    </w:rPr>
                    <w:t>/</w:t>
                  </w:r>
                </w:p>
              </w:tc>
            </w:tr>
            <w:tr w14:paraId="3D177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C4BD7">
                  <w:pPr>
                    <w:jc w:val="center"/>
                    <w:rPr>
                      <w:rFonts w:hint="eastAsia" w:ascii="宋体" w:hAnsi="宋体" w:eastAsia="宋体" w:cs="宋体"/>
                      <w:i w:val="0"/>
                      <w:iCs w:val="0"/>
                      <w:color w:val="auto"/>
                      <w:sz w:val="21"/>
                      <w:szCs w:val="21"/>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0781B">
                  <w:pPr>
                    <w:jc w:val="center"/>
                    <w:rPr>
                      <w:rFonts w:hint="eastAsia" w:ascii="宋体" w:hAnsi="宋体" w:eastAsia="宋体" w:cs="宋体"/>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FD3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颗粒物</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FE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30E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803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0.0833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A38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颗粒物</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D4A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13A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0.0833</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48220">
                  <w:pPr>
                    <w:jc w:val="center"/>
                    <w:rPr>
                      <w:rFonts w:hint="eastAsia" w:ascii="宋体" w:hAnsi="宋体" w:eastAsia="宋体" w:cs="宋体"/>
                      <w:i w:val="0"/>
                      <w:iCs w:val="0"/>
                      <w:color w:val="auto"/>
                      <w:kern w:val="2"/>
                      <w:sz w:val="24"/>
                      <w:szCs w:val="24"/>
                      <w:highlight w:val="none"/>
                      <w:u w:val="none"/>
                      <w:lang w:val="en-US" w:eastAsia="zh-CN" w:bidi="ar-SA"/>
                    </w:rPr>
                  </w:pPr>
                  <w:r>
                    <w:rPr>
                      <w:color w:val="auto"/>
                      <w:szCs w:val="21"/>
                      <w:highlight w:val="none"/>
                    </w:rPr>
                    <w:t>/</w:t>
                  </w:r>
                </w:p>
              </w:tc>
            </w:tr>
            <w:tr w14:paraId="3A563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5ADE1">
                  <w:pPr>
                    <w:jc w:val="center"/>
                    <w:rPr>
                      <w:rFonts w:hint="eastAsia" w:ascii="宋体" w:hAnsi="宋体" w:eastAsia="宋体" w:cs="宋体"/>
                      <w:i w:val="0"/>
                      <w:iCs w:val="0"/>
                      <w:color w:val="auto"/>
                      <w:sz w:val="21"/>
                      <w:szCs w:val="21"/>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C37A0">
                  <w:pPr>
                    <w:jc w:val="center"/>
                    <w:rPr>
                      <w:rFonts w:hint="eastAsia" w:ascii="宋体" w:hAnsi="宋体" w:eastAsia="宋体" w:cs="宋体"/>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E9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eastAsia="zh-CN"/>
                    </w:rPr>
                    <w:t>氟化物</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FA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A9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0.0016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52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0.0133</w:t>
                  </w:r>
                </w:p>
              </w:tc>
              <w:tc>
                <w:tcPr>
                  <w:tcW w:w="900" w:type="dxa"/>
                  <w:vMerge w:val="restart"/>
                  <w:tcBorders>
                    <w:top w:val="single" w:color="000000" w:sz="4" w:space="0"/>
                    <w:left w:val="single" w:color="000000" w:sz="4" w:space="0"/>
                    <w:right w:val="single" w:color="000000" w:sz="4" w:space="0"/>
                  </w:tcBorders>
                  <w:shd w:val="clear" w:color="auto" w:fill="auto"/>
                  <w:vAlign w:val="center"/>
                </w:tcPr>
                <w:p w14:paraId="7973AC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氟化</w:t>
                  </w:r>
                  <w:r>
                    <w:rPr>
                      <w:rFonts w:hint="eastAsia" w:ascii="宋体" w:hAnsi="宋体" w:cs="宋体"/>
                      <w:i w:val="0"/>
                      <w:iCs w:val="0"/>
                      <w:color w:val="auto"/>
                      <w:kern w:val="0"/>
                      <w:sz w:val="21"/>
                      <w:szCs w:val="21"/>
                      <w:highlight w:val="none"/>
                      <w:u w:val="none"/>
                      <w:lang w:val="en-US" w:eastAsia="zh-CN" w:bidi="ar"/>
                    </w:rPr>
                    <w:t>物</w:t>
                  </w:r>
                </w:p>
              </w:tc>
              <w:tc>
                <w:tcPr>
                  <w:tcW w:w="930" w:type="dxa"/>
                  <w:vMerge w:val="restart"/>
                  <w:tcBorders>
                    <w:top w:val="single" w:color="000000" w:sz="4" w:space="0"/>
                    <w:left w:val="single" w:color="000000" w:sz="4" w:space="0"/>
                    <w:right w:val="single" w:color="000000" w:sz="4" w:space="0"/>
                  </w:tcBorders>
                  <w:shd w:val="clear" w:color="auto" w:fill="auto"/>
                  <w:vAlign w:val="center"/>
                </w:tcPr>
                <w:p w14:paraId="7A62A2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0.20</w:t>
                  </w:r>
                  <w:r>
                    <w:rPr>
                      <w:rFonts w:hint="eastAsia" w:ascii="Times New Roman" w:hAnsi="Times New Roman" w:eastAsia="宋体" w:cs="Times New Roman"/>
                      <w:i w:val="0"/>
                      <w:iCs w:val="0"/>
                      <w:color w:val="auto"/>
                      <w:kern w:val="0"/>
                      <w:sz w:val="21"/>
                      <w:szCs w:val="21"/>
                      <w:highlight w:val="none"/>
                      <w:u w:val="none"/>
                      <w:lang w:val="en-US" w:eastAsia="zh-CN" w:bidi="ar"/>
                    </w:rPr>
                    <w:t>85</w:t>
                  </w:r>
                </w:p>
              </w:tc>
              <w:tc>
                <w:tcPr>
                  <w:tcW w:w="988" w:type="dxa"/>
                  <w:vMerge w:val="restart"/>
                  <w:tcBorders>
                    <w:top w:val="single" w:color="000000" w:sz="4" w:space="0"/>
                    <w:left w:val="single" w:color="000000" w:sz="4" w:space="0"/>
                    <w:right w:val="single" w:color="000000" w:sz="4" w:space="0"/>
                  </w:tcBorders>
                  <w:shd w:val="clear" w:color="auto" w:fill="auto"/>
                  <w:vAlign w:val="center"/>
                </w:tcPr>
                <w:p w14:paraId="5530A1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564</w:t>
                  </w:r>
                  <w:r>
                    <w:rPr>
                      <w:rFonts w:hint="eastAsia" w:cs="Times New Roman"/>
                      <w:color w:val="auto"/>
                      <w:w w:val="100"/>
                      <w:kern w:val="2"/>
                      <w:sz w:val="21"/>
                      <w:szCs w:val="21"/>
                      <w:highlight w:val="none"/>
                      <w:lang w:val="en-US" w:eastAsia="zh-CN" w:bidi="ar-SA"/>
                    </w:rPr>
                    <w:t>（最大）</w:t>
                  </w:r>
                </w:p>
              </w:tc>
              <w:tc>
                <w:tcPr>
                  <w:tcW w:w="1081" w:type="dxa"/>
                  <w:vMerge w:val="restart"/>
                  <w:tcBorders>
                    <w:top w:val="single" w:color="000000" w:sz="4" w:space="0"/>
                    <w:left w:val="single" w:color="000000" w:sz="4" w:space="0"/>
                    <w:right w:val="single" w:color="000000" w:sz="4" w:space="0"/>
                  </w:tcBorders>
                  <w:shd w:val="clear" w:color="auto" w:fill="auto"/>
                  <w:noWrap/>
                  <w:vAlign w:val="center"/>
                </w:tcPr>
                <w:p w14:paraId="244C0A52">
                  <w:pPr>
                    <w:jc w:val="center"/>
                    <w:rPr>
                      <w:rFonts w:hint="default" w:ascii="Times New Roman" w:hAnsi="Times New Roman" w:eastAsia="宋体" w:cs="Times New Roman"/>
                      <w:i w:val="0"/>
                      <w:iCs w:val="0"/>
                      <w:color w:val="auto"/>
                      <w:sz w:val="21"/>
                      <w:szCs w:val="21"/>
                      <w:highlight w:val="none"/>
                      <w:u w:val="none"/>
                    </w:rPr>
                  </w:pPr>
                  <w:r>
                    <w:rPr>
                      <w:color w:val="auto"/>
                      <w:szCs w:val="21"/>
                      <w:highlight w:val="none"/>
                    </w:rPr>
                    <w:t>/</w:t>
                  </w:r>
                </w:p>
              </w:tc>
            </w:tr>
            <w:tr w14:paraId="3195B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408AB">
                  <w:pPr>
                    <w:jc w:val="center"/>
                    <w:rPr>
                      <w:rFonts w:hint="eastAsia" w:ascii="宋体" w:hAnsi="宋体" w:eastAsia="宋体" w:cs="宋体"/>
                      <w:i w:val="0"/>
                      <w:iCs w:val="0"/>
                      <w:color w:val="auto"/>
                      <w:sz w:val="21"/>
                      <w:szCs w:val="21"/>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2F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蒙砂</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D7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氟化</w:t>
                  </w:r>
                  <w:r>
                    <w:rPr>
                      <w:rFonts w:hint="eastAsia" w:ascii="宋体" w:hAnsi="宋体" w:cs="宋体"/>
                      <w:i w:val="0"/>
                      <w:iCs w:val="0"/>
                      <w:color w:val="auto"/>
                      <w:kern w:val="0"/>
                      <w:sz w:val="21"/>
                      <w:szCs w:val="21"/>
                      <w:highlight w:val="none"/>
                      <w:u w:val="none"/>
                      <w:lang w:val="en-US" w:eastAsia="zh-CN" w:bidi="ar"/>
                    </w:rPr>
                    <w:t>物</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62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5F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0.2069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F8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0.0431</w:t>
                  </w:r>
                </w:p>
              </w:tc>
              <w:tc>
                <w:tcPr>
                  <w:tcW w:w="900" w:type="dxa"/>
                  <w:vMerge w:val="continue"/>
                  <w:tcBorders>
                    <w:left w:val="single" w:color="000000" w:sz="4" w:space="0"/>
                    <w:bottom w:val="single" w:color="000000" w:sz="4" w:space="0"/>
                    <w:right w:val="single" w:color="000000" w:sz="4" w:space="0"/>
                  </w:tcBorders>
                  <w:shd w:val="clear" w:color="auto" w:fill="auto"/>
                  <w:vAlign w:val="center"/>
                </w:tcPr>
                <w:p w14:paraId="7AFC61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930" w:type="dxa"/>
                  <w:vMerge w:val="continue"/>
                  <w:tcBorders>
                    <w:left w:val="single" w:color="000000" w:sz="4" w:space="0"/>
                    <w:bottom w:val="single" w:color="000000" w:sz="4" w:space="0"/>
                    <w:right w:val="single" w:color="000000" w:sz="4" w:space="0"/>
                  </w:tcBorders>
                  <w:shd w:val="clear" w:color="auto" w:fill="auto"/>
                  <w:vAlign w:val="center"/>
                </w:tcPr>
                <w:p w14:paraId="1AC950A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988" w:type="dxa"/>
                  <w:vMerge w:val="continue"/>
                  <w:tcBorders>
                    <w:left w:val="single" w:color="000000" w:sz="4" w:space="0"/>
                    <w:bottom w:val="single" w:color="000000" w:sz="4" w:space="0"/>
                    <w:right w:val="single" w:color="000000" w:sz="4" w:space="0"/>
                  </w:tcBorders>
                  <w:shd w:val="clear" w:color="auto" w:fill="auto"/>
                  <w:vAlign w:val="center"/>
                </w:tcPr>
                <w:p w14:paraId="475DBF9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c>
                <w:tcPr>
                  <w:tcW w:w="1081" w:type="dxa"/>
                  <w:vMerge w:val="continue"/>
                  <w:tcBorders>
                    <w:left w:val="single" w:color="000000" w:sz="4" w:space="0"/>
                    <w:bottom w:val="single" w:color="000000" w:sz="4" w:space="0"/>
                    <w:right w:val="single" w:color="000000" w:sz="4" w:space="0"/>
                  </w:tcBorders>
                  <w:shd w:val="clear" w:color="auto" w:fill="auto"/>
                  <w:vAlign w:val="center"/>
                </w:tcPr>
                <w:p w14:paraId="372E9760">
                  <w:pPr>
                    <w:jc w:val="center"/>
                    <w:rPr>
                      <w:rFonts w:hint="default" w:ascii="Times New Roman" w:hAnsi="Times New Roman" w:eastAsia="宋体" w:cs="Times New Roman"/>
                      <w:i w:val="0"/>
                      <w:iCs w:val="0"/>
                      <w:color w:val="auto"/>
                      <w:sz w:val="21"/>
                      <w:szCs w:val="21"/>
                      <w:highlight w:val="none"/>
                      <w:u w:val="none"/>
                    </w:rPr>
                  </w:pPr>
                </w:p>
              </w:tc>
            </w:tr>
          </w:tbl>
          <w:p w14:paraId="36BCF9D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357" w:leftChars="170" w:right="0" w:firstLine="0" w:firstLineChars="0"/>
              <w:jc w:val="both"/>
              <w:textAlignment w:val="baseline"/>
              <w:rPr>
                <w:rFonts w:hint="eastAsia"/>
                <w:color w:val="auto"/>
                <w:sz w:val="24"/>
                <w:highlight w:val="none"/>
                <w:lang w:val="zh-CN" w:eastAsia="zh-CN"/>
              </w:rPr>
            </w:pPr>
            <w:r>
              <w:rPr>
                <w:rFonts w:hint="eastAsia" w:cs="Times New Roman"/>
                <w:b/>
                <w:bCs/>
                <w:color w:val="auto"/>
                <w:kern w:val="2"/>
                <w:sz w:val="18"/>
                <w:szCs w:val="18"/>
                <w:highlight w:val="none"/>
                <w:lang w:val="zh-CN" w:eastAsia="zh-CN" w:bidi="ar-SA"/>
              </w:rPr>
              <w:t>注：括号中最大值为硫酸稀释、蒙砂液配制和蒙砂</w:t>
            </w:r>
            <w:r>
              <w:rPr>
                <w:rFonts w:hint="eastAsia" w:cs="Times New Roman"/>
                <w:b/>
                <w:bCs/>
                <w:color w:val="auto"/>
                <w:kern w:val="2"/>
                <w:sz w:val="18"/>
                <w:szCs w:val="18"/>
                <w:highlight w:val="none"/>
                <w:lang w:val="en-US" w:eastAsia="zh-CN" w:bidi="ar-SA"/>
              </w:rPr>
              <w:t>3</w:t>
            </w:r>
            <w:r>
              <w:rPr>
                <w:rFonts w:hint="eastAsia" w:cs="Times New Roman"/>
                <w:b/>
                <w:bCs/>
                <w:color w:val="auto"/>
                <w:kern w:val="2"/>
                <w:sz w:val="18"/>
                <w:szCs w:val="18"/>
                <w:highlight w:val="none"/>
                <w:lang w:val="zh-CN" w:eastAsia="zh-CN" w:bidi="ar-SA"/>
              </w:rPr>
              <w:t>个工序同时进行时的最大产生速率。</w:t>
            </w:r>
          </w:p>
          <w:p w14:paraId="5984570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color w:val="auto"/>
                <w:highlight w:val="none"/>
                <w:lang w:val="en-US" w:eastAsia="zh-CN"/>
              </w:rPr>
            </w:pPr>
            <w:r>
              <w:rPr>
                <w:rFonts w:hint="eastAsia"/>
                <w:color w:val="auto"/>
                <w:sz w:val="24"/>
                <w:highlight w:val="none"/>
                <w:lang w:val="zh-CN" w:eastAsia="zh-CN"/>
              </w:rPr>
              <w:t>综上，</w:t>
            </w:r>
            <w:r>
              <w:rPr>
                <w:rFonts w:hint="eastAsia" w:cs="Times New Roman"/>
                <w:color w:val="auto"/>
                <w:kern w:val="2"/>
                <w:sz w:val="24"/>
                <w:szCs w:val="24"/>
                <w:highlight w:val="none"/>
                <w:lang w:val="zh-CN" w:eastAsia="zh-CN" w:bidi="ar-SA"/>
              </w:rPr>
              <w:t>本项目无组织</w:t>
            </w:r>
            <w:r>
              <w:rPr>
                <w:rFonts w:hint="default" w:ascii="Times New Roman" w:hAnsi="Times New Roman" w:eastAsia="宋体" w:cs="Times New Roman"/>
                <w:color w:val="auto"/>
                <w:kern w:val="2"/>
                <w:sz w:val="24"/>
                <w:szCs w:val="24"/>
                <w:highlight w:val="none"/>
                <w:lang w:val="zh-CN" w:eastAsia="zh-CN" w:bidi="ar-SA"/>
              </w:rPr>
              <w:t>硫酸雾的</w:t>
            </w:r>
            <w:r>
              <w:rPr>
                <w:rFonts w:hint="eastAsia" w:cs="Times New Roman"/>
                <w:color w:val="auto"/>
                <w:kern w:val="2"/>
                <w:sz w:val="24"/>
                <w:szCs w:val="24"/>
                <w:highlight w:val="none"/>
                <w:lang w:val="zh-CN" w:eastAsia="zh-CN" w:bidi="ar-SA"/>
              </w:rPr>
              <w:t>排放</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0.00002</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，最大排放速率为</w:t>
            </w:r>
            <w:r>
              <w:rPr>
                <w:rFonts w:hint="eastAsia" w:cs="Times New Roman"/>
                <w:color w:val="auto"/>
                <w:kern w:val="2"/>
                <w:sz w:val="24"/>
                <w:szCs w:val="24"/>
                <w:highlight w:val="none"/>
                <w:lang w:val="en-US" w:eastAsia="zh-CN" w:bidi="ar-SA"/>
              </w:rPr>
              <w:t>0.0006</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；无组织</w:t>
            </w:r>
            <w:r>
              <w:rPr>
                <w:rFonts w:hint="eastAsia" w:cs="Times New Roman"/>
                <w:color w:val="auto"/>
                <w:sz w:val="24"/>
                <w:highlight w:val="none"/>
                <w:lang w:val="zh-CN" w:eastAsia="zh-CN"/>
              </w:rPr>
              <w:t>氯化氢</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排放</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0.0065</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，排放速率为</w:t>
            </w:r>
            <w:r>
              <w:rPr>
                <w:rFonts w:hint="eastAsia" w:cs="Times New Roman"/>
                <w:color w:val="auto"/>
                <w:kern w:val="2"/>
                <w:sz w:val="24"/>
                <w:szCs w:val="24"/>
                <w:highlight w:val="none"/>
                <w:lang w:val="en-US" w:eastAsia="zh-CN" w:bidi="ar-SA"/>
              </w:rPr>
              <w:t>0.2163</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；无组织颗粒物</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排放</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0.01</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，排放速率为</w:t>
            </w:r>
            <w:r>
              <w:rPr>
                <w:rFonts w:hint="eastAsia" w:cs="Times New Roman"/>
                <w:color w:val="auto"/>
                <w:kern w:val="2"/>
                <w:sz w:val="24"/>
                <w:szCs w:val="24"/>
                <w:highlight w:val="none"/>
                <w:lang w:val="en-US" w:eastAsia="zh-CN" w:bidi="ar-SA"/>
              </w:rPr>
              <w:t>0.0833</w:t>
            </w:r>
            <w:r>
              <w:rPr>
                <w:rFonts w:hint="default" w:ascii="Times New Roman" w:hAnsi="Times New Roman" w:eastAsia="宋体" w:cs="Times New Roman"/>
                <w:color w:val="auto"/>
                <w:kern w:val="2"/>
                <w:sz w:val="24"/>
                <w:szCs w:val="24"/>
                <w:highlight w:val="none"/>
                <w:lang w:val="zh-CN" w:eastAsia="zh-CN" w:bidi="ar-SA"/>
              </w:rPr>
              <w:t>kg/</w:t>
            </w:r>
            <w:r>
              <w:rPr>
                <w:rFonts w:hint="eastAsia" w:cs="Times New Roman"/>
                <w:color w:val="auto"/>
                <w:kern w:val="2"/>
                <w:sz w:val="24"/>
                <w:szCs w:val="24"/>
                <w:highlight w:val="none"/>
                <w:lang w:val="en-US" w:eastAsia="zh-CN" w:bidi="ar-SA"/>
              </w:rPr>
              <w:t>h</w:t>
            </w:r>
            <w:r>
              <w:rPr>
                <w:rFonts w:hint="eastAsia" w:cs="Times New Roman"/>
                <w:color w:val="auto"/>
                <w:kern w:val="2"/>
                <w:sz w:val="24"/>
                <w:szCs w:val="24"/>
                <w:highlight w:val="none"/>
                <w:lang w:val="zh-CN" w:eastAsia="zh-CN" w:bidi="ar-SA"/>
              </w:rPr>
              <w:t>；无组织氟化物</w:t>
            </w:r>
            <w:r>
              <w:rPr>
                <w:rFonts w:hint="default" w:ascii="Times New Roman" w:hAnsi="Times New Roman" w:eastAsia="宋体" w:cs="Times New Roman"/>
                <w:color w:val="auto"/>
                <w:kern w:val="2"/>
                <w:sz w:val="24"/>
                <w:szCs w:val="24"/>
                <w:highlight w:val="none"/>
                <w:lang w:val="zh-CN" w:eastAsia="zh-CN" w:bidi="ar-SA"/>
              </w:rPr>
              <w:t>的</w:t>
            </w:r>
            <w:r>
              <w:rPr>
                <w:rFonts w:hint="eastAsia" w:cs="Times New Roman"/>
                <w:color w:val="auto"/>
                <w:kern w:val="2"/>
                <w:sz w:val="24"/>
                <w:szCs w:val="24"/>
                <w:highlight w:val="none"/>
                <w:lang w:val="zh-CN" w:eastAsia="zh-CN" w:bidi="ar-SA"/>
              </w:rPr>
              <w:t>排放</w:t>
            </w:r>
            <w:r>
              <w:rPr>
                <w:rFonts w:hint="default" w:ascii="Times New Roman" w:hAnsi="Times New Roman" w:eastAsia="宋体" w:cs="Times New Roman"/>
                <w:color w:val="auto"/>
                <w:kern w:val="2"/>
                <w:sz w:val="24"/>
                <w:szCs w:val="24"/>
                <w:highlight w:val="none"/>
                <w:lang w:val="zh-CN" w:eastAsia="zh-CN" w:bidi="ar-SA"/>
              </w:rPr>
              <w:t>量为</w:t>
            </w:r>
            <w:r>
              <w:rPr>
                <w:rFonts w:hint="eastAsia" w:cs="Times New Roman"/>
                <w:color w:val="auto"/>
                <w:kern w:val="2"/>
                <w:sz w:val="24"/>
                <w:szCs w:val="24"/>
                <w:highlight w:val="none"/>
                <w:lang w:val="en-US" w:eastAsia="zh-CN" w:bidi="ar-SA"/>
              </w:rPr>
              <w:t>0.2085</w:t>
            </w:r>
            <w:r>
              <w:rPr>
                <w:rFonts w:hint="default" w:ascii="Times New Roman" w:hAnsi="Times New Roman" w:eastAsia="宋体" w:cs="Times New Roman"/>
                <w:color w:val="auto"/>
                <w:kern w:val="2"/>
                <w:sz w:val="24"/>
                <w:szCs w:val="24"/>
                <w:highlight w:val="none"/>
                <w:lang w:val="zh-CN" w:eastAsia="zh-CN" w:bidi="ar-SA"/>
              </w:rPr>
              <w:t>t/a</w:t>
            </w:r>
            <w:r>
              <w:rPr>
                <w:rFonts w:hint="eastAsia" w:cs="Times New Roman"/>
                <w:color w:val="auto"/>
                <w:kern w:val="2"/>
                <w:sz w:val="24"/>
                <w:szCs w:val="24"/>
                <w:highlight w:val="none"/>
                <w:lang w:val="zh-CN" w:eastAsia="zh-CN" w:bidi="ar-SA"/>
              </w:rPr>
              <w:t>，最大排放速率为</w:t>
            </w:r>
            <w:r>
              <w:rPr>
                <w:rFonts w:hint="eastAsia" w:cs="Times New Roman"/>
                <w:color w:val="auto"/>
                <w:kern w:val="2"/>
                <w:sz w:val="24"/>
                <w:szCs w:val="24"/>
                <w:highlight w:val="none"/>
                <w:lang w:val="en-US" w:eastAsia="zh-CN" w:bidi="ar-SA"/>
              </w:rPr>
              <w:t>0.0564</w:t>
            </w:r>
            <w:r>
              <w:rPr>
                <w:rFonts w:hint="default" w:ascii="Times New Roman" w:hAnsi="Times New Roman" w:eastAsia="宋体" w:cs="Times New Roman"/>
                <w:color w:val="auto"/>
                <w:kern w:val="2"/>
                <w:sz w:val="24"/>
                <w:szCs w:val="24"/>
                <w:highlight w:val="none"/>
                <w:lang w:val="zh-CN" w:eastAsia="zh-CN" w:bidi="ar-SA"/>
              </w:rPr>
              <w:t>kg/h</w:t>
            </w:r>
            <w:r>
              <w:rPr>
                <w:rFonts w:hint="eastAsia" w:cs="Times New Roman"/>
                <w:color w:val="auto"/>
                <w:kern w:val="2"/>
                <w:sz w:val="24"/>
                <w:szCs w:val="24"/>
                <w:highlight w:val="none"/>
                <w:lang w:val="zh-CN" w:eastAsia="zh-CN" w:bidi="ar-SA"/>
              </w:rPr>
              <w:t>。</w:t>
            </w:r>
          </w:p>
          <w:p w14:paraId="2C3B9F37">
            <w:pPr>
              <w:numPr>
                <w:ilvl w:val="0"/>
                <w:numId w:val="0"/>
              </w:numPr>
              <w:spacing w:line="360" w:lineRule="auto"/>
              <w:ind w:firstLine="480" w:firstLineChars="200"/>
              <w:rPr>
                <w:rFonts w:hint="default" w:ascii="Times New Roman" w:hAnsi="Times New Roman" w:eastAsia="宋体" w:cs="Times New Roman"/>
                <w:caps w:val="0"/>
                <w:smallCaps w:val="0"/>
                <w:color w:val="auto"/>
                <w:sz w:val="24"/>
                <w:szCs w:val="24"/>
                <w:highlight w:val="none"/>
                <w:lang w:val="en-US" w:eastAsia="zh-CN"/>
              </w:rPr>
            </w:pPr>
            <w:r>
              <w:rPr>
                <w:rFonts w:hint="eastAsia" w:cs="Times New Roman"/>
                <w:caps w:val="0"/>
                <w:smallCaps w:val="0"/>
                <w:color w:val="auto"/>
                <w:sz w:val="24"/>
                <w:szCs w:val="24"/>
                <w:highlight w:val="none"/>
                <w:lang w:val="en-US" w:eastAsia="zh-CN"/>
              </w:rPr>
              <w:t>③</w:t>
            </w:r>
            <w:r>
              <w:rPr>
                <w:rFonts w:hint="eastAsia" w:ascii="Times New Roman" w:hAnsi="Times New Roman" w:eastAsia="宋体" w:cs="Times New Roman"/>
                <w:caps w:val="0"/>
                <w:smallCaps w:val="0"/>
                <w:color w:val="auto"/>
                <w:sz w:val="24"/>
                <w:szCs w:val="24"/>
                <w:highlight w:val="none"/>
                <w:lang w:val="en-US" w:eastAsia="zh-CN"/>
              </w:rPr>
              <w:t>无组织废气达标分析</w:t>
            </w:r>
          </w:p>
          <w:p w14:paraId="0A7598C9">
            <w:pPr>
              <w:adjustRightInd w:val="0"/>
              <w:snapToGrid w:val="0"/>
              <w:spacing w:line="360" w:lineRule="auto"/>
              <w:ind w:firstLine="480" w:firstLineChars="200"/>
              <w:rPr>
                <w:rFonts w:hint="eastAsia"/>
                <w:color w:val="auto"/>
                <w:sz w:val="24"/>
                <w:highlight w:val="none"/>
                <w:lang w:val="zh-CN"/>
              </w:rPr>
            </w:pPr>
            <w:r>
              <w:rPr>
                <w:color w:val="auto"/>
                <w:kern w:val="0"/>
                <w:sz w:val="24"/>
                <w:highlight w:val="none"/>
              </w:rPr>
              <w:t>本环评采用AERSCREEN模型估算项目建成后排放的污染物对周围环境的影响，估算模式为国家环境保护部工程评估中心环境质量模拟重点实验室提供。根据估算模式估算结果，项目无</w:t>
            </w:r>
            <w:r>
              <w:rPr>
                <w:color w:val="auto"/>
                <w:sz w:val="24"/>
                <w:highlight w:val="none"/>
              </w:rPr>
              <w:t>组织</w:t>
            </w:r>
            <w:r>
              <w:rPr>
                <w:color w:val="auto"/>
                <w:sz w:val="24"/>
                <w:szCs w:val="24"/>
                <w:highlight w:val="none"/>
              </w:rPr>
              <w:t>排放的污染物最大地面落地浓度距源距离为源下风向</w:t>
            </w:r>
            <w:r>
              <w:rPr>
                <w:rFonts w:hint="eastAsia"/>
                <w:color w:val="auto"/>
                <w:sz w:val="24"/>
                <w:szCs w:val="24"/>
                <w:highlight w:val="none"/>
                <w:lang w:val="en-US" w:eastAsia="zh-CN"/>
              </w:rPr>
              <w:t>77</w:t>
            </w:r>
            <w:r>
              <w:rPr>
                <w:color w:val="auto"/>
                <w:sz w:val="24"/>
                <w:szCs w:val="24"/>
                <w:highlight w:val="none"/>
              </w:rPr>
              <w:t>m</w:t>
            </w:r>
            <w:r>
              <w:rPr>
                <w:rFonts w:hint="eastAsia"/>
                <w:color w:val="auto"/>
                <w:sz w:val="24"/>
                <w:szCs w:val="24"/>
                <w:highlight w:val="none"/>
              </w:rPr>
              <w:t>，</w:t>
            </w:r>
            <w:r>
              <w:rPr>
                <w:rFonts w:hint="eastAsia"/>
                <w:color w:val="auto"/>
                <w:sz w:val="24"/>
                <w:szCs w:val="24"/>
                <w:highlight w:val="none"/>
                <w:lang w:val="en-US" w:eastAsia="zh-CN"/>
              </w:rPr>
              <w:t>无组织</w:t>
            </w:r>
            <w:r>
              <w:rPr>
                <w:rFonts w:hint="default" w:ascii="Times New Roman" w:hAnsi="Times New Roman" w:eastAsia="宋体" w:cs="Times New Roman"/>
                <w:color w:val="auto"/>
                <w:sz w:val="24"/>
                <w:szCs w:val="24"/>
                <w:highlight w:val="none"/>
              </w:rPr>
              <w:t>硫酸雾、</w:t>
            </w:r>
            <w:r>
              <w:rPr>
                <w:rFonts w:hint="eastAsia" w:cs="Times New Roman"/>
                <w:color w:val="auto"/>
                <w:sz w:val="24"/>
                <w:highlight w:val="none"/>
                <w:lang w:val="zh-CN" w:eastAsia="zh-CN"/>
              </w:rPr>
              <w:t>氯化氢</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颗粒物、</w:t>
            </w:r>
            <w:r>
              <w:rPr>
                <w:rFonts w:hint="eastAsia"/>
                <w:caps w:val="0"/>
                <w:smallCaps w:val="0"/>
                <w:color w:val="auto"/>
                <w:sz w:val="24"/>
                <w:szCs w:val="24"/>
                <w:highlight w:val="none"/>
                <w:lang w:val="en-US" w:eastAsia="zh-CN"/>
              </w:rPr>
              <w:t>氟化物</w:t>
            </w:r>
            <w:r>
              <w:rPr>
                <w:rFonts w:hint="default" w:ascii="Times New Roman" w:hAnsi="Times New Roman" w:eastAsia="宋体" w:cs="Times New Roman"/>
                <w:iCs/>
                <w:color w:val="auto"/>
                <w:sz w:val="24"/>
                <w:szCs w:val="24"/>
                <w:highlight w:val="none"/>
              </w:rPr>
              <w:t>最大落地浓度</w:t>
            </w:r>
            <w:r>
              <w:rPr>
                <w:rFonts w:hint="eastAsia" w:ascii="Times New Roman" w:hAnsi="Times New Roman" w:eastAsia="宋体" w:cs="Times New Roman"/>
                <w:iCs/>
                <w:color w:val="auto"/>
                <w:sz w:val="24"/>
                <w:szCs w:val="24"/>
                <w:highlight w:val="none"/>
                <w:lang w:val="en-US" w:eastAsia="zh-CN"/>
              </w:rPr>
              <w:t>分别</w:t>
            </w:r>
            <w:r>
              <w:rPr>
                <w:rFonts w:hint="default" w:ascii="Times New Roman" w:hAnsi="Times New Roman" w:eastAsia="宋体" w:cs="Times New Roman"/>
                <w:iCs/>
                <w:color w:val="auto"/>
                <w:sz w:val="24"/>
                <w:szCs w:val="24"/>
                <w:highlight w:val="none"/>
              </w:rPr>
              <w:t>为</w:t>
            </w:r>
            <w:r>
              <w:rPr>
                <w:rFonts w:hint="eastAsia" w:cs="Times New Roman"/>
                <w:iCs/>
                <w:color w:val="auto"/>
                <w:sz w:val="24"/>
                <w:szCs w:val="24"/>
                <w:highlight w:val="none"/>
                <w:lang w:val="en-US" w:eastAsia="zh-CN"/>
              </w:rPr>
              <w:t>1.71</w:t>
            </w:r>
            <w:r>
              <w:rPr>
                <w:rFonts w:hint="eastAsia" w:ascii="Times New Roman" w:hAnsi="Times New Roman" w:eastAsia="宋体" w:cs="Times New Roman"/>
                <w:iCs/>
                <w:color w:val="auto"/>
                <w:sz w:val="24"/>
                <w:szCs w:val="24"/>
                <w:highlight w:val="none"/>
                <w:lang w:val="en-US" w:eastAsia="zh-CN"/>
              </w:rPr>
              <w:t>x10</w:t>
            </w:r>
            <w:r>
              <w:rPr>
                <w:rFonts w:hint="eastAsia" w:ascii="Times New Roman" w:hAnsi="Times New Roman" w:eastAsia="宋体" w:cs="Times New Roman"/>
                <w:iCs/>
                <w:color w:val="auto"/>
                <w:sz w:val="24"/>
                <w:szCs w:val="24"/>
                <w:highlight w:val="none"/>
                <w:vertAlign w:val="superscript"/>
                <w:lang w:val="en-US" w:eastAsia="zh-CN"/>
              </w:rPr>
              <w:t>-</w:t>
            </w:r>
            <w:r>
              <w:rPr>
                <w:rFonts w:hint="eastAsia" w:cs="Times New Roman"/>
                <w:iCs/>
                <w:color w:val="auto"/>
                <w:sz w:val="24"/>
                <w:szCs w:val="24"/>
                <w:highlight w:val="none"/>
                <w:vertAlign w:val="superscript"/>
                <w:lang w:val="en-US" w:eastAsia="zh-CN"/>
              </w:rPr>
              <w:t>4</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r>
              <w:rPr>
                <w:rFonts w:hint="eastAsia" w:cs="Times New Roman"/>
                <w:color w:val="auto"/>
                <w:sz w:val="24"/>
                <w:szCs w:val="24"/>
                <w:highlight w:val="none"/>
                <w:vertAlign w:val="baseline"/>
                <w:lang w:val="en-US" w:eastAsia="zh-CN"/>
              </w:rPr>
              <w:t>6.16</w:t>
            </w:r>
            <w:r>
              <w:rPr>
                <w:rFonts w:hint="eastAsia" w:ascii="Times New Roman" w:hAnsi="Times New Roman" w:eastAsia="宋体" w:cs="Times New Roman"/>
                <w:iCs/>
                <w:color w:val="auto"/>
                <w:sz w:val="24"/>
                <w:szCs w:val="24"/>
                <w:highlight w:val="none"/>
                <w:lang w:val="en-US" w:eastAsia="zh-CN"/>
              </w:rPr>
              <w:t>x10</w:t>
            </w:r>
            <w:r>
              <w:rPr>
                <w:rFonts w:hint="eastAsia" w:ascii="Times New Roman" w:hAnsi="Times New Roman" w:eastAsia="宋体" w:cs="Times New Roman"/>
                <w:iCs/>
                <w:color w:val="auto"/>
                <w:sz w:val="24"/>
                <w:szCs w:val="24"/>
                <w:highlight w:val="none"/>
                <w:vertAlign w:val="superscript"/>
                <w:lang w:val="en-US" w:eastAsia="zh-CN"/>
              </w:rPr>
              <w:t>-</w:t>
            </w:r>
            <w:r>
              <w:rPr>
                <w:rFonts w:hint="eastAsia" w:cs="Times New Roman"/>
                <w:iCs/>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iCs/>
                <w:color w:val="auto"/>
                <w:sz w:val="24"/>
                <w:szCs w:val="24"/>
                <w:highlight w:val="none"/>
              </w:rPr>
              <w:t>、</w:t>
            </w:r>
            <w:r>
              <w:rPr>
                <w:rFonts w:hint="eastAsia" w:cs="Times New Roman"/>
                <w:iCs/>
                <w:color w:val="auto"/>
                <w:sz w:val="24"/>
                <w:szCs w:val="24"/>
                <w:highlight w:val="none"/>
                <w:lang w:val="en-US" w:eastAsia="zh-CN"/>
              </w:rPr>
              <w:t>2.37</w:t>
            </w:r>
            <w:r>
              <w:rPr>
                <w:rFonts w:hint="eastAsia" w:ascii="Times New Roman" w:hAnsi="Times New Roman" w:eastAsia="宋体" w:cs="Times New Roman"/>
                <w:iCs/>
                <w:color w:val="auto"/>
                <w:sz w:val="24"/>
                <w:szCs w:val="24"/>
                <w:highlight w:val="none"/>
                <w:lang w:val="en-US" w:eastAsia="zh-CN"/>
              </w:rPr>
              <w:t>x10</w:t>
            </w:r>
            <w:r>
              <w:rPr>
                <w:rFonts w:hint="eastAsia" w:ascii="Times New Roman" w:hAnsi="Times New Roman" w:eastAsia="宋体" w:cs="Times New Roman"/>
                <w:iCs/>
                <w:color w:val="auto"/>
                <w:sz w:val="24"/>
                <w:szCs w:val="24"/>
                <w:highlight w:val="none"/>
                <w:vertAlign w:val="superscript"/>
                <w:lang w:val="en-US" w:eastAsia="zh-CN"/>
              </w:rPr>
              <w:t>-</w:t>
            </w:r>
            <w:r>
              <w:rPr>
                <w:rFonts w:hint="eastAsia" w:cs="Times New Roman"/>
                <w:iCs/>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iCs/>
                <w:color w:val="auto"/>
                <w:sz w:val="24"/>
                <w:szCs w:val="24"/>
                <w:highlight w:val="none"/>
              </w:rPr>
              <w:t>、</w:t>
            </w:r>
            <w:r>
              <w:rPr>
                <w:rFonts w:hint="eastAsia" w:cs="Times New Roman"/>
                <w:iCs/>
                <w:color w:val="auto"/>
                <w:sz w:val="24"/>
                <w:szCs w:val="24"/>
                <w:highlight w:val="none"/>
                <w:lang w:val="en-US" w:eastAsia="zh-CN"/>
              </w:rPr>
              <w:t>1.23</w:t>
            </w:r>
            <w:r>
              <w:rPr>
                <w:rFonts w:hint="eastAsia" w:ascii="Times New Roman" w:hAnsi="Times New Roman" w:eastAsia="宋体" w:cs="Times New Roman"/>
                <w:iCs/>
                <w:color w:val="auto"/>
                <w:sz w:val="24"/>
                <w:szCs w:val="24"/>
                <w:highlight w:val="none"/>
                <w:lang w:val="en-US" w:eastAsia="zh-CN"/>
              </w:rPr>
              <w:t>x10</w:t>
            </w:r>
            <w:r>
              <w:rPr>
                <w:rFonts w:hint="eastAsia" w:ascii="Times New Roman" w:hAnsi="Times New Roman" w:eastAsia="宋体" w:cs="Times New Roman"/>
                <w:iCs/>
                <w:color w:val="auto"/>
                <w:sz w:val="24"/>
                <w:szCs w:val="24"/>
                <w:highlight w:val="none"/>
                <w:vertAlign w:val="superscript"/>
                <w:lang w:val="en-US" w:eastAsia="zh-CN"/>
              </w:rPr>
              <w:t>-</w:t>
            </w:r>
            <w:r>
              <w:rPr>
                <w:rFonts w:hint="eastAsia" w:cs="Times New Roman"/>
                <w:iCs/>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iCs/>
                <w:color w:val="auto"/>
                <w:sz w:val="24"/>
                <w:szCs w:val="24"/>
                <w:highlight w:val="none"/>
                <w:lang w:eastAsia="zh-CN"/>
              </w:rPr>
              <w:t>。</w:t>
            </w:r>
            <w:r>
              <w:rPr>
                <w:rFonts w:hint="eastAsia"/>
                <w:color w:val="auto"/>
                <w:sz w:val="24"/>
                <w:highlight w:val="none"/>
              </w:rPr>
              <w:t>厂区内</w:t>
            </w:r>
            <w:r>
              <w:rPr>
                <w:rFonts w:hint="eastAsia"/>
                <w:color w:val="auto"/>
                <w:sz w:val="24"/>
                <w:highlight w:val="none"/>
                <w:lang w:eastAsia="zh-CN"/>
              </w:rPr>
              <w:t>颗粒物无组织排放</w:t>
            </w:r>
            <w:r>
              <w:rPr>
                <w:rFonts w:hint="eastAsia"/>
                <w:color w:val="auto"/>
                <w:sz w:val="24"/>
                <w:highlight w:val="none"/>
              </w:rPr>
              <w:t>满足</w:t>
            </w:r>
            <w:r>
              <w:rPr>
                <w:rFonts w:hint="eastAsia"/>
                <w:color w:val="auto"/>
                <w:sz w:val="24"/>
                <w:highlight w:val="none"/>
                <w:lang w:eastAsia="zh-CN"/>
              </w:rPr>
              <w:t>《玻璃工业大气污染物排放标准》（</w:t>
            </w:r>
            <w:r>
              <w:rPr>
                <w:rFonts w:hint="eastAsia"/>
                <w:color w:val="auto"/>
                <w:sz w:val="24"/>
                <w:highlight w:val="none"/>
                <w:lang w:val="en-US" w:eastAsia="zh-CN"/>
              </w:rPr>
              <w:t>GB 26453-2022</w:t>
            </w:r>
            <w:r>
              <w:rPr>
                <w:rFonts w:hint="eastAsia"/>
                <w:color w:val="auto"/>
                <w:sz w:val="24"/>
                <w:highlight w:val="none"/>
                <w:lang w:eastAsia="zh-CN"/>
              </w:rPr>
              <w:t>）附录</w:t>
            </w:r>
            <w:r>
              <w:rPr>
                <w:rFonts w:hint="eastAsia"/>
                <w:color w:val="auto"/>
                <w:sz w:val="24"/>
                <w:highlight w:val="none"/>
                <w:lang w:val="en-US" w:eastAsia="zh-CN"/>
              </w:rPr>
              <w:t>B中的要求</w:t>
            </w:r>
            <w:r>
              <w:rPr>
                <w:rFonts w:hint="eastAsia"/>
                <w:color w:val="auto"/>
                <w:sz w:val="24"/>
                <w:highlight w:val="none"/>
                <w:lang w:val="zh-CN"/>
              </w:rPr>
              <w:t>，</w:t>
            </w:r>
            <w:r>
              <w:rPr>
                <w:rFonts w:hint="eastAsia"/>
                <w:color w:val="auto"/>
                <w:sz w:val="24"/>
                <w:highlight w:val="none"/>
              </w:rPr>
              <w:t>即：</w:t>
            </w:r>
            <w:r>
              <w:rPr>
                <w:rFonts w:hint="eastAsia"/>
                <w:color w:val="auto"/>
                <w:sz w:val="24"/>
                <w:highlight w:val="none"/>
                <w:lang w:eastAsia="zh-CN"/>
              </w:rPr>
              <w:t>颗粒物</w:t>
            </w:r>
            <w:r>
              <w:rPr>
                <w:rFonts w:hint="default"/>
                <w:color w:val="auto"/>
                <w:sz w:val="24"/>
                <w:highlight w:val="none"/>
                <w:lang w:val="zh-CN"/>
              </w:rPr>
              <w:t>≤</w:t>
            </w:r>
            <w:r>
              <w:rPr>
                <w:rFonts w:hint="eastAsia"/>
                <w:color w:val="auto"/>
                <w:sz w:val="24"/>
                <w:highlight w:val="none"/>
                <w:lang w:val="en-US" w:eastAsia="zh-CN"/>
              </w:rPr>
              <w:t>3</w:t>
            </w:r>
            <w:r>
              <w:rPr>
                <w:rFonts w:hint="default"/>
                <w:color w:val="auto"/>
                <w:sz w:val="24"/>
                <w:highlight w:val="none"/>
                <w:lang w:val="zh-CN"/>
              </w:rPr>
              <w:t>mg/m</w:t>
            </w:r>
            <w:r>
              <w:rPr>
                <w:rFonts w:hint="default"/>
                <w:color w:val="auto"/>
                <w:sz w:val="24"/>
                <w:highlight w:val="none"/>
                <w:vertAlign w:val="superscript"/>
                <w:lang w:val="zh-CN"/>
              </w:rPr>
              <w:t>3</w:t>
            </w:r>
            <w:r>
              <w:rPr>
                <w:rFonts w:hint="eastAsia"/>
                <w:color w:val="auto"/>
                <w:sz w:val="24"/>
                <w:highlight w:val="none"/>
                <w:lang w:val="zh-CN"/>
              </w:rPr>
              <w:t>（监控点处1</w:t>
            </w:r>
            <w:r>
              <w:rPr>
                <w:rFonts w:hint="eastAsia"/>
                <w:color w:val="auto"/>
                <w:sz w:val="24"/>
                <w:highlight w:val="none"/>
                <w:lang w:val="en-US" w:eastAsia="zh-CN"/>
              </w:rPr>
              <w:t>h</w:t>
            </w:r>
            <w:r>
              <w:rPr>
                <w:rFonts w:hint="eastAsia"/>
                <w:color w:val="auto"/>
                <w:sz w:val="24"/>
                <w:highlight w:val="none"/>
                <w:lang w:val="zh-CN"/>
              </w:rPr>
              <w:t>平均浓度值）；</w:t>
            </w:r>
            <w:r>
              <w:rPr>
                <w:rFonts w:hint="eastAsia"/>
                <w:color w:val="auto"/>
                <w:sz w:val="24"/>
                <w:highlight w:val="none"/>
              </w:rPr>
              <w:t>硫酸雾、</w:t>
            </w:r>
            <w:r>
              <w:rPr>
                <w:rFonts w:hint="eastAsia" w:cs="Times New Roman"/>
                <w:color w:val="auto"/>
                <w:sz w:val="24"/>
                <w:highlight w:val="none"/>
                <w:lang w:val="zh-CN" w:eastAsia="zh-CN"/>
              </w:rPr>
              <w:t>氯化氢</w:t>
            </w:r>
            <w:r>
              <w:rPr>
                <w:rFonts w:hint="eastAsia"/>
                <w:color w:val="auto"/>
                <w:sz w:val="24"/>
                <w:highlight w:val="none"/>
              </w:rPr>
              <w:t>、颗粒物、氟化</w:t>
            </w:r>
            <w:r>
              <w:rPr>
                <w:rFonts w:hint="eastAsia"/>
                <w:color w:val="auto"/>
                <w:sz w:val="24"/>
                <w:highlight w:val="none"/>
                <w:lang w:eastAsia="zh-CN"/>
              </w:rPr>
              <w:t>物</w:t>
            </w:r>
            <w:r>
              <w:rPr>
                <w:rFonts w:hint="eastAsia"/>
                <w:color w:val="auto"/>
                <w:sz w:val="24"/>
                <w:highlight w:val="none"/>
              </w:rPr>
              <w:t>厂界无组织废气排放</w:t>
            </w:r>
            <w:r>
              <w:rPr>
                <w:rFonts w:hint="eastAsia"/>
                <w:color w:val="auto"/>
                <w:sz w:val="24"/>
                <w:highlight w:val="none"/>
                <w:lang w:eastAsia="zh-CN"/>
              </w:rPr>
              <w:t>均</w:t>
            </w:r>
            <w:r>
              <w:rPr>
                <w:rFonts w:hint="eastAsia"/>
                <w:color w:val="auto"/>
                <w:sz w:val="24"/>
                <w:highlight w:val="none"/>
              </w:rPr>
              <w:t>满足《大气污染物综合排放标准》 (GB16297-1996)表2中的无组织排放监控浓度限值，即：硫</w:t>
            </w:r>
            <w:r>
              <w:rPr>
                <w:color w:val="auto"/>
                <w:sz w:val="24"/>
                <w:highlight w:val="none"/>
              </w:rPr>
              <w:t>酸雾</w:t>
            </w:r>
            <w:r>
              <w:rPr>
                <w:color w:val="auto"/>
                <w:sz w:val="24"/>
                <w:highlight w:val="none"/>
                <w:lang w:val="zh-CN"/>
              </w:rPr>
              <w:t>≤</w:t>
            </w:r>
            <w:r>
              <w:rPr>
                <w:rFonts w:hint="eastAsia"/>
                <w:color w:val="auto"/>
                <w:sz w:val="24"/>
                <w:highlight w:val="none"/>
              </w:rPr>
              <w:t>1.2</w:t>
            </w:r>
            <w:r>
              <w:rPr>
                <w:color w:val="auto"/>
                <w:sz w:val="24"/>
                <w:highlight w:val="none"/>
                <w:lang w:val="zh-CN"/>
              </w:rPr>
              <w:t>mg/m</w:t>
            </w:r>
            <w:r>
              <w:rPr>
                <w:color w:val="auto"/>
                <w:sz w:val="24"/>
                <w:highlight w:val="none"/>
                <w:vertAlign w:val="superscript"/>
                <w:lang w:val="zh-CN"/>
              </w:rPr>
              <w:t>3</w:t>
            </w:r>
            <w:r>
              <w:rPr>
                <w:rFonts w:hint="eastAsia"/>
                <w:color w:val="auto"/>
                <w:sz w:val="24"/>
                <w:highlight w:val="none"/>
              </w:rPr>
              <w:t>；</w:t>
            </w:r>
            <w:r>
              <w:rPr>
                <w:rFonts w:hint="eastAsia" w:cs="Times New Roman"/>
                <w:color w:val="auto"/>
                <w:sz w:val="24"/>
                <w:highlight w:val="none"/>
                <w:lang w:val="zh-CN" w:eastAsia="zh-CN"/>
              </w:rPr>
              <w:t>氯化氢</w:t>
            </w:r>
            <w:r>
              <w:rPr>
                <w:color w:val="auto"/>
                <w:sz w:val="24"/>
                <w:highlight w:val="none"/>
                <w:lang w:val="zh-CN"/>
              </w:rPr>
              <w:t>≤</w:t>
            </w:r>
            <w:r>
              <w:rPr>
                <w:rFonts w:hint="eastAsia"/>
                <w:color w:val="auto"/>
                <w:sz w:val="24"/>
                <w:highlight w:val="none"/>
              </w:rPr>
              <w:t>0.20</w:t>
            </w:r>
            <w:r>
              <w:rPr>
                <w:color w:val="auto"/>
                <w:sz w:val="24"/>
                <w:highlight w:val="none"/>
                <w:lang w:val="zh-CN"/>
              </w:rPr>
              <w:t>mg/m</w:t>
            </w:r>
            <w:r>
              <w:rPr>
                <w:color w:val="auto"/>
                <w:sz w:val="24"/>
                <w:highlight w:val="none"/>
                <w:vertAlign w:val="superscript"/>
                <w:lang w:val="zh-CN"/>
              </w:rPr>
              <w:t>3</w:t>
            </w:r>
            <w:r>
              <w:rPr>
                <w:rFonts w:hint="eastAsia"/>
                <w:color w:val="auto"/>
                <w:sz w:val="24"/>
                <w:highlight w:val="none"/>
              </w:rPr>
              <w:t>；</w:t>
            </w:r>
            <w:r>
              <w:rPr>
                <w:rFonts w:hint="eastAsia"/>
                <w:color w:val="auto"/>
                <w:sz w:val="24"/>
                <w:highlight w:val="none"/>
                <w:lang w:val="zh-CN"/>
              </w:rPr>
              <w:t>颗</w:t>
            </w:r>
            <w:r>
              <w:rPr>
                <w:color w:val="auto"/>
                <w:sz w:val="24"/>
                <w:highlight w:val="none"/>
                <w:lang w:val="zh-CN"/>
              </w:rPr>
              <w:t>粒物≤1.0mg/m</w:t>
            </w:r>
            <w:r>
              <w:rPr>
                <w:color w:val="auto"/>
                <w:sz w:val="24"/>
                <w:highlight w:val="none"/>
                <w:vertAlign w:val="superscript"/>
                <w:lang w:val="zh-CN"/>
              </w:rPr>
              <w:t>3</w:t>
            </w:r>
            <w:r>
              <w:rPr>
                <w:color w:val="auto"/>
                <w:sz w:val="24"/>
                <w:highlight w:val="none"/>
                <w:lang w:val="zh-CN"/>
              </w:rPr>
              <w:t>、</w:t>
            </w:r>
            <w:r>
              <w:rPr>
                <w:rFonts w:hint="eastAsia"/>
                <w:color w:val="auto"/>
                <w:sz w:val="24"/>
                <w:highlight w:val="none"/>
                <w:lang w:val="zh-CN"/>
              </w:rPr>
              <w:t>氟化物</w:t>
            </w:r>
            <w:r>
              <w:rPr>
                <w:color w:val="auto"/>
                <w:sz w:val="24"/>
                <w:highlight w:val="none"/>
                <w:lang w:val="zh-CN"/>
              </w:rPr>
              <w:t>≤</w:t>
            </w:r>
            <w:r>
              <w:rPr>
                <w:rFonts w:hint="eastAsia"/>
                <w:color w:val="auto"/>
                <w:sz w:val="24"/>
                <w:highlight w:val="none"/>
              </w:rPr>
              <w:t>0.</w:t>
            </w:r>
            <w:r>
              <w:rPr>
                <w:rFonts w:hint="eastAsia"/>
                <w:color w:val="auto"/>
                <w:sz w:val="24"/>
                <w:highlight w:val="none"/>
                <w:lang w:val="en-US" w:eastAsia="zh-CN"/>
              </w:rPr>
              <w:t>02</w:t>
            </w:r>
            <w:r>
              <w:rPr>
                <w:color w:val="auto"/>
                <w:sz w:val="24"/>
                <w:highlight w:val="none"/>
                <w:lang w:val="zh-CN"/>
              </w:rPr>
              <w:t>mg/m</w:t>
            </w:r>
            <w:r>
              <w:rPr>
                <w:color w:val="auto"/>
                <w:sz w:val="24"/>
                <w:highlight w:val="none"/>
                <w:vertAlign w:val="superscript"/>
                <w:lang w:val="zh-CN"/>
              </w:rPr>
              <w:t>3</w:t>
            </w:r>
            <w:r>
              <w:rPr>
                <w:rFonts w:hint="eastAsia"/>
                <w:color w:val="auto"/>
                <w:sz w:val="24"/>
                <w:highlight w:val="none"/>
                <w:lang w:val="zh-CN"/>
              </w:rPr>
              <w:t>。</w:t>
            </w:r>
          </w:p>
          <w:p w14:paraId="6A23D951">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lang w:val="en-US" w:eastAsia="zh-CN"/>
              </w:rPr>
              <w:t>非正常</w:t>
            </w:r>
            <w:r>
              <w:rPr>
                <w:rFonts w:hint="eastAsia" w:cs="Times New Roman"/>
                <w:b/>
                <w:bCs/>
                <w:color w:val="auto"/>
                <w:sz w:val="24"/>
                <w:highlight w:val="none"/>
                <w:lang w:val="en-US" w:eastAsia="zh-CN"/>
              </w:rPr>
              <w:t>排放影响</w:t>
            </w:r>
            <w:r>
              <w:rPr>
                <w:rFonts w:hint="default" w:ascii="Times New Roman" w:hAnsi="Times New Roman" w:eastAsia="宋体" w:cs="Times New Roman"/>
                <w:b/>
                <w:bCs/>
                <w:color w:val="auto"/>
                <w:sz w:val="24"/>
                <w:highlight w:val="none"/>
                <w:lang w:val="en-US" w:eastAsia="zh-CN"/>
              </w:rPr>
              <w:t>分析</w:t>
            </w:r>
          </w:p>
          <w:p w14:paraId="75601A3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1"/>
                <w:szCs w:val="21"/>
                <w:highlight w:val="none"/>
              </w:rPr>
            </w:pPr>
            <w:r>
              <w:rPr>
                <w:rFonts w:hint="default" w:ascii="Times New Roman" w:hAnsi="Times New Roman" w:cs="Times New Roman"/>
                <w:color w:val="auto"/>
                <w:sz w:val="24"/>
                <w:highlight w:val="none"/>
              </w:rPr>
              <w:t>项目发生非正常排放，即废气处理设施发生故障时，项目区内的废气</w:t>
            </w:r>
            <w:r>
              <w:rPr>
                <w:rFonts w:hint="eastAsia" w:cs="Times New Roman"/>
                <w:color w:val="auto"/>
                <w:sz w:val="24"/>
                <w:highlight w:val="none"/>
                <w:lang w:eastAsia="zh-CN"/>
              </w:rPr>
              <w:t>处理</w:t>
            </w:r>
            <w:r>
              <w:rPr>
                <w:rFonts w:hint="default" w:ascii="Times New Roman" w:hAnsi="Times New Roman" w:cs="Times New Roman"/>
                <w:color w:val="auto"/>
                <w:sz w:val="24"/>
                <w:highlight w:val="none"/>
              </w:rPr>
              <w:t>效率下降甚至完全失效</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本次环</w:t>
            </w:r>
            <w:r>
              <w:rPr>
                <w:rFonts w:hint="default" w:ascii="Times New Roman" w:hAnsi="Times New Roman" w:cs="Times New Roman"/>
                <w:color w:val="auto"/>
                <w:sz w:val="24"/>
                <w:szCs w:val="24"/>
                <w:highlight w:val="none"/>
              </w:rPr>
              <w:t>评主要考虑</w:t>
            </w:r>
            <w:r>
              <w:rPr>
                <w:rFonts w:hint="eastAsia"/>
                <w:color w:val="auto"/>
                <w:sz w:val="24"/>
                <w:szCs w:val="24"/>
                <w:highlight w:val="none"/>
                <w:lang w:eastAsia="zh-CN"/>
              </w:rPr>
              <w:t>碱液喷淋洗涤塔处理效率下降至</w:t>
            </w:r>
            <w:r>
              <w:rPr>
                <w:rFonts w:hint="eastAsia"/>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zh-CN"/>
              </w:rPr>
              <w:t>一年发生次数约</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rPr>
              <w:t>次，持续时间约1~2h</w:t>
            </w:r>
            <w:r>
              <w:rPr>
                <w:rFonts w:hint="eastAsia" w:cs="Times New Roman"/>
                <w:color w:val="auto"/>
                <w:sz w:val="24"/>
                <w:szCs w:val="24"/>
                <w:highlight w:val="none"/>
                <w:lang w:val="zh-CN"/>
              </w:rPr>
              <w:t>，</w:t>
            </w:r>
            <w:r>
              <w:rPr>
                <w:rStyle w:val="32"/>
                <w:rFonts w:hint="default" w:ascii="Times New Roman" w:hAnsi="Times New Roman" w:eastAsia="宋体" w:cs="Times New Roman"/>
                <w:color w:val="auto"/>
                <w:sz w:val="24"/>
                <w:szCs w:val="24"/>
                <w:highlight w:val="none"/>
                <w:lang w:val="zh-CN"/>
              </w:rPr>
              <w:t>此时污染物排放</w:t>
            </w:r>
            <w:r>
              <w:rPr>
                <w:rStyle w:val="32"/>
                <w:rFonts w:hint="eastAsia" w:cs="Times New Roman"/>
                <w:color w:val="auto"/>
                <w:sz w:val="24"/>
                <w:szCs w:val="24"/>
                <w:highlight w:val="none"/>
                <w:lang w:val="zh-CN"/>
              </w:rPr>
              <w:t>情况如下</w:t>
            </w:r>
            <w:r>
              <w:rPr>
                <w:rStyle w:val="32"/>
                <w:rFonts w:hint="default" w:ascii="Times New Roman" w:hAnsi="Times New Roman" w:eastAsia="宋体" w:cs="Times New Roman"/>
                <w:color w:val="auto"/>
                <w:sz w:val="24"/>
                <w:szCs w:val="24"/>
                <w:highlight w:val="none"/>
                <w:lang w:val="zh-CN"/>
              </w:rPr>
              <w:t>。</w:t>
            </w:r>
          </w:p>
          <w:p w14:paraId="73B69230">
            <w:pPr>
              <w:pStyle w:val="21"/>
              <w:keepNext w:val="0"/>
              <w:keepLines w:val="0"/>
              <w:suppressLineNumbers w:val="0"/>
              <w:spacing w:before="0" w:beforeAutospacing="0" w:after="0" w:afterAutospacing="0"/>
              <w:ind w:left="0" w:leftChars="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 xml:space="preserve">  项目非正常排放条件下的废气排放情况一览表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74"/>
              <w:gridCol w:w="862"/>
              <w:gridCol w:w="1064"/>
              <w:gridCol w:w="1290"/>
              <w:gridCol w:w="1155"/>
              <w:gridCol w:w="931"/>
              <w:gridCol w:w="765"/>
              <w:gridCol w:w="900"/>
              <w:gridCol w:w="651"/>
            </w:tblGrid>
            <w:tr w14:paraId="5E4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4" w:hRule="atLeast"/>
                <w:jc w:val="center"/>
              </w:trPr>
              <w:tc>
                <w:tcPr>
                  <w:tcW w:w="461" w:type="pct"/>
                  <w:noWrap w:val="0"/>
                  <w:vAlign w:val="center"/>
                </w:tcPr>
                <w:p w14:paraId="3303A4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污染源</w:t>
                  </w:r>
                </w:p>
              </w:tc>
              <w:tc>
                <w:tcPr>
                  <w:tcW w:w="513" w:type="pct"/>
                  <w:noWrap w:val="0"/>
                  <w:vAlign w:val="center"/>
                </w:tcPr>
                <w:p w14:paraId="4CC109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33" w:type="pct"/>
                  <w:noWrap w:val="0"/>
                  <w:vAlign w:val="center"/>
                </w:tcPr>
                <w:p w14:paraId="4747BE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净化设施</w:t>
                  </w:r>
                </w:p>
              </w:tc>
              <w:tc>
                <w:tcPr>
                  <w:tcW w:w="768" w:type="pct"/>
                  <w:noWrap w:val="0"/>
                  <w:vAlign w:val="center"/>
                </w:tcPr>
                <w:p w14:paraId="2231E1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b/>
                      <w:bCs/>
                      <w:color w:val="auto"/>
                      <w:sz w:val="21"/>
                      <w:szCs w:val="21"/>
                      <w:highlight w:val="none"/>
                      <w:lang w:val="en-US" w:eastAsia="zh-CN"/>
                    </w:rPr>
                    <w:t>非正常</w:t>
                  </w: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c>
                <w:tcPr>
                  <w:tcW w:w="688" w:type="pct"/>
                  <w:noWrap w:val="0"/>
                  <w:vAlign w:val="center"/>
                </w:tcPr>
                <w:p w14:paraId="72FE61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b/>
                      <w:bCs/>
                      <w:color w:val="auto"/>
                      <w:sz w:val="21"/>
                      <w:szCs w:val="21"/>
                      <w:highlight w:val="none"/>
                      <w:lang w:val="en-US" w:eastAsia="zh-CN"/>
                    </w:rPr>
                    <w:t>非正常排放速率kg/h</w:t>
                  </w:r>
                </w:p>
              </w:tc>
              <w:tc>
                <w:tcPr>
                  <w:tcW w:w="554" w:type="pct"/>
                  <w:noWrap w:val="0"/>
                  <w:vAlign w:val="center"/>
                </w:tcPr>
                <w:p w14:paraId="4D1D760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zh-CN"/>
                    </w:rPr>
                    <w:t>单次持续时间</w:t>
                  </w:r>
                  <w:r>
                    <w:rPr>
                      <w:rFonts w:hint="default" w:ascii="Times New Roman" w:hAnsi="Times New Roman" w:eastAsia="宋体" w:cs="Times New Roman"/>
                      <w:b/>
                      <w:bCs/>
                      <w:color w:val="auto"/>
                      <w:sz w:val="21"/>
                      <w:szCs w:val="21"/>
                      <w:highlight w:val="none"/>
                      <w:lang w:val="en-US" w:eastAsia="zh-CN"/>
                    </w:rPr>
                    <w:t>/h</w:t>
                  </w:r>
                </w:p>
              </w:tc>
              <w:tc>
                <w:tcPr>
                  <w:tcW w:w="455" w:type="pct"/>
                  <w:noWrap w:val="0"/>
                  <w:vAlign w:val="center"/>
                </w:tcPr>
                <w:p w14:paraId="6DBC19E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zh-CN"/>
                    </w:rPr>
                    <w:t>年发生频次</w:t>
                  </w:r>
                  <w:r>
                    <w:rPr>
                      <w:rFonts w:hint="default" w:ascii="Times New Roman" w:hAnsi="Times New Roman" w:eastAsia="宋体" w:cs="Times New Roman"/>
                      <w:b/>
                      <w:bCs/>
                      <w:color w:val="auto"/>
                      <w:sz w:val="21"/>
                      <w:szCs w:val="21"/>
                      <w:highlight w:val="none"/>
                      <w:lang w:val="en-US" w:eastAsia="zh-CN"/>
                    </w:rPr>
                    <w:t>/次</w:t>
                  </w:r>
                </w:p>
              </w:tc>
              <w:tc>
                <w:tcPr>
                  <w:tcW w:w="536" w:type="pct"/>
                  <w:noWrap w:val="0"/>
                  <w:vAlign w:val="center"/>
                </w:tcPr>
                <w:p w14:paraId="548317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浓度限值mg/m</w:t>
                  </w:r>
                  <w:r>
                    <w:rPr>
                      <w:rFonts w:hint="default" w:ascii="Times New Roman" w:hAnsi="Times New Roman" w:eastAsia="宋体" w:cs="Times New Roman"/>
                      <w:b/>
                      <w:bCs/>
                      <w:color w:val="auto"/>
                      <w:sz w:val="21"/>
                      <w:szCs w:val="21"/>
                      <w:highlight w:val="none"/>
                      <w:vertAlign w:val="superscript"/>
                    </w:rPr>
                    <w:t>3</w:t>
                  </w:r>
                </w:p>
              </w:tc>
              <w:tc>
                <w:tcPr>
                  <w:tcW w:w="387" w:type="pct"/>
                  <w:noWrap w:val="0"/>
                  <w:vAlign w:val="center"/>
                </w:tcPr>
                <w:p w14:paraId="5B4BB7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p w14:paraId="2CD0C0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情况</w:t>
                  </w:r>
                </w:p>
              </w:tc>
            </w:tr>
            <w:tr w14:paraId="5774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61" w:type="pct"/>
                  <w:vMerge w:val="restart"/>
                  <w:noWrap w:val="0"/>
                  <w:vAlign w:val="center"/>
                </w:tcPr>
                <w:p w14:paraId="39AAA1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DA002</w:t>
                  </w:r>
                </w:p>
              </w:tc>
              <w:tc>
                <w:tcPr>
                  <w:tcW w:w="513" w:type="pct"/>
                  <w:noWrap w:val="0"/>
                  <w:vAlign w:val="center"/>
                </w:tcPr>
                <w:p w14:paraId="6015ED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硫酸雾</w:t>
                  </w:r>
                </w:p>
              </w:tc>
              <w:tc>
                <w:tcPr>
                  <w:tcW w:w="633" w:type="pct"/>
                  <w:vMerge w:val="restart"/>
                  <w:noWrap w:val="0"/>
                  <w:vAlign w:val="center"/>
                </w:tcPr>
                <w:p w14:paraId="6BFA5E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封</w:t>
                  </w:r>
                  <w:r>
                    <w:rPr>
                      <w:rFonts w:hint="default" w:ascii="Times New Roman" w:hAnsi="Times New Roman" w:cs="Times New Roman"/>
                      <w:bCs/>
                      <w:color w:val="auto"/>
                      <w:sz w:val="21"/>
                      <w:szCs w:val="21"/>
                      <w:highlight w:val="none"/>
                      <w:lang w:val="en-US" w:eastAsia="zh-CN"/>
                    </w:rPr>
                    <w:t>闭</w:t>
                  </w:r>
                  <w:r>
                    <w:rPr>
                      <w:rFonts w:hint="eastAsia" w:cs="Times New Roman"/>
                      <w:bCs/>
                      <w:color w:val="auto"/>
                      <w:sz w:val="21"/>
                      <w:szCs w:val="21"/>
                      <w:highlight w:val="none"/>
                      <w:lang w:val="en-US" w:eastAsia="zh-CN"/>
                    </w:rPr>
                    <w:t>生产车间</w:t>
                  </w:r>
                  <w:r>
                    <w:rPr>
                      <w:rFonts w:hint="default" w:ascii="Times New Roman" w:hAnsi="Times New Roman" w:cs="Times New Roman"/>
                      <w:bCs/>
                      <w:color w:val="auto"/>
                      <w:sz w:val="21"/>
                      <w:szCs w:val="21"/>
                      <w:highlight w:val="none"/>
                      <w:lang w:val="en-US" w:eastAsia="zh-CN"/>
                    </w:rPr>
                    <w:t>集气管道+碱液喷淋洗涤塔+15m高排气筒</w:t>
                  </w:r>
                </w:p>
              </w:tc>
              <w:tc>
                <w:tcPr>
                  <w:tcW w:w="1290" w:type="dxa"/>
                  <w:noWrap w:val="0"/>
                  <w:vAlign w:val="center"/>
                </w:tcPr>
                <w:p w14:paraId="39B4E6AD">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0.26</w:t>
                  </w:r>
                </w:p>
                <w:p w14:paraId="56B05E96">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（最大）</w:t>
                  </w:r>
                </w:p>
              </w:tc>
              <w:tc>
                <w:tcPr>
                  <w:tcW w:w="1155" w:type="dxa"/>
                  <w:noWrap w:val="0"/>
                  <w:vAlign w:val="center"/>
                </w:tcPr>
                <w:p w14:paraId="1C3B49C5">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0.0026</w:t>
                  </w:r>
                </w:p>
                <w:p w14:paraId="43F75A47">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（最大）</w:t>
                  </w:r>
                </w:p>
              </w:tc>
              <w:tc>
                <w:tcPr>
                  <w:tcW w:w="554" w:type="pct"/>
                  <w:vMerge w:val="restart"/>
                  <w:noWrap w:val="0"/>
                  <w:vAlign w:val="center"/>
                </w:tcPr>
                <w:p w14:paraId="3FA824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455" w:type="pct"/>
                  <w:vMerge w:val="restart"/>
                  <w:noWrap w:val="0"/>
                  <w:vAlign w:val="center"/>
                </w:tcPr>
                <w:p w14:paraId="1FE312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536" w:type="pct"/>
                  <w:noWrap w:val="0"/>
                  <w:vAlign w:val="center"/>
                </w:tcPr>
                <w:p w14:paraId="09B60A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45</w:t>
                  </w:r>
                </w:p>
              </w:tc>
              <w:tc>
                <w:tcPr>
                  <w:tcW w:w="387" w:type="pct"/>
                  <w:noWrap w:val="0"/>
                  <w:vAlign w:val="center"/>
                </w:tcPr>
                <w:p w14:paraId="5B82FA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达</w:t>
                  </w:r>
                  <w:r>
                    <w:rPr>
                      <w:rFonts w:hint="eastAsia" w:ascii="Times New Roman" w:hAnsi="Times New Roman" w:cs="Times New Roman"/>
                      <w:bCs/>
                      <w:color w:val="auto"/>
                      <w:sz w:val="21"/>
                      <w:szCs w:val="21"/>
                      <w:highlight w:val="none"/>
                      <w:lang w:val="en-US" w:eastAsia="zh-CN"/>
                    </w:rPr>
                    <w:t>标</w:t>
                  </w:r>
                </w:p>
              </w:tc>
            </w:tr>
            <w:tr w14:paraId="0017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61" w:type="pct"/>
                  <w:vMerge w:val="continue"/>
                  <w:noWrap w:val="0"/>
                  <w:vAlign w:val="center"/>
                </w:tcPr>
                <w:p w14:paraId="16927D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p>
              </w:tc>
              <w:tc>
                <w:tcPr>
                  <w:tcW w:w="513" w:type="pct"/>
                  <w:noWrap w:val="0"/>
                  <w:vAlign w:val="center"/>
                </w:tcPr>
                <w:p w14:paraId="253447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bCs/>
                      <w:color w:val="auto"/>
                      <w:sz w:val="21"/>
                      <w:szCs w:val="21"/>
                      <w:highlight w:val="none"/>
                      <w:lang w:eastAsia="zh-CN"/>
                    </w:rPr>
                  </w:pPr>
                  <w:r>
                    <w:rPr>
                      <w:rFonts w:hint="eastAsia" w:cs="Times New Roman"/>
                      <w:bCs/>
                      <w:color w:val="auto"/>
                      <w:sz w:val="21"/>
                      <w:szCs w:val="21"/>
                      <w:highlight w:val="none"/>
                      <w:lang w:val="zh-CN" w:eastAsia="zh-CN"/>
                    </w:rPr>
                    <w:t>氯化氢</w:t>
                  </w:r>
                </w:p>
              </w:tc>
              <w:tc>
                <w:tcPr>
                  <w:tcW w:w="633" w:type="pct"/>
                  <w:vMerge w:val="continue"/>
                  <w:noWrap w:val="0"/>
                  <w:vAlign w:val="center"/>
                </w:tcPr>
                <w:p w14:paraId="549F34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Cs/>
                      <w:color w:val="auto"/>
                      <w:sz w:val="21"/>
                      <w:szCs w:val="21"/>
                      <w:highlight w:val="none"/>
                      <w:lang w:val="en-US" w:eastAsia="zh-CN"/>
                    </w:rPr>
                  </w:pPr>
                </w:p>
              </w:tc>
              <w:tc>
                <w:tcPr>
                  <w:tcW w:w="1290" w:type="dxa"/>
                  <w:noWrap w:val="0"/>
                  <w:vAlign w:val="center"/>
                </w:tcPr>
                <w:p w14:paraId="120A6388">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97.34</w:t>
                  </w:r>
                </w:p>
              </w:tc>
              <w:tc>
                <w:tcPr>
                  <w:tcW w:w="1155" w:type="dxa"/>
                  <w:noWrap w:val="0"/>
                  <w:vAlign w:val="center"/>
                </w:tcPr>
                <w:p w14:paraId="6A99333D">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0.9734</w:t>
                  </w:r>
                </w:p>
              </w:tc>
              <w:tc>
                <w:tcPr>
                  <w:tcW w:w="554" w:type="pct"/>
                  <w:vMerge w:val="continue"/>
                  <w:noWrap w:val="0"/>
                  <w:vAlign w:val="center"/>
                </w:tcPr>
                <w:p w14:paraId="6849E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455" w:type="pct"/>
                  <w:vMerge w:val="continue"/>
                  <w:noWrap w:val="0"/>
                  <w:vAlign w:val="center"/>
                </w:tcPr>
                <w:p w14:paraId="532B84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536" w:type="pct"/>
                  <w:noWrap w:val="0"/>
                  <w:vAlign w:val="center"/>
                </w:tcPr>
                <w:p w14:paraId="69BF0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30</w:t>
                  </w:r>
                </w:p>
              </w:tc>
              <w:tc>
                <w:tcPr>
                  <w:tcW w:w="387" w:type="pct"/>
                  <w:noWrap w:val="0"/>
                  <w:vAlign w:val="center"/>
                </w:tcPr>
                <w:p w14:paraId="5D69D2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超标</w:t>
                  </w:r>
                </w:p>
              </w:tc>
            </w:tr>
            <w:tr w14:paraId="7287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61" w:type="pct"/>
                  <w:vMerge w:val="continue"/>
                  <w:noWrap w:val="0"/>
                  <w:vAlign w:val="center"/>
                </w:tcPr>
                <w:p w14:paraId="3A0ED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p>
              </w:tc>
              <w:tc>
                <w:tcPr>
                  <w:tcW w:w="513" w:type="pct"/>
                  <w:noWrap w:val="0"/>
                  <w:vAlign w:val="center"/>
                </w:tcPr>
                <w:p w14:paraId="4152B1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eastAsia="zh-CN"/>
                    </w:rPr>
                    <w:t>颗粒物</w:t>
                  </w:r>
                </w:p>
              </w:tc>
              <w:tc>
                <w:tcPr>
                  <w:tcW w:w="633" w:type="pct"/>
                  <w:vMerge w:val="continue"/>
                  <w:noWrap w:val="0"/>
                  <w:vAlign w:val="center"/>
                </w:tcPr>
                <w:p w14:paraId="4AD23D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Cs/>
                      <w:color w:val="auto"/>
                      <w:sz w:val="21"/>
                      <w:szCs w:val="21"/>
                      <w:highlight w:val="none"/>
                      <w:lang w:val="en-US" w:eastAsia="zh-CN"/>
                    </w:rPr>
                  </w:pPr>
                </w:p>
              </w:tc>
              <w:tc>
                <w:tcPr>
                  <w:tcW w:w="1290" w:type="dxa"/>
                  <w:noWrap w:val="0"/>
                  <w:vAlign w:val="center"/>
                </w:tcPr>
                <w:p w14:paraId="1C5BF899">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37.5</w:t>
                  </w:r>
                </w:p>
              </w:tc>
              <w:tc>
                <w:tcPr>
                  <w:tcW w:w="1155" w:type="dxa"/>
                  <w:noWrap w:val="0"/>
                  <w:vAlign w:val="center"/>
                </w:tcPr>
                <w:p w14:paraId="4A5B64B7">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0.375</w:t>
                  </w:r>
                </w:p>
              </w:tc>
              <w:tc>
                <w:tcPr>
                  <w:tcW w:w="554" w:type="pct"/>
                  <w:vMerge w:val="continue"/>
                  <w:noWrap w:val="0"/>
                  <w:vAlign w:val="center"/>
                </w:tcPr>
                <w:p w14:paraId="1F46A0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455" w:type="pct"/>
                  <w:vMerge w:val="continue"/>
                  <w:noWrap w:val="0"/>
                  <w:vAlign w:val="center"/>
                </w:tcPr>
                <w:p w14:paraId="60BEF2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536" w:type="pct"/>
                  <w:noWrap w:val="0"/>
                  <w:vAlign w:val="center"/>
                </w:tcPr>
                <w:p w14:paraId="692F99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30</w:t>
                  </w:r>
                </w:p>
              </w:tc>
              <w:tc>
                <w:tcPr>
                  <w:tcW w:w="387" w:type="pct"/>
                  <w:noWrap w:val="0"/>
                  <w:vAlign w:val="center"/>
                </w:tcPr>
                <w:p w14:paraId="61C63F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超标</w:t>
                  </w:r>
                </w:p>
              </w:tc>
            </w:tr>
            <w:tr w14:paraId="0F67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61" w:type="pct"/>
                  <w:vMerge w:val="continue"/>
                  <w:noWrap w:val="0"/>
                  <w:vAlign w:val="center"/>
                </w:tcPr>
                <w:p w14:paraId="35843C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p>
              </w:tc>
              <w:tc>
                <w:tcPr>
                  <w:tcW w:w="513" w:type="pct"/>
                  <w:noWrap w:val="0"/>
                  <w:vAlign w:val="center"/>
                </w:tcPr>
                <w:p w14:paraId="3E6EB9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eastAsia="zh-CN"/>
                    </w:rPr>
                    <w:t>氟化物</w:t>
                  </w:r>
                </w:p>
              </w:tc>
              <w:tc>
                <w:tcPr>
                  <w:tcW w:w="633" w:type="pct"/>
                  <w:vMerge w:val="continue"/>
                  <w:noWrap w:val="0"/>
                  <w:vAlign w:val="center"/>
                </w:tcPr>
                <w:p w14:paraId="1BB471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Cs/>
                      <w:color w:val="auto"/>
                      <w:sz w:val="21"/>
                      <w:szCs w:val="21"/>
                      <w:highlight w:val="none"/>
                      <w:lang w:val="en-US" w:eastAsia="zh-CN"/>
                    </w:rPr>
                  </w:pPr>
                </w:p>
              </w:tc>
              <w:tc>
                <w:tcPr>
                  <w:tcW w:w="1290" w:type="dxa"/>
                  <w:noWrap w:val="0"/>
                  <w:vAlign w:val="center"/>
                </w:tcPr>
                <w:p w14:paraId="5D296955">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25.32</w:t>
                  </w:r>
                </w:p>
                <w:p w14:paraId="3E49B10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（最大）</w:t>
                  </w:r>
                </w:p>
              </w:tc>
              <w:tc>
                <w:tcPr>
                  <w:tcW w:w="1155" w:type="dxa"/>
                  <w:noWrap w:val="0"/>
                  <w:vAlign w:val="center"/>
                </w:tcPr>
                <w:p w14:paraId="7D29ED74">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0.2532</w:t>
                  </w:r>
                </w:p>
                <w:p w14:paraId="273E4FC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w w:val="100"/>
                      <w:kern w:val="2"/>
                      <w:sz w:val="21"/>
                      <w:szCs w:val="21"/>
                      <w:highlight w:val="none"/>
                      <w:lang w:val="en-US" w:eastAsia="zh-CN" w:bidi="ar-SA"/>
                    </w:rPr>
                    <w:t>（最大）</w:t>
                  </w:r>
                </w:p>
              </w:tc>
              <w:tc>
                <w:tcPr>
                  <w:tcW w:w="554" w:type="pct"/>
                  <w:vMerge w:val="continue"/>
                  <w:noWrap w:val="0"/>
                  <w:vAlign w:val="center"/>
                </w:tcPr>
                <w:p w14:paraId="2E1313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455" w:type="pct"/>
                  <w:vMerge w:val="continue"/>
                  <w:noWrap w:val="0"/>
                  <w:vAlign w:val="center"/>
                </w:tcPr>
                <w:p w14:paraId="0619B2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536" w:type="pct"/>
                  <w:noWrap w:val="0"/>
                  <w:vAlign w:val="center"/>
                </w:tcPr>
                <w:p w14:paraId="17267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5</w:t>
                  </w:r>
                </w:p>
              </w:tc>
              <w:tc>
                <w:tcPr>
                  <w:tcW w:w="387" w:type="pct"/>
                  <w:noWrap w:val="0"/>
                  <w:vAlign w:val="center"/>
                </w:tcPr>
                <w:p w14:paraId="3BAF49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超标</w:t>
                  </w:r>
                </w:p>
              </w:tc>
            </w:tr>
          </w:tbl>
          <w:p w14:paraId="50B845F0">
            <w:pPr>
              <w:keepNext w:val="0"/>
              <w:keepLines w:val="0"/>
              <w:suppressLineNumbers w:val="0"/>
              <w:adjustRightInd w:val="0"/>
              <w:snapToGrid w:val="0"/>
              <w:spacing w:before="0" w:beforeAutospacing="0" w:after="0" w:afterAutospacing="0" w:line="360" w:lineRule="auto"/>
              <w:ind w:left="0" w:right="0" w:firstLine="480" w:firstLineChars="200"/>
              <w:rPr>
                <w:color w:val="auto"/>
                <w:highlight w:val="none"/>
                <w:lang w:val="zh-CN"/>
              </w:rPr>
            </w:pPr>
            <w:r>
              <w:rPr>
                <w:rFonts w:hint="default" w:ascii="Times New Roman" w:hAnsi="Times New Roman" w:eastAsia="宋体" w:cs="Times New Roman"/>
                <w:color w:val="auto"/>
                <w:sz w:val="24"/>
                <w:szCs w:val="24"/>
                <w:highlight w:val="none"/>
              </w:rPr>
              <w:t>根据上表，非正常情况下，此时项目排气筒中污染物浓度均大幅增加，</w:t>
            </w:r>
            <w:r>
              <w:rPr>
                <w:rFonts w:hint="eastAsia" w:cs="Times New Roman"/>
                <w:color w:val="auto"/>
                <w:sz w:val="24"/>
                <w:szCs w:val="24"/>
                <w:highlight w:val="none"/>
                <w:lang w:eastAsia="zh-CN"/>
              </w:rPr>
              <w:t>大</w:t>
            </w:r>
            <w:r>
              <w:rPr>
                <w:rFonts w:hint="eastAsia" w:ascii="Times New Roman" w:hAnsi="Times New Roman" w:cs="Times New Roman"/>
                <w:color w:val="auto"/>
                <w:sz w:val="24"/>
                <w:szCs w:val="24"/>
                <w:highlight w:val="none"/>
                <w:lang w:val="en-US" w:eastAsia="zh-CN"/>
              </w:rPr>
              <w:t>部分污染物超标排放，</w:t>
            </w:r>
            <w:r>
              <w:rPr>
                <w:rFonts w:hint="default" w:ascii="Times New Roman" w:hAnsi="Times New Roman" w:eastAsia="宋体" w:cs="Times New Roman"/>
                <w:color w:val="auto"/>
                <w:sz w:val="24"/>
                <w:szCs w:val="24"/>
                <w:highlight w:val="none"/>
              </w:rPr>
              <w:t>对周围环境的影响较大。为了避免非正常排放情况发生，污染环境，对处理</w:t>
            </w:r>
            <w:r>
              <w:rPr>
                <w:rFonts w:hint="eastAsia" w:cs="Times New Roman"/>
                <w:color w:val="auto"/>
                <w:sz w:val="24"/>
                <w:szCs w:val="24"/>
                <w:highlight w:val="none"/>
                <w:lang w:eastAsia="zh-CN"/>
              </w:rPr>
              <w:t>设施</w:t>
            </w:r>
            <w:r>
              <w:rPr>
                <w:rFonts w:hint="default" w:ascii="Times New Roman" w:hAnsi="Times New Roman" w:eastAsia="宋体" w:cs="Times New Roman"/>
                <w:color w:val="auto"/>
                <w:sz w:val="24"/>
                <w:szCs w:val="24"/>
                <w:highlight w:val="none"/>
              </w:rPr>
              <w:t>配置一定量的易损备件及维护保养专用工具，并设专门技术人员对处理</w:t>
            </w:r>
            <w:r>
              <w:rPr>
                <w:rFonts w:hint="eastAsia" w:cs="Times New Roman"/>
                <w:color w:val="auto"/>
                <w:sz w:val="24"/>
                <w:szCs w:val="24"/>
                <w:highlight w:val="none"/>
                <w:lang w:eastAsia="zh-CN"/>
              </w:rPr>
              <w:t>设施</w:t>
            </w:r>
            <w:r>
              <w:rPr>
                <w:rFonts w:hint="default" w:ascii="Times New Roman" w:hAnsi="Times New Roman" w:eastAsia="宋体" w:cs="Times New Roman"/>
                <w:color w:val="auto"/>
                <w:sz w:val="24"/>
                <w:szCs w:val="24"/>
                <w:highlight w:val="none"/>
              </w:rPr>
              <w:t>进行管理及维护。出现非正常排放时，应立即停止生产，尽快检修设备，待废气处理设施恢复正常后方可继续投入生产，确保各污染源排放对周围环境降至最低</w:t>
            </w:r>
            <w:r>
              <w:rPr>
                <w:rFonts w:hint="eastAsia" w:cs="Times New Roman"/>
                <w:color w:val="auto"/>
                <w:sz w:val="24"/>
                <w:szCs w:val="24"/>
                <w:highlight w:val="none"/>
                <w:lang w:eastAsia="zh-CN"/>
              </w:rPr>
              <w:t>。</w:t>
            </w:r>
          </w:p>
          <w:p w14:paraId="65036D3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highlight w:val="none"/>
              </w:rPr>
            </w:pPr>
            <w:r>
              <w:rPr>
                <w:rFonts w:hint="default"/>
                <w:color w:val="auto"/>
                <w:sz w:val="24"/>
                <w:highlight w:val="none"/>
              </w:rPr>
              <w:t>为了进一步降低生产废气排放对周围环境空气的影响，必须杜绝项目废气的非</w:t>
            </w:r>
            <w:r>
              <w:rPr>
                <w:rFonts w:hint="default"/>
                <w:color w:val="auto"/>
                <w:sz w:val="24"/>
                <w:szCs w:val="24"/>
                <w:highlight w:val="none"/>
              </w:rPr>
              <w:t>正常排放，本次评价提出以下建议措施：</w:t>
            </w:r>
          </w:p>
          <w:p w14:paraId="49C4153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highlight w:val="none"/>
              </w:rPr>
            </w:pPr>
            <w:r>
              <w:rPr>
                <w:rFonts w:hint="default"/>
                <w:color w:val="auto"/>
                <w:sz w:val="24"/>
                <w:szCs w:val="24"/>
                <w:highlight w:val="none"/>
              </w:rPr>
              <w:fldChar w:fldCharType="begin"/>
            </w:r>
            <w:r>
              <w:rPr>
                <w:rFonts w:hint="default"/>
                <w:color w:val="auto"/>
                <w:sz w:val="24"/>
                <w:szCs w:val="24"/>
                <w:highlight w:val="none"/>
              </w:rPr>
              <w:instrText xml:space="preserve"> = 1 \* GB3 \* MERGEFORMAT </w:instrText>
            </w:r>
            <w:r>
              <w:rPr>
                <w:rFonts w:hint="default"/>
                <w:color w:val="auto"/>
                <w:sz w:val="24"/>
                <w:szCs w:val="24"/>
                <w:highlight w:val="none"/>
              </w:rPr>
              <w:fldChar w:fldCharType="separate"/>
            </w:r>
            <w:r>
              <w:rPr>
                <w:rFonts w:hint="default"/>
                <w:color w:val="auto"/>
                <w:sz w:val="24"/>
                <w:szCs w:val="24"/>
                <w:highlight w:val="none"/>
              </w:rPr>
              <w:t>①</w:t>
            </w:r>
            <w:r>
              <w:rPr>
                <w:rFonts w:hint="default"/>
                <w:color w:val="auto"/>
                <w:sz w:val="24"/>
                <w:szCs w:val="24"/>
                <w:highlight w:val="none"/>
              </w:rPr>
              <w:fldChar w:fldCharType="end"/>
            </w:r>
            <w:r>
              <w:rPr>
                <w:rFonts w:hint="default"/>
                <w:color w:val="auto"/>
                <w:sz w:val="24"/>
                <w:szCs w:val="24"/>
                <w:highlight w:val="none"/>
              </w:rPr>
              <w:t>加强管理，明确岗位责任制，定期检查、维修、保养设备及构件，确保各种工艺、电气、设备的正常运转。</w:t>
            </w:r>
          </w:p>
          <w:p w14:paraId="2711638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在必要位置设置监控、预警等装置，做到及时发现，及时解决。</w:t>
            </w:r>
          </w:p>
          <w:p w14:paraId="64FBCA9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3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若出现非正常情况，应及时停产维修，减少废气对大气环境的影响。</w:t>
            </w:r>
          </w:p>
          <w:p w14:paraId="75439585">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CN"/>
              </w:rPr>
              <w:t>）废气治理措施可行性分析</w:t>
            </w:r>
          </w:p>
          <w:p w14:paraId="7213BEE9">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14:paraId="32CDD35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cs="Times New Roman"/>
                <w:b w:val="0"/>
                <w:bCs w:val="0"/>
                <w:color w:val="auto"/>
                <w:kern w:val="2"/>
                <w:sz w:val="24"/>
                <w:szCs w:val="24"/>
                <w:highlight w:val="none"/>
                <w:lang w:val="en-US" w:eastAsia="zh-CN" w:bidi="ar-SA"/>
              </w:rPr>
            </w:pPr>
            <w:r>
              <w:rPr>
                <w:rFonts w:hint="eastAsia" w:cs="Times New Roman"/>
                <w:color w:val="auto"/>
                <w:kern w:val="2"/>
                <w:sz w:val="24"/>
                <w:szCs w:val="24"/>
                <w:highlight w:val="none"/>
                <w:lang w:val="zh-CN" w:eastAsia="zh-CN" w:bidi="ar-SA"/>
              </w:rPr>
              <w:t>根据</w:t>
            </w:r>
            <w:r>
              <w:rPr>
                <w:rFonts w:hint="eastAsia" w:cs="Times New Roman"/>
                <w:b w:val="0"/>
                <w:bCs w:val="0"/>
                <w:color w:val="auto"/>
                <w:kern w:val="2"/>
                <w:sz w:val="24"/>
                <w:szCs w:val="24"/>
                <w:highlight w:val="none"/>
                <w:lang w:val="en-US" w:eastAsia="zh-CN" w:bidi="ar-SA"/>
              </w:rPr>
              <w:t>《排污许可证申请与核发技术规范 玻璃工业—平板玻璃》（(HJ856—2017 2017-09-12实施），颗粒物、氯化氢、氟化物</w:t>
            </w:r>
            <w:r>
              <w:rPr>
                <w:rFonts w:hint="default" w:ascii="Times New Roman" w:hAnsi="Times New Roman" w:eastAsia="宋体" w:cs="Times New Roman"/>
                <w:color w:val="auto"/>
                <w:sz w:val="24"/>
                <w:highlight w:val="none"/>
              </w:rPr>
              <w:t>收集治理设施包括</w:t>
            </w:r>
            <w:r>
              <w:rPr>
                <w:rFonts w:hint="eastAsia" w:cs="Times New Roman"/>
                <w:color w:val="auto"/>
                <w:sz w:val="24"/>
                <w:highlight w:val="none"/>
                <w:lang w:val="en-US" w:eastAsia="zh-CN"/>
              </w:rPr>
              <w:t>吸收塔、焚烧装置</w:t>
            </w:r>
            <w:r>
              <w:rPr>
                <w:rFonts w:hint="eastAsia" w:cs="Times New Roman"/>
                <w:color w:val="auto"/>
                <w:sz w:val="24"/>
                <w:highlight w:val="none"/>
                <w:lang w:eastAsia="zh-CN"/>
              </w:rPr>
              <w:t>；</w:t>
            </w:r>
            <w:r>
              <w:rPr>
                <w:rFonts w:hint="eastAsia" w:cs="Times New Roman"/>
                <w:color w:val="auto"/>
                <w:kern w:val="2"/>
                <w:sz w:val="24"/>
                <w:szCs w:val="24"/>
                <w:highlight w:val="none"/>
                <w:lang w:val="zh-CN" w:eastAsia="zh-CN" w:bidi="ar-SA"/>
              </w:rPr>
              <w:t>根据《</w:t>
            </w:r>
            <w:r>
              <w:rPr>
                <w:rFonts w:hint="eastAsia" w:cs="Times New Roman"/>
                <w:b w:val="0"/>
                <w:bCs w:val="0"/>
                <w:color w:val="auto"/>
                <w:kern w:val="2"/>
                <w:sz w:val="24"/>
                <w:szCs w:val="24"/>
                <w:highlight w:val="none"/>
                <w:lang w:val="en-US" w:eastAsia="zh-CN" w:bidi="ar-SA"/>
              </w:rPr>
              <w:t>排污许可证申请与核发技术规范 电镀行业</w:t>
            </w:r>
            <w:r>
              <w:rPr>
                <w:rFonts w:hint="eastAsia" w:cs="Times New Roman"/>
                <w:color w:val="auto"/>
                <w:kern w:val="2"/>
                <w:sz w:val="24"/>
                <w:szCs w:val="24"/>
                <w:highlight w:val="none"/>
                <w:lang w:val="zh-CN" w:eastAsia="zh-CN" w:bidi="ar-SA"/>
              </w:rPr>
              <w:t>》</w:t>
            </w:r>
            <w:r>
              <w:rPr>
                <w:rFonts w:hint="eastAsia" w:cs="Times New Roman"/>
                <w:b w:val="0"/>
                <w:bCs w:val="0"/>
                <w:color w:val="auto"/>
                <w:kern w:val="2"/>
                <w:sz w:val="24"/>
                <w:szCs w:val="24"/>
                <w:highlight w:val="none"/>
                <w:lang w:val="en-US" w:eastAsia="zh-CN" w:bidi="ar-SA"/>
              </w:rPr>
              <w:t>（(HJ855—2017）酸碱废气治理措施包括喷淋塔中和工艺、喷淋塔凝聚回收工艺、其他。</w:t>
            </w:r>
            <w:r>
              <w:rPr>
                <w:rFonts w:hint="eastAsia" w:cs="Times New Roman"/>
                <w:color w:val="auto"/>
                <w:kern w:val="2"/>
                <w:sz w:val="24"/>
                <w:szCs w:val="24"/>
                <w:highlight w:val="none"/>
                <w:lang w:val="zh-CN" w:eastAsia="zh-CN" w:bidi="ar-SA"/>
              </w:rPr>
              <w:t>本项目</w:t>
            </w:r>
            <w:r>
              <w:rPr>
                <w:rFonts w:hint="default" w:ascii="Times New Roman" w:hAnsi="Times New Roman" w:eastAsia="宋体" w:cs="Times New Roman"/>
                <w:color w:val="auto"/>
                <w:sz w:val="24"/>
                <w:highlight w:val="none"/>
                <w:lang w:val="en-US" w:eastAsia="zh-CN"/>
              </w:rPr>
              <w:t>生产过</w:t>
            </w:r>
            <w:r>
              <w:rPr>
                <w:rFonts w:hint="default" w:ascii="Times New Roman" w:hAnsi="Times New Roman" w:eastAsia="宋体" w:cs="Times New Roman"/>
                <w:color w:val="auto"/>
                <w:sz w:val="24"/>
                <w:szCs w:val="24"/>
                <w:highlight w:val="none"/>
                <w:lang w:val="en-US" w:eastAsia="zh-CN"/>
              </w:rPr>
              <w:t>程</w:t>
            </w:r>
            <w:r>
              <w:rPr>
                <w:rFonts w:hint="default" w:ascii="Times New Roman" w:hAnsi="Times New Roman" w:eastAsia="宋体" w:cs="Times New Roman"/>
                <w:color w:val="auto"/>
                <w:sz w:val="24"/>
                <w:szCs w:val="24"/>
                <w:highlight w:val="none"/>
              </w:rPr>
              <w:t>产生的</w:t>
            </w:r>
            <w:r>
              <w:rPr>
                <w:rFonts w:hint="default" w:ascii="Times New Roman" w:hAnsi="Times New Roman" w:eastAsia="宋体" w:cs="Times New Roman"/>
                <w:color w:val="auto"/>
                <w:sz w:val="24"/>
                <w:szCs w:val="24"/>
                <w:highlight w:val="none"/>
                <w:lang w:val="en-US" w:eastAsia="zh-CN"/>
              </w:rPr>
              <w:t>颗粒物及</w:t>
            </w:r>
            <w:r>
              <w:rPr>
                <w:rFonts w:hint="eastAsia" w:cs="Times New Roman"/>
                <w:color w:val="auto"/>
                <w:sz w:val="24"/>
                <w:szCs w:val="24"/>
                <w:highlight w:val="none"/>
                <w:lang w:val="en-US" w:eastAsia="zh-CN"/>
              </w:rPr>
              <w:t>酸雾</w:t>
            </w:r>
            <w:r>
              <w:rPr>
                <w:rFonts w:hint="default" w:ascii="Times New Roman" w:hAnsi="Times New Roman" w:eastAsia="宋体" w:cs="Times New Roman"/>
                <w:color w:val="auto"/>
                <w:sz w:val="24"/>
                <w:szCs w:val="24"/>
                <w:highlight w:val="none"/>
              </w:rPr>
              <w:t>经</w:t>
            </w:r>
            <w:r>
              <w:rPr>
                <w:rFonts w:hint="eastAsia" w:cs="Times New Roman"/>
                <w:color w:val="auto"/>
                <w:sz w:val="24"/>
                <w:szCs w:val="24"/>
                <w:highlight w:val="none"/>
                <w:lang w:eastAsia="zh-CN"/>
              </w:rPr>
              <w:t>封闭车间集气管道</w:t>
            </w:r>
            <w:r>
              <w:rPr>
                <w:rFonts w:hint="default" w:ascii="Times New Roman" w:hAnsi="Times New Roman" w:eastAsia="宋体" w:cs="Times New Roman"/>
                <w:color w:val="auto"/>
                <w:sz w:val="24"/>
                <w:szCs w:val="24"/>
                <w:highlight w:val="none"/>
              </w:rPr>
              <w:t>收集后采用“</w:t>
            </w:r>
            <w:r>
              <w:rPr>
                <w:rFonts w:hint="eastAsia" w:cs="Times New Roman"/>
                <w:color w:val="auto"/>
                <w:sz w:val="24"/>
                <w:szCs w:val="24"/>
                <w:highlight w:val="none"/>
                <w:lang w:val="en-US" w:eastAsia="zh-CN"/>
              </w:rPr>
              <w:t>碱液喷淋洗涤塔</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zh-CN" w:eastAsia="zh-CN" w:bidi="ar-SA"/>
              </w:rPr>
              <w:t>废气治理设施处理，</w:t>
            </w:r>
            <w:r>
              <w:rPr>
                <w:rFonts w:hint="eastAsia" w:ascii="Times New Roman" w:hAnsi="Times New Roman" w:eastAsia="宋体" w:cs="Times New Roman"/>
                <w:color w:val="auto"/>
                <w:kern w:val="2"/>
                <w:sz w:val="24"/>
                <w:szCs w:val="24"/>
                <w:highlight w:val="none"/>
                <w:lang w:val="zh-CN" w:eastAsia="zh-CN" w:bidi="ar-SA"/>
              </w:rPr>
              <w:t>后</w:t>
            </w:r>
            <w:r>
              <w:rPr>
                <w:rFonts w:hint="default" w:ascii="Times New Roman" w:hAnsi="Times New Roman" w:eastAsia="宋体" w:cs="Times New Roman"/>
                <w:color w:val="auto"/>
                <w:kern w:val="2"/>
                <w:sz w:val="24"/>
                <w:szCs w:val="24"/>
                <w:highlight w:val="none"/>
                <w:lang w:val="zh-CN" w:eastAsia="zh-CN" w:bidi="ar-SA"/>
              </w:rPr>
              <w:t>经15m高排气筒（</w:t>
            </w:r>
            <w:r>
              <w:rPr>
                <w:rFonts w:hint="default" w:ascii="Times New Roman" w:hAnsi="Times New Roman" w:eastAsia="宋体" w:cs="Times New Roman"/>
                <w:color w:val="auto"/>
                <w:kern w:val="2"/>
                <w:sz w:val="24"/>
                <w:szCs w:val="24"/>
                <w:highlight w:val="none"/>
                <w:lang w:val="en-US" w:eastAsia="zh-CN" w:bidi="ar-SA"/>
              </w:rPr>
              <w:t>DA002</w:t>
            </w:r>
            <w:r>
              <w:rPr>
                <w:rFonts w:hint="default" w:ascii="Times New Roman" w:hAnsi="Times New Roman" w:eastAsia="宋体" w:cs="Times New Roman"/>
                <w:color w:val="auto"/>
                <w:kern w:val="2"/>
                <w:sz w:val="24"/>
                <w:szCs w:val="24"/>
                <w:highlight w:val="none"/>
                <w:lang w:val="zh-CN" w:eastAsia="zh-CN" w:bidi="ar-SA"/>
              </w:rPr>
              <w:t>）排放</w:t>
            </w:r>
            <w:r>
              <w:rPr>
                <w:rFonts w:hint="eastAsia" w:ascii="Times New Roman" w:hAnsi="Times New Roman" w:eastAsia="宋体" w:cs="Times New Roman"/>
                <w:color w:val="auto"/>
                <w:kern w:val="2"/>
                <w:sz w:val="24"/>
                <w:szCs w:val="24"/>
                <w:highlight w:val="none"/>
                <w:lang w:val="zh-CN" w:eastAsia="zh-CN" w:bidi="ar-SA"/>
              </w:rPr>
              <w:t>，</w:t>
            </w:r>
            <w:r>
              <w:rPr>
                <w:rFonts w:hint="default" w:ascii="Times New Roman" w:hAnsi="Times New Roman" w:eastAsia="宋体" w:cs="Times New Roman"/>
                <w:color w:val="auto"/>
                <w:sz w:val="24"/>
                <w:szCs w:val="24"/>
                <w:highlight w:val="none"/>
              </w:rPr>
              <w:t>废气采用“</w:t>
            </w:r>
            <w:r>
              <w:rPr>
                <w:rFonts w:hint="eastAsia" w:cs="Times New Roman"/>
                <w:color w:val="auto"/>
                <w:sz w:val="24"/>
                <w:szCs w:val="24"/>
                <w:highlight w:val="none"/>
                <w:lang w:val="en-US" w:eastAsia="zh-CN"/>
              </w:rPr>
              <w:t>碱液喷淋洗涤塔</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处理</w:t>
            </w:r>
            <w:r>
              <w:rPr>
                <w:rFonts w:hint="default" w:ascii="Times New Roman" w:hAnsi="Times New Roman" w:eastAsia="宋体" w:cs="Times New Roman"/>
                <w:color w:val="auto"/>
                <w:sz w:val="24"/>
                <w:szCs w:val="24"/>
                <w:highlight w:val="none"/>
              </w:rPr>
              <w:t>属于可行性技术中的</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highlight w:val="none"/>
                <w:lang w:val="en-US" w:eastAsia="zh-CN"/>
              </w:rPr>
              <w:t>吸收塔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及“</w:t>
            </w:r>
            <w:r>
              <w:rPr>
                <w:rFonts w:hint="eastAsia" w:cs="Times New Roman"/>
                <w:b w:val="0"/>
                <w:bCs w:val="0"/>
                <w:color w:val="auto"/>
                <w:kern w:val="2"/>
                <w:sz w:val="24"/>
                <w:szCs w:val="24"/>
                <w:highlight w:val="none"/>
                <w:lang w:val="en-US" w:eastAsia="zh-CN" w:bidi="ar-SA"/>
              </w:rPr>
              <w:t>喷淋塔中和工艺</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eastAsia" w:cs="Times New Roman"/>
                <w:b w:val="0"/>
                <w:bCs w:val="0"/>
                <w:color w:val="auto"/>
                <w:kern w:val="2"/>
                <w:sz w:val="24"/>
                <w:szCs w:val="24"/>
                <w:highlight w:val="none"/>
                <w:lang w:val="en-US" w:eastAsia="zh-CN" w:bidi="ar-SA"/>
              </w:rPr>
              <w:t>同时，</w:t>
            </w:r>
            <w:r>
              <w:rPr>
                <w:rFonts w:hint="eastAsia" w:cs="Times New Roman"/>
                <w:color w:val="auto"/>
                <w:kern w:val="2"/>
                <w:sz w:val="24"/>
                <w:szCs w:val="24"/>
                <w:highlight w:val="none"/>
                <w:lang w:val="zh-CN" w:eastAsia="zh-CN" w:bidi="ar-SA"/>
              </w:rPr>
              <w:t>参考</w:t>
            </w:r>
            <w:r>
              <w:rPr>
                <w:rFonts w:hint="eastAsia" w:cs="Times New Roman"/>
                <w:b w:val="0"/>
                <w:bCs w:val="0"/>
                <w:color w:val="auto"/>
                <w:kern w:val="2"/>
                <w:sz w:val="24"/>
                <w:szCs w:val="24"/>
                <w:highlight w:val="none"/>
                <w:lang w:val="en-US" w:eastAsia="zh-CN" w:bidi="ar-SA"/>
              </w:rPr>
              <w:t>《重污染天气重点行业应急减排措施制定技术指南（2020年修订版）》中“十九、玻璃”相关要求，本项目废气治理措施属于可行技术。</w:t>
            </w:r>
          </w:p>
          <w:p w14:paraId="465BB46B">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14:paraId="547017E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eastAsia" w:cs="Times New Roman"/>
                <w:color w:val="auto"/>
                <w:kern w:val="2"/>
                <w:sz w:val="24"/>
                <w:szCs w:val="24"/>
                <w:highlight w:val="none"/>
                <w:lang w:val="zh-CN" w:eastAsia="zh-CN" w:bidi="ar-SA"/>
              </w:rPr>
              <w:t>碱液喷淋洗涤</w:t>
            </w:r>
            <w:r>
              <w:rPr>
                <w:rFonts w:hint="default" w:ascii="Times New Roman" w:hAnsi="Times New Roman" w:eastAsia="宋体" w:cs="Times New Roman"/>
                <w:color w:val="auto"/>
                <w:kern w:val="2"/>
                <w:sz w:val="24"/>
                <w:szCs w:val="24"/>
                <w:highlight w:val="none"/>
                <w:lang w:val="zh-CN" w:eastAsia="zh-CN" w:bidi="ar-SA"/>
              </w:rPr>
              <w:t>塔：本项目碱液喷淋</w:t>
            </w:r>
            <w:r>
              <w:rPr>
                <w:rFonts w:hint="eastAsia" w:cs="Times New Roman"/>
                <w:color w:val="auto"/>
                <w:kern w:val="2"/>
                <w:sz w:val="24"/>
                <w:szCs w:val="24"/>
                <w:highlight w:val="none"/>
                <w:lang w:val="zh-CN" w:eastAsia="zh-CN" w:bidi="ar-SA"/>
              </w:rPr>
              <w:t>洗涤</w:t>
            </w:r>
            <w:r>
              <w:rPr>
                <w:rFonts w:hint="default" w:ascii="Times New Roman" w:hAnsi="Times New Roman" w:eastAsia="宋体" w:cs="Times New Roman"/>
                <w:color w:val="auto"/>
                <w:kern w:val="2"/>
                <w:sz w:val="24"/>
                <w:szCs w:val="24"/>
                <w:highlight w:val="none"/>
                <w:lang w:val="zh-CN" w:eastAsia="zh-CN" w:bidi="ar-SA"/>
              </w:rPr>
              <w:t>塔内设置填料，自上而下喷淋5%-10%的NaOH溶液，控制溶液</w:t>
            </w:r>
            <w:r>
              <w:rPr>
                <w:rFonts w:hint="eastAsia" w:cs="Times New Roman"/>
                <w:color w:val="auto"/>
                <w:kern w:val="2"/>
                <w:sz w:val="24"/>
                <w:szCs w:val="24"/>
                <w:highlight w:val="none"/>
                <w:lang w:val="zh-CN" w:eastAsia="zh-CN" w:bidi="ar-SA"/>
              </w:rPr>
              <w:t>pH</w:t>
            </w:r>
            <w:r>
              <w:rPr>
                <w:rFonts w:hint="default" w:ascii="Times New Roman" w:hAnsi="Times New Roman" w:eastAsia="宋体" w:cs="Times New Roman"/>
                <w:color w:val="auto"/>
                <w:kern w:val="2"/>
                <w:sz w:val="24"/>
                <w:szCs w:val="24"/>
                <w:highlight w:val="none"/>
                <w:lang w:val="zh-CN" w:eastAsia="zh-CN" w:bidi="ar-SA"/>
              </w:rPr>
              <w:t>在8-10左右，废气自下而上行走，与喷淋液接触，发生酸碱中和反应而被吸收，生成物为无机盐类及少量固体悬浮物。碱液喷淋</w:t>
            </w:r>
            <w:r>
              <w:rPr>
                <w:rFonts w:hint="eastAsia" w:cs="Times New Roman"/>
                <w:color w:val="auto"/>
                <w:kern w:val="2"/>
                <w:sz w:val="24"/>
                <w:szCs w:val="24"/>
                <w:highlight w:val="none"/>
                <w:lang w:val="zh-CN" w:eastAsia="zh-CN" w:bidi="ar-SA"/>
              </w:rPr>
              <w:t>洗涤</w:t>
            </w:r>
            <w:r>
              <w:rPr>
                <w:rFonts w:hint="default" w:ascii="Times New Roman" w:hAnsi="Times New Roman" w:eastAsia="宋体" w:cs="Times New Roman"/>
                <w:color w:val="auto"/>
                <w:kern w:val="2"/>
                <w:sz w:val="24"/>
                <w:szCs w:val="24"/>
                <w:highlight w:val="none"/>
                <w:lang w:val="zh-CN" w:eastAsia="zh-CN" w:bidi="ar-SA"/>
              </w:rPr>
              <w:t>塔是一种效率高、压力损失较低的吸收设备。碱</w:t>
            </w:r>
            <w:r>
              <w:rPr>
                <w:rFonts w:hint="eastAsia" w:cs="Times New Roman"/>
                <w:color w:val="auto"/>
                <w:kern w:val="2"/>
                <w:sz w:val="24"/>
                <w:szCs w:val="24"/>
                <w:highlight w:val="none"/>
                <w:lang w:val="zh-CN" w:eastAsia="zh-CN" w:bidi="ar-SA"/>
              </w:rPr>
              <w:t>液</w:t>
            </w:r>
            <w:r>
              <w:rPr>
                <w:rFonts w:hint="default" w:ascii="Times New Roman" w:hAnsi="Times New Roman" w:eastAsia="宋体" w:cs="Times New Roman"/>
                <w:color w:val="auto"/>
                <w:kern w:val="2"/>
                <w:sz w:val="24"/>
                <w:szCs w:val="24"/>
                <w:highlight w:val="none"/>
                <w:lang w:val="zh-CN" w:eastAsia="zh-CN" w:bidi="ar-SA"/>
              </w:rPr>
              <w:t>喷淋</w:t>
            </w:r>
            <w:r>
              <w:rPr>
                <w:rFonts w:hint="eastAsia" w:cs="Times New Roman"/>
                <w:color w:val="auto"/>
                <w:kern w:val="2"/>
                <w:sz w:val="24"/>
                <w:szCs w:val="24"/>
                <w:highlight w:val="none"/>
                <w:lang w:val="zh-CN" w:eastAsia="zh-CN" w:bidi="ar-SA"/>
              </w:rPr>
              <w:t>洗涤</w:t>
            </w:r>
            <w:r>
              <w:rPr>
                <w:rFonts w:hint="default" w:ascii="Times New Roman" w:hAnsi="Times New Roman" w:eastAsia="宋体" w:cs="Times New Roman"/>
                <w:color w:val="auto"/>
                <w:kern w:val="2"/>
                <w:sz w:val="24"/>
                <w:szCs w:val="24"/>
                <w:highlight w:val="none"/>
                <w:lang w:val="zh-CN" w:eastAsia="zh-CN" w:bidi="ar-SA"/>
              </w:rPr>
              <w:t>装置示意图见图</w:t>
            </w:r>
            <w:r>
              <w:rPr>
                <w:rFonts w:hint="eastAsia" w:cs="Times New Roman"/>
                <w:color w:val="auto"/>
                <w:kern w:val="2"/>
                <w:sz w:val="24"/>
                <w:szCs w:val="24"/>
                <w:highlight w:val="none"/>
                <w:lang w:val="en-US" w:eastAsia="zh-CN" w:bidi="ar-SA"/>
              </w:rPr>
              <w:t>4-1</w:t>
            </w:r>
            <w:r>
              <w:rPr>
                <w:rFonts w:hint="default" w:ascii="Times New Roman" w:hAnsi="Times New Roman" w:eastAsia="宋体" w:cs="Times New Roman"/>
                <w:color w:val="auto"/>
                <w:kern w:val="2"/>
                <w:sz w:val="24"/>
                <w:szCs w:val="24"/>
                <w:highlight w:val="none"/>
                <w:lang w:val="zh-CN" w:eastAsia="zh-CN" w:bidi="ar-SA"/>
              </w:rPr>
              <w:t>。</w:t>
            </w:r>
          </w:p>
          <w:p w14:paraId="36B19B8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jc w:val="center"/>
              <w:textAlignment w:val="baseline"/>
              <w:rPr>
                <w:rFonts w:hint="default" w:ascii="Times New Roman" w:hAnsi="Times New Roman" w:eastAsia="宋体" w:cs="Times New Roman"/>
                <w:color w:val="auto"/>
                <w:kern w:val="2"/>
                <w:sz w:val="24"/>
                <w:szCs w:val="24"/>
                <w:highlight w:val="none"/>
                <w:lang w:val="zh-CN" w:eastAsia="zh-CN" w:bidi="ar-SA"/>
              </w:rPr>
            </w:pPr>
            <w:r>
              <w:rPr>
                <w:color w:val="auto"/>
                <w:highlight w:val="none"/>
              </w:rPr>
              <w:drawing>
                <wp:inline distT="0" distB="0" distL="114300" distR="114300">
                  <wp:extent cx="4224655" cy="3930015"/>
                  <wp:effectExtent l="0" t="0" r="4445" b="1333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27"/>
                          <a:stretch>
                            <a:fillRect/>
                          </a:stretch>
                        </pic:blipFill>
                        <pic:spPr>
                          <a:xfrm>
                            <a:off x="0" y="0"/>
                            <a:ext cx="4224655" cy="3930015"/>
                          </a:xfrm>
                          <a:prstGeom prst="rect">
                            <a:avLst/>
                          </a:prstGeom>
                          <a:noFill/>
                          <a:ln>
                            <a:noFill/>
                          </a:ln>
                        </pic:spPr>
                      </pic:pic>
                    </a:graphicData>
                  </a:graphic>
                </wp:inline>
              </w:drawing>
            </w:r>
          </w:p>
          <w:p w14:paraId="233D772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jc w:val="center"/>
              <w:textAlignment w:val="baseline"/>
              <w:rPr>
                <w:rFonts w:hint="default" w:ascii="Times New Roman" w:hAnsi="Times New Roman" w:eastAsia="宋体" w:cs="Times New Roman"/>
                <w:b/>
                <w:bCs/>
                <w:color w:val="auto"/>
                <w:kern w:val="2"/>
                <w:sz w:val="21"/>
                <w:szCs w:val="21"/>
                <w:highlight w:val="none"/>
                <w:lang w:val="zh-CN" w:eastAsia="zh-CN" w:bidi="ar-SA"/>
              </w:rPr>
            </w:pPr>
            <w:r>
              <w:rPr>
                <w:rFonts w:hint="default" w:ascii="Times New Roman" w:hAnsi="Times New Roman" w:eastAsia="宋体" w:cs="Times New Roman"/>
                <w:b/>
                <w:bCs/>
                <w:color w:val="auto"/>
                <w:kern w:val="2"/>
                <w:sz w:val="21"/>
                <w:szCs w:val="21"/>
                <w:highlight w:val="none"/>
                <w:lang w:val="zh-CN" w:eastAsia="zh-CN" w:bidi="ar-SA"/>
              </w:rPr>
              <w:t>图4-1</w:t>
            </w:r>
            <w:r>
              <w:rPr>
                <w:rFonts w:hint="eastAsia"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zh-CN" w:eastAsia="zh-CN" w:bidi="ar-SA"/>
              </w:rPr>
              <w:t>碱液喷淋</w:t>
            </w:r>
            <w:r>
              <w:rPr>
                <w:rFonts w:hint="eastAsia" w:cs="Times New Roman"/>
                <w:b/>
                <w:bCs/>
                <w:color w:val="auto"/>
                <w:kern w:val="2"/>
                <w:sz w:val="21"/>
                <w:szCs w:val="21"/>
                <w:highlight w:val="none"/>
                <w:lang w:val="zh-CN" w:eastAsia="zh-CN" w:bidi="ar-SA"/>
              </w:rPr>
              <w:t>洗涤</w:t>
            </w:r>
            <w:r>
              <w:rPr>
                <w:rFonts w:hint="eastAsia" w:ascii="Times New Roman" w:hAnsi="Times New Roman" w:eastAsia="宋体" w:cs="Times New Roman"/>
                <w:b/>
                <w:bCs/>
                <w:color w:val="auto"/>
                <w:kern w:val="2"/>
                <w:sz w:val="21"/>
                <w:szCs w:val="21"/>
                <w:highlight w:val="none"/>
                <w:lang w:val="zh-CN" w:eastAsia="zh-CN" w:bidi="ar-SA"/>
              </w:rPr>
              <w:t>塔</w:t>
            </w:r>
            <w:r>
              <w:rPr>
                <w:rFonts w:hint="default" w:ascii="Times New Roman" w:hAnsi="Times New Roman" w:eastAsia="宋体" w:cs="Times New Roman"/>
                <w:b/>
                <w:bCs/>
                <w:color w:val="auto"/>
                <w:kern w:val="2"/>
                <w:sz w:val="21"/>
                <w:szCs w:val="21"/>
                <w:highlight w:val="none"/>
                <w:lang w:val="zh-CN" w:eastAsia="zh-CN" w:bidi="ar-SA"/>
              </w:rPr>
              <w:t>结构图</w:t>
            </w:r>
          </w:p>
          <w:p w14:paraId="357E62D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工作原理：在主体部分中装有填料，废气通过风机作用在管箱中上升，采用的吸收液从喷淋装置分配到填料上形成薄膜层，产生较大的气液接触面。废气中污染物在填料表面被传质、吸收，随着填料层逐级下降，最后进入气液分离箱，未吸收气体进入下一级，液体由管道排入净化液贮槽，贮槽中采用</w:t>
            </w:r>
            <w:r>
              <w:rPr>
                <w:rFonts w:hint="eastAsia" w:cs="Times New Roman"/>
                <w:color w:val="auto"/>
                <w:kern w:val="2"/>
                <w:sz w:val="24"/>
                <w:szCs w:val="24"/>
                <w:highlight w:val="none"/>
                <w:lang w:val="zh-CN" w:eastAsia="zh-CN" w:bidi="ar-SA"/>
              </w:rPr>
              <w:t>pH</w:t>
            </w:r>
            <w:r>
              <w:rPr>
                <w:rFonts w:hint="default" w:ascii="Times New Roman" w:hAnsi="Times New Roman" w:eastAsia="宋体" w:cs="Times New Roman"/>
                <w:color w:val="auto"/>
                <w:kern w:val="2"/>
                <w:sz w:val="24"/>
                <w:szCs w:val="24"/>
                <w:highlight w:val="none"/>
                <w:lang w:val="zh-CN" w:eastAsia="zh-CN" w:bidi="ar-SA"/>
              </w:rPr>
              <w:t>值显示控制自动加药泵配置吸收液，吸收液可循环使用。</w:t>
            </w:r>
          </w:p>
          <w:p w14:paraId="5EB6D56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湿式填料吸收塔具有耐腐蚀性能优异、传质性能良好、不易结垢和安装维护简便等特点。类比《长春工程学院学报（自然科学版）》2001年第2卷第2期：张晓燕、楚晓燕、金洪文《酸洗槽酸雾净化处理的两种方法》</w:t>
            </w:r>
            <w:r>
              <w:rPr>
                <w:rFonts w:hint="eastAsia"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碱液喷淋</w:t>
            </w:r>
            <w:r>
              <w:rPr>
                <w:rFonts w:hint="eastAsia" w:cs="Times New Roman"/>
                <w:color w:val="auto"/>
                <w:kern w:val="2"/>
                <w:sz w:val="24"/>
                <w:szCs w:val="24"/>
                <w:highlight w:val="none"/>
                <w:lang w:val="zh-CN" w:eastAsia="zh-CN" w:bidi="ar-SA"/>
              </w:rPr>
              <w:t>洗涤塔处理</w:t>
            </w:r>
            <w:r>
              <w:rPr>
                <w:rFonts w:hint="default" w:ascii="Times New Roman" w:hAnsi="Times New Roman" w:eastAsia="宋体" w:cs="Times New Roman"/>
                <w:color w:val="auto"/>
                <w:kern w:val="2"/>
                <w:sz w:val="24"/>
                <w:szCs w:val="24"/>
                <w:highlight w:val="none"/>
                <w:lang w:val="zh-CN" w:eastAsia="zh-CN" w:bidi="ar-SA"/>
              </w:rPr>
              <w:t>效率可达</w:t>
            </w:r>
            <w:r>
              <w:rPr>
                <w:rFonts w:hint="eastAsia" w:cs="Times New Roman"/>
                <w:color w:val="auto"/>
                <w:kern w:val="2"/>
                <w:sz w:val="24"/>
                <w:szCs w:val="24"/>
                <w:highlight w:val="none"/>
                <w:lang w:val="en-US" w:eastAsia="zh-CN" w:bidi="ar-SA"/>
              </w:rPr>
              <w:t>90</w:t>
            </w:r>
            <w:r>
              <w:rPr>
                <w:rFonts w:hint="default" w:ascii="Times New Roman" w:hAnsi="Times New Roman" w:eastAsia="宋体" w:cs="Times New Roman"/>
                <w:color w:val="auto"/>
                <w:kern w:val="2"/>
                <w:sz w:val="24"/>
                <w:szCs w:val="24"/>
                <w:highlight w:val="none"/>
                <w:lang w:val="zh-CN" w:eastAsia="zh-CN" w:bidi="ar-SA"/>
              </w:rPr>
              <w:t>%。</w:t>
            </w:r>
          </w:p>
          <w:p w14:paraId="5E4489A0">
            <w:pPr>
              <w:pStyle w:val="24"/>
              <w:spacing w:after="0" w:line="360" w:lineRule="auto"/>
              <w:ind w:left="0" w:leftChars="0" w:firstLine="480"/>
              <w:rPr>
                <w:rFonts w:hint="eastAsia"/>
                <w:b/>
                <w:bCs/>
                <w:color w:val="auto"/>
                <w:sz w:val="24"/>
                <w:szCs w:val="24"/>
                <w:highlight w:val="none"/>
                <w:lang w:val="en-US" w:eastAsia="zh-CN"/>
              </w:rPr>
            </w:pPr>
            <w:r>
              <w:rPr>
                <w:rFonts w:hint="eastAsia"/>
                <w:b/>
                <w:bCs/>
                <w:color w:val="auto"/>
                <w:sz w:val="24"/>
                <w:szCs w:val="24"/>
                <w:highlight w:val="none"/>
                <w:lang w:val="en-US" w:eastAsia="zh-CN"/>
              </w:rPr>
              <w:t>（5）食堂油烟</w:t>
            </w:r>
          </w:p>
          <w:p w14:paraId="403E425E">
            <w:pPr>
              <w:pStyle w:val="24"/>
              <w:spacing w:after="0" w:line="360" w:lineRule="auto"/>
              <w:ind w:left="0" w:leftChars="0" w:firstLine="480"/>
              <w:rPr>
                <w:color w:val="auto"/>
                <w:sz w:val="24"/>
                <w:szCs w:val="24"/>
                <w:highlight w:val="none"/>
                <w:lang w:val="zh-CN"/>
              </w:rPr>
            </w:pPr>
            <w:r>
              <w:rPr>
                <w:rFonts w:hint="eastAsia"/>
                <w:color w:val="auto"/>
                <w:sz w:val="24"/>
                <w:szCs w:val="24"/>
                <w:highlight w:val="none"/>
                <w:lang w:val="zh-CN"/>
              </w:rPr>
              <w:t>项目</w:t>
            </w:r>
            <w:r>
              <w:rPr>
                <w:rFonts w:hint="eastAsia"/>
                <w:color w:val="auto"/>
                <w:sz w:val="24"/>
                <w:szCs w:val="24"/>
                <w:highlight w:val="none"/>
                <w:lang w:val="en-US" w:eastAsia="zh-CN"/>
              </w:rPr>
              <w:t>依托原有食堂使用</w:t>
            </w:r>
            <w:r>
              <w:rPr>
                <w:color w:val="auto"/>
                <w:sz w:val="24"/>
                <w:szCs w:val="24"/>
                <w:highlight w:val="none"/>
              </w:rPr>
              <w:t>，</w:t>
            </w:r>
            <w:r>
              <w:rPr>
                <w:rFonts w:hint="eastAsia"/>
                <w:color w:val="auto"/>
                <w:sz w:val="24"/>
                <w:szCs w:val="24"/>
                <w:highlight w:val="none"/>
                <w:lang w:val="en-US" w:eastAsia="zh-CN"/>
              </w:rPr>
              <w:t>为工作人员提供餐食，食堂</w:t>
            </w:r>
            <w:r>
              <w:rPr>
                <w:color w:val="auto"/>
                <w:sz w:val="24"/>
                <w:szCs w:val="24"/>
                <w:highlight w:val="none"/>
                <w:lang w:val="zh-CN"/>
              </w:rPr>
              <w:t>使用电能及</w:t>
            </w:r>
            <w:r>
              <w:rPr>
                <w:rFonts w:hint="eastAsia"/>
                <w:color w:val="auto"/>
                <w:sz w:val="24"/>
                <w:szCs w:val="24"/>
                <w:highlight w:val="none"/>
                <w:lang w:val="zh-CN"/>
              </w:rPr>
              <w:t>液化气作为</w:t>
            </w:r>
            <w:r>
              <w:rPr>
                <w:color w:val="auto"/>
                <w:sz w:val="24"/>
                <w:szCs w:val="24"/>
                <w:highlight w:val="none"/>
                <w:lang w:val="zh-CN"/>
              </w:rPr>
              <w:t>能源，食堂废气主要为食堂油烟。项目</w:t>
            </w:r>
            <w:r>
              <w:rPr>
                <w:rFonts w:hint="eastAsia"/>
                <w:color w:val="auto"/>
                <w:sz w:val="24"/>
                <w:szCs w:val="24"/>
                <w:highlight w:val="none"/>
                <w:lang w:val="en-US" w:eastAsia="zh-CN"/>
              </w:rPr>
              <w:t>新增</w:t>
            </w:r>
            <w:r>
              <w:rPr>
                <w:rFonts w:hint="eastAsia"/>
                <w:color w:val="auto"/>
                <w:sz w:val="24"/>
                <w:szCs w:val="24"/>
                <w:highlight w:val="none"/>
                <w:lang w:val="zh-CN"/>
              </w:rPr>
              <w:t>工作人员</w:t>
            </w:r>
            <w:r>
              <w:rPr>
                <w:rFonts w:hint="eastAsia"/>
                <w:color w:val="auto"/>
                <w:sz w:val="24"/>
                <w:szCs w:val="24"/>
                <w:highlight w:val="none"/>
                <w:lang w:val="en-US" w:eastAsia="zh-CN"/>
              </w:rPr>
              <w:t>20</w:t>
            </w:r>
            <w:r>
              <w:rPr>
                <w:rFonts w:hint="eastAsia"/>
                <w:color w:val="auto"/>
                <w:sz w:val="24"/>
                <w:szCs w:val="24"/>
                <w:highlight w:val="none"/>
              </w:rPr>
              <w:t>人</w:t>
            </w:r>
            <w:r>
              <w:rPr>
                <w:color w:val="auto"/>
                <w:sz w:val="24"/>
                <w:szCs w:val="24"/>
                <w:highlight w:val="none"/>
                <w:lang w:val="zh-CN"/>
              </w:rPr>
              <w:t>，</w:t>
            </w:r>
            <w:r>
              <w:rPr>
                <w:rFonts w:hint="eastAsia"/>
                <w:color w:val="auto"/>
                <w:sz w:val="24"/>
                <w:szCs w:val="24"/>
                <w:highlight w:val="none"/>
                <w:lang w:val="en-US" w:eastAsia="zh-CN"/>
              </w:rPr>
              <w:t>按平衡膳食推荐的以每人每天食用30g食用油计，则用油量为600g/d。根</w:t>
            </w:r>
            <w:r>
              <w:rPr>
                <w:color w:val="auto"/>
                <w:sz w:val="24"/>
                <w:szCs w:val="24"/>
                <w:highlight w:val="none"/>
                <w:lang w:val="zh-CN"/>
              </w:rPr>
              <w:t>据类比调查，不同的烧炸工况，油烟气中烟气浓度及挥发量均有所不同，油的平均挥发量为总耗油量的2.83%</w:t>
            </w:r>
            <w:r>
              <w:rPr>
                <w:rFonts w:hint="eastAsia"/>
                <w:color w:val="auto"/>
                <w:sz w:val="24"/>
                <w:szCs w:val="24"/>
                <w:highlight w:val="none"/>
                <w:lang w:val="en-US" w:eastAsia="zh-CN"/>
              </w:rPr>
              <w:t>，经估算，</w:t>
            </w:r>
            <w:r>
              <w:rPr>
                <w:color w:val="auto"/>
                <w:sz w:val="24"/>
                <w:szCs w:val="24"/>
                <w:highlight w:val="none"/>
                <w:lang w:val="zh-CN"/>
              </w:rPr>
              <w:t>本项目油烟</w:t>
            </w:r>
            <w:r>
              <w:rPr>
                <w:rFonts w:hint="eastAsia"/>
                <w:color w:val="auto"/>
                <w:sz w:val="24"/>
                <w:szCs w:val="24"/>
                <w:highlight w:val="none"/>
                <w:lang w:val="en-US" w:eastAsia="zh-CN"/>
              </w:rPr>
              <w:t>产生</w:t>
            </w:r>
            <w:r>
              <w:rPr>
                <w:color w:val="auto"/>
                <w:sz w:val="24"/>
                <w:szCs w:val="24"/>
                <w:highlight w:val="none"/>
                <w:lang w:val="zh-CN"/>
              </w:rPr>
              <w:t>量约为</w:t>
            </w:r>
            <w:r>
              <w:rPr>
                <w:rFonts w:hint="eastAsia"/>
                <w:color w:val="auto"/>
                <w:sz w:val="24"/>
                <w:szCs w:val="24"/>
                <w:highlight w:val="none"/>
                <w:lang w:val="en-US" w:eastAsia="zh-CN"/>
              </w:rPr>
              <w:t>0.017kg/d，5.1kg/a，每天平均烹调作业以6小时计，则油烟产生速率为0.003kg/h，</w:t>
            </w:r>
            <w:r>
              <w:rPr>
                <w:rFonts w:hint="eastAsia"/>
                <w:color w:val="auto"/>
                <w:sz w:val="24"/>
                <w:szCs w:val="24"/>
                <w:highlight w:val="none"/>
                <w:lang w:val="zh-CN"/>
              </w:rPr>
              <w:t>油烟产生浓度为</w:t>
            </w:r>
            <w:r>
              <w:rPr>
                <w:rFonts w:hint="eastAsia"/>
                <w:color w:val="auto"/>
                <w:sz w:val="24"/>
                <w:szCs w:val="24"/>
                <w:highlight w:val="none"/>
                <w:lang w:val="en-US" w:eastAsia="zh-CN"/>
              </w:rPr>
              <w:t>1.5</w:t>
            </w:r>
            <w:r>
              <w:rPr>
                <w:rFonts w:hint="eastAsia"/>
                <w:color w:val="auto"/>
                <w:sz w:val="24"/>
                <w:szCs w:val="24"/>
                <w:highlight w:val="none"/>
              </w:rPr>
              <w:t>mg/m</w:t>
            </w:r>
            <w:r>
              <w:rPr>
                <w:rFonts w:hint="eastAsia"/>
                <w:color w:val="auto"/>
                <w:sz w:val="24"/>
                <w:szCs w:val="24"/>
                <w:highlight w:val="none"/>
                <w:vertAlign w:val="superscript"/>
              </w:rPr>
              <w:t>3</w:t>
            </w:r>
            <w:r>
              <w:rPr>
                <w:rFonts w:hint="eastAsia"/>
                <w:color w:val="auto"/>
                <w:sz w:val="24"/>
                <w:szCs w:val="24"/>
                <w:highlight w:val="none"/>
                <w:lang w:val="zh-CN"/>
              </w:rPr>
              <w:t>（按风量</w:t>
            </w:r>
            <w:r>
              <w:rPr>
                <w:rFonts w:hint="eastAsia"/>
                <w:color w:val="auto"/>
                <w:sz w:val="24"/>
                <w:szCs w:val="24"/>
                <w:highlight w:val="none"/>
                <w:lang w:val="en-US" w:eastAsia="zh-CN"/>
              </w:rPr>
              <w:t>2</w:t>
            </w:r>
            <w:r>
              <w:rPr>
                <w:rFonts w:hint="eastAsia"/>
                <w:color w:val="auto"/>
                <w:sz w:val="24"/>
                <w:szCs w:val="24"/>
                <w:highlight w:val="none"/>
              </w:rPr>
              <w:t>000m</w:t>
            </w:r>
            <w:r>
              <w:rPr>
                <w:rFonts w:hint="eastAsia"/>
                <w:color w:val="auto"/>
                <w:sz w:val="24"/>
                <w:szCs w:val="24"/>
                <w:highlight w:val="none"/>
                <w:vertAlign w:val="superscript"/>
              </w:rPr>
              <w:t>3</w:t>
            </w:r>
            <w:r>
              <w:rPr>
                <w:rFonts w:hint="eastAsia"/>
                <w:color w:val="auto"/>
                <w:sz w:val="24"/>
                <w:szCs w:val="24"/>
                <w:highlight w:val="none"/>
              </w:rPr>
              <w:t>/h</w:t>
            </w:r>
            <w:r>
              <w:rPr>
                <w:rFonts w:hint="eastAsia"/>
                <w:color w:val="auto"/>
                <w:sz w:val="24"/>
                <w:szCs w:val="24"/>
                <w:highlight w:val="none"/>
                <w:lang w:val="zh-CN"/>
              </w:rPr>
              <w:t>）</w:t>
            </w:r>
            <w:r>
              <w:rPr>
                <w:rFonts w:hint="eastAsia"/>
                <w:color w:val="auto"/>
                <w:sz w:val="24"/>
                <w:szCs w:val="24"/>
                <w:highlight w:val="none"/>
                <w:lang w:val="en-US" w:eastAsia="zh-CN"/>
              </w:rPr>
              <w:t>。</w:t>
            </w:r>
            <w:r>
              <w:rPr>
                <w:rFonts w:hint="eastAsia"/>
                <w:color w:val="auto"/>
                <w:sz w:val="24"/>
                <w:szCs w:val="24"/>
                <w:highlight w:val="none"/>
                <w:lang w:val="zh-CN"/>
              </w:rPr>
              <w:t>项目食堂</w:t>
            </w:r>
            <w:r>
              <w:rPr>
                <w:rFonts w:hint="eastAsia"/>
                <w:color w:val="auto"/>
                <w:sz w:val="24"/>
                <w:szCs w:val="24"/>
                <w:highlight w:val="none"/>
                <w:lang w:val="en-US" w:eastAsia="zh-CN"/>
              </w:rPr>
              <w:t>已</w:t>
            </w:r>
            <w:r>
              <w:rPr>
                <w:rFonts w:hint="eastAsia"/>
                <w:color w:val="auto"/>
                <w:sz w:val="24"/>
                <w:szCs w:val="24"/>
                <w:highlight w:val="none"/>
                <w:lang w:val="zh-CN"/>
              </w:rPr>
              <w:t>设置</w:t>
            </w:r>
            <w:r>
              <w:rPr>
                <w:rFonts w:hint="eastAsia"/>
                <w:color w:val="auto"/>
                <w:sz w:val="24"/>
                <w:szCs w:val="24"/>
                <w:highlight w:val="none"/>
              </w:rPr>
              <w:t>1套油烟净化器（净化效率达</w:t>
            </w:r>
            <w:r>
              <w:rPr>
                <w:rFonts w:hint="eastAsia"/>
                <w:color w:val="auto"/>
                <w:sz w:val="24"/>
                <w:szCs w:val="24"/>
                <w:highlight w:val="none"/>
                <w:lang w:val="en-US" w:eastAsia="zh-CN"/>
              </w:rPr>
              <w:t>60</w:t>
            </w:r>
            <w:r>
              <w:rPr>
                <w:rFonts w:hint="eastAsia"/>
                <w:color w:val="auto"/>
                <w:sz w:val="24"/>
                <w:szCs w:val="24"/>
                <w:highlight w:val="none"/>
              </w:rPr>
              <w:t>%）</w:t>
            </w:r>
            <w:r>
              <w:rPr>
                <w:rFonts w:hint="eastAsia"/>
                <w:color w:val="auto"/>
                <w:sz w:val="24"/>
                <w:szCs w:val="24"/>
                <w:highlight w:val="none"/>
                <w:lang w:val="zh-CN"/>
              </w:rPr>
              <w:t>，食堂油烟经油烟净化器处理后排放量为</w:t>
            </w:r>
            <w:r>
              <w:rPr>
                <w:rFonts w:hint="eastAsia"/>
                <w:color w:val="auto"/>
                <w:sz w:val="24"/>
                <w:szCs w:val="24"/>
                <w:highlight w:val="none"/>
                <w:lang w:val="en-US" w:eastAsia="zh-CN"/>
              </w:rPr>
              <w:t>2.04</w:t>
            </w:r>
            <w:r>
              <w:rPr>
                <w:color w:val="auto"/>
                <w:sz w:val="24"/>
                <w:szCs w:val="24"/>
                <w:highlight w:val="none"/>
                <w:lang w:val="zh-CN"/>
              </w:rPr>
              <w:t>kg/a，</w:t>
            </w:r>
            <w:r>
              <w:rPr>
                <w:rFonts w:hint="eastAsia"/>
                <w:color w:val="auto"/>
                <w:sz w:val="24"/>
                <w:szCs w:val="24"/>
                <w:highlight w:val="none"/>
              </w:rPr>
              <w:t>排放速率为0.00</w:t>
            </w:r>
            <w:r>
              <w:rPr>
                <w:rFonts w:hint="eastAsia"/>
                <w:color w:val="auto"/>
                <w:sz w:val="24"/>
                <w:szCs w:val="24"/>
                <w:highlight w:val="none"/>
                <w:lang w:val="en-US" w:eastAsia="zh-CN"/>
              </w:rPr>
              <w:t>1</w:t>
            </w:r>
            <w:r>
              <w:rPr>
                <w:rFonts w:hint="eastAsia"/>
                <w:color w:val="auto"/>
                <w:sz w:val="24"/>
                <w:szCs w:val="24"/>
                <w:highlight w:val="none"/>
              </w:rPr>
              <w:t>k</w:t>
            </w:r>
            <w:r>
              <w:rPr>
                <w:color w:val="auto"/>
                <w:sz w:val="24"/>
                <w:szCs w:val="24"/>
                <w:highlight w:val="none"/>
                <w:lang w:val="zh-CN"/>
              </w:rPr>
              <w:t>g/h</w:t>
            </w:r>
            <w:r>
              <w:rPr>
                <w:rFonts w:hint="eastAsia"/>
                <w:color w:val="auto"/>
                <w:sz w:val="24"/>
                <w:szCs w:val="24"/>
                <w:highlight w:val="none"/>
                <w:lang w:val="zh-CN"/>
              </w:rPr>
              <w:t>，排放浓度为</w:t>
            </w:r>
            <w:r>
              <w:rPr>
                <w:rFonts w:hint="eastAsia"/>
                <w:color w:val="auto"/>
                <w:sz w:val="24"/>
                <w:szCs w:val="24"/>
                <w:highlight w:val="none"/>
                <w:lang w:val="en-US" w:eastAsia="zh-CN"/>
              </w:rPr>
              <w:t>0.57</w:t>
            </w:r>
            <w:r>
              <w:rPr>
                <w:rFonts w:hint="eastAsia"/>
                <w:color w:val="auto"/>
                <w:sz w:val="24"/>
                <w:szCs w:val="24"/>
                <w:highlight w:val="none"/>
              </w:rPr>
              <w:t>mg/m</w:t>
            </w:r>
            <w:r>
              <w:rPr>
                <w:rFonts w:hint="eastAsia"/>
                <w:color w:val="auto"/>
                <w:sz w:val="24"/>
                <w:szCs w:val="24"/>
                <w:highlight w:val="none"/>
                <w:vertAlign w:val="superscript"/>
              </w:rPr>
              <w:t>3</w:t>
            </w:r>
            <w:r>
              <w:rPr>
                <w:rFonts w:hint="eastAsia"/>
                <w:color w:val="auto"/>
                <w:sz w:val="24"/>
                <w:szCs w:val="24"/>
                <w:highlight w:val="none"/>
                <w:lang w:val="zh-CN"/>
              </w:rPr>
              <w:t>，</w:t>
            </w:r>
            <w:r>
              <w:rPr>
                <w:color w:val="auto"/>
                <w:sz w:val="24"/>
                <w:szCs w:val="24"/>
                <w:highlight w:val="none"/>
                <w:lang w:val="zh-CN"/>
              </w:rPr>
              <w:t>达到《饮食业油烟排放标准》（试行）（GB18483-2001）</w:t>
            </w:r>
            <w:r>
              <w:rPr>
                <w:rFonts w:hint="eastAsia"/>
                <w:color w:val="auto"/>
                <w:sz w:val="24"/>
                <w:szCs w:val="24"/>
                <w:highlight w:val="none"/>
                <w:lang w:val="en-US" w:eastAsia="zh-CN"/>
              </w:rPr>
              <w:t>小</w:t>
            </w:r>
            <w:r>
              <w:rPr>
                <w:color w:val="auto"/>
                <w:sz w:val="24"/>
                <w:szCs w:val="24"/>
                <w:highlight w:val="none"/>
                <w:lang w:val="zh-CN"/>
              </w:rPr>
              <w:t>型规模2mg/m</w:t>
            </w:r>
            <w:r>
              <w:rPr>
                <w:rFonts w:hint="eastAsia"/>
                <w:color w:val="auto"/>
                <w:sz w:val="24"/>
                <w:szCs w:val="24"/>
                <w:highlight w:val="none"/>
                <w:vertAlign w:val="superscript"/>
                <w:lang w:val="en-US" w:eastAsia="zh-CN"/>
              </w:rPr>
              <w:t>3</w:t>
            </w:r>
            <w:r>
              <w:rPr>
                <w:color w:val="auto"/>
                <w:sz w:val="24"/>
                <w:szCs w:val="24"/>
                <w:highlight w:val="none"/>
                <w:lang w:val="zh-CN"/>
              </w:rPr>
              <w:t>的要求。</w:t>
            </w:r>
          </w:p>
          <w:p w14:paraId="70A9C033">
            <w:pPr>
              <w:pStyle w:val="2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异味</w:t>
            </w:r>
          </w:p>
          <w:p w14:paraId="4BFDA723">
            <w:pPr>
              <w:pStyle w:val="34"/>
              <w:spacing w:line="360" w:lineRule="auto"/>
              <w:ind w:firstLine="480"/>
              <w:rPr>
                <w:rFonts w:hint="eastAsia" w:ascii="Times New Roman" w:hAnsi="Times New Roman"/>
                <w:caps w:val="0"/>
                <w:smallCaps w:val="0"/>
                <w:color w:val="auto"/>
                <w:sz w:val="24"/>
                <w:highlight w:val="none"/>
                <w:lang w:eastAsia="zh-CN"/>
              </w:rPr>
            </w:pPr>
            <w:r>
              <w:rPr>
                <w:rFonts w:hint="default" w:ascii="Times New Roman" w:hAnsi="Times New Roman" w:eastAsia="宋体" w:cs="Times New Roman"/>
                <w:color w:val="auto"/>
                <w:sz w:val="24"/>
                <w:szCs w:val="24"/>
                <w:highlight w:val="none"/>
                <w:lang w:val="zh-CN"/>
              </w:rPr>
              <w:t>项目化粪池、污水处理站运营过程中有机物的分解、发酵过程将产生异味，异味为多组分、低浓度化学物质形成的混合物，其主要成分为氨、硫化氢和</w:t>
            </w:r>
            <w:r>
              <w:rPr>
                <w:rFonts w:hint="eastAsia"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eastAsia="zh-CN"/>
              </w:rPr>
              <w:t>挥发酸、硫醇类等物质，以无组织方式排放</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aps w:val="0"/>
                <w:smallCaps w:val="0"/>
                <w:color w:val="auto"/>
                <w:highlight w:val="none"/>
                <w:lang w:val="en-US" w:eastAsia="zh-CN"/>
              </w:rPr>
              <w:t>项目化粪池为地埋式，</w:t>
            </w:r>
            <w:r>
              <w:rPr>
                <w:rFonts w:hint="default" w:ascii="Times New Roman" w:hAnsi="Times New Roman" w:eastAsia="宋体" w:cs="Times New Roman"/>
                <w:caps w:val="0"/>
                <w:smallCaps w:val="0"/>
                <w:color w:val="auto"/>
                <w:highlight w:val="none"/>
                <w:lang w:val="zh-CN" w:eastAsia="zh-CN"/>
              </w:rPr>
              <w:t>日常运营工作口和检查口均盖上盖板，只有少量异味通过盖板缝隙排出，</w:t>
            </w:r>
            <w:r>
              <w:rPr>
                <w:rFonts w:hint="default" w:ascii="Times New Roman" w:hAnsi="Times New Roman" w:eastAsia="宋体" w:cs="Times New Roman"/>
                <w:caps w:val="0"/>
                <w:smallCaps w:val="0"/>
                <w:color w:val="auto"/>
                <w:highlight w:val="none"/>
                <w:lang w:val="en-US" w:eastAsia="zh-CN"/>
              </w:rPr>
              <w:t>封闭性较好，异味扩散量较小</w:t>
            </w:r>
            <w:r>
              <w:rPr>
                <w:rFonts w:hint="eastAsia" w:ascii="Times New Roman" w:hAnsi="Times New Roman" w:eastAsia="宋体" w:cs="Times New Roman"/>
                <w:caps w:val="0"/>
                <w:smallCaps w:val="0"/>
                <w:color w:val="auto"/>
                <w:highlight w:val="none"/>
                <w:lang w:val="en-US" w:eastAsia="zh-CN"/>
              </w:rPr>
              <w:t>，</w:t>
            </w:r>
            <w:r>
              <w:rPr>
                <w:rFonts w:hint="default" w:ascii="Times New Roman" w:hAnsi="Times New Roman" w:eastAsia="宋体" w:cs="Times New Roman"/>
                <w:caps w:val="0"/>
                <w:smallCaps w:val="0"/>
                <w:color w:val="auto"/>
                <w:highlight w:val="none"/>
                <w:lang w:val="zh-CN" w:eastAsia="zh-CN"/>
              </w:rPr>
              <w:t>对环境影响可接受。</w:t>
            </w:r>
          </w:p>
          <w:p w14:paraId="6A98AA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eastAsia="zh-CN"/>
              </w:rPr>
            </w:pPr>
            <w:r>
              <w:rPr>
                <w:rFonts w:hint="default" w:ascii="Times New Roman" w:hAnsi="Times New Roman" w:eastAsia="宋体" w:cs="Times New Roman"/>
                <w:color w:val="auto"/>
                <w:sz w:val="24"/>
                <w:szCs w:val="24"/>
                <w:highlight w:val="none"/>
                <w:lang w:val="zh-CN"/>
              </w:rPr>
              <w:t>项目污水处理</w:t>
            </w:r>
            <w:r>
              <w:rPr>
                <w:rFonts w:hint="eastAsia" w:cs="Times New Roman"/>
                <w:color w:val="auto"/>
                <w:sz w:val="24"/>
                <w:szCs w:val="24"/>
                <w:highlight w:val="none"/>
                <w:lang w:val="zh-CN"/>
              </w:rPr>
              <w:t>站设置于专门的房间内</w:t>
            </w:r>
            <w:r>
              <w:rPr>
                <w:rFonts w:hint="default" w:ascii="Times New Roman" w:hAnsi="Times New Roman" w:eastAsia="宋体" w:cs="Times New Roman"/>
                <w:color w:val="auto"/>
                <w:sz w:val="24"/>
                <w:szCs w:val="24"/>
                <w:highlight w:val="none"/>
                <w:lang w:val="zh-CN"/>
              </w:rPr>
              <w:t>，</w:t>
            </w:r>
            <w:r>
              <w:rPr>
                <w:rFonts w:hint="eastAsia" w:cs="Times New Roman"/>
                <w:color w:val="auto"/>
                <w:sz w:val="24"/>
                <w:szCs w:val="24"/>
                <w:highlight w:val="none"/>
                <w:lang w:val="zh-CN"/>
              </w:rPr>
              <w:t>且</w:t>
            </w:r>
            <w:r>
              <w:rPr>
                <w:rFonts w:hint="default" w:ascii="Times New Roman" w:hAnsi="Times New Roman" w:eastAsia="宋体" w:cs="Times New Roman"/>
                <w:color w:val="auto"/>
                <w:sz w:val="24"/>
                <w:szCs w:val="24"/>
                <w:highlight w:val="none"/>
                <w:lang w:val="zh-CN" w:eastAsia="zh-CN"/>
              </w:rPr>
              <w:t>各</w:t>
            </w:r>
            <w:r>
              <w:rPr>
                <w:rFonts w:hint="default" w:ascii="Times New Roman" w:hAnsi="Times New Roman" w:eastAsia="宋体" w:cs="Times New Roman"/>
                <w:color w:val="auto"/>
                <w:sz w:val="24"/>
                <w:szCs w:val="24"/>
                <w:highlight w:val="none"/>
                <w:lang w:val="zh-CN"/>
              </w:rPr>
              <w:t>池</w:t>
            </w:r>
            <w:r>
              <w:rPr>
                <w:rFonts w:hint="default" w:ascii="Times New Roman" w:hAnsi="Times New Roman" w:eastAsia="宋体" w:cs="Times New Roman"/>
                <w:color w:val="auto"/>
                <w:sz w:val="24"/>
                <w:szCs w:val="24"/>
                <w:highlight w:val="none"/>
                <w:lang w:val="zh-CN" w:eastAsia="zh-CN"/>
              </w:rPr>
              <w:t>体</w:t>
            </w:r>
            <w:r>
              <w:rPr>
                <w:rFonts w:hint="default" w:ascii="Times New Roman" w:hAnsi="Times New Roman" w:eastAsia="宋体" w:cs="Times New Roman"/>
                <w:color w:val="auto"/>
                <w:sz w:val="24"/>
                <w:szCs w:val="24"/>
                <w:highlight w:val="none"/>
                <w:lang w:val="zh-CN"/>
              </w:rPr>
              <w:t>加盖，异味产生量较少，呈无组织排放。</w:t>
            </w:r>
            <w:r>
              <w:rPr>
                <w:rFonts w:hint="default" w:ascii="Times New Roman" w:hAnsi="Times New Roman" w:eastAsia="宋体" w:cs="Times New Roman"/>
                <w:color w:val="auto"/>
                <w:sz w:val="24"/>
                <w:szCs w:val="24"/>
                <w:highlight w:val="none"/>
                <w:lang w:val="en-US" w:eastAsia="zh-CN"/>
              </w:rPr>
              <w:t>污水处理站</w:t>
            </w:r>
            <w:r>
              <w:rPr>
                <w:rFonts w:hint="eastAsia" w:cs="Times New Roman"/>
                <w:color w:val="auto"/>
                <w:sz w:val="24"/>
                <w:szCs w:val="24"/>
                <w:highlight w:val="none"/>
                <w:lang w:val="zh-CN" w:eastAsia="zh-CN"/>
              </w:rPr>
              <w:t>定期</w:t>
            </w:r>
            <w:r>
              <w:rPr>
                <w:rFonts w:hint="default" w:ascii="Times New Roman" w:hAnsi="Times New Roman" w:eastAsia="宋体" w:cs="Times New Roman"/>
                <w:color w:val="auto"/>
                <w:sz w:val="24"/>
                <w:szCs w:val="24"/>
                <w:highlight w:val="none"/>
                <w:lang w:val="zh-CN" w:eastAsia="zh-CN"/>
              </w:rPr>
              <w:t>喷洒除臭剂，</w:t>
            </w:r>
            <w:r>
              <w:rPr>
                <w:rFonts w:hint="default" w:ascii="Times New Roman" w:hAnsi="Times New Roman" w:eastAsia="宋体" w:cs="Times New Roman"/>
                <w:color w:val="auto"/>
                <w:spacing w:val="2"/>
                <w:sz w:val="24"/>
                <w:szCs w:val="24"/>
                <w:highlight w:val="none"/>
                <w:lang w:val="en-US" w:eastAsia="zh-CN"/>
              </w:rPr>
              <w:t>异味能得到有效控制，厂界恶臭能达到</w:t>
            </w:r>
            <w:r>
              <w:rPr>
                <w:rFonts w:hint="default" w:ascii="Times New Roman" w:hAnsi="Times New Roman" w:eastAsia="宋体" w:cs="Times New Roman"/>
                <w:bCs/>
                <w:color w:val="auto"/>
                <w:kern w:val="2"/>
                <w:sz w:val="24"/>
                <w:szCs w:val="24"/>
                <w:highlight w:val="none"/>
                <w:lang w:val="en-US" w:eastAsia="zh-CN" w:bidi="ar"/>
              </w:rPr>
              <w:t>《恶臭污染物排放标准》（GB14554-93）表1中的二级标准（即臭气浓度≤20（无量纲））。</w:t>
            </w:r>
          </w:p>
          <w:p w14:paraId="1C7A98D2">
            <w:pPr>
              <w:keepNext w:val="0"/>
              <w:keepLines w:val="0"/>
              <w:pageBreakBefore w:val="0"/>
              <w:kinsoku/>
              <w:wordWrap/>
              <w:overflowPunct/>
              <w:topLinePunct w:val="0"/>
              <w:bidi w:val="0"/>
              <w:adjustRightInd/>
              <w:snapToGrid/>
              <w:spacing w:line="360" w:lineRule="auto"/>
              <w:ind w:left="0" w:right="0" w:rightChars="0" w:firstLine="482" w:firstLineChars="200"/>
              <w:textAlignment w:val="auto"/>
              <w:rPr>
                <w:rFonts w:hint="eastAsia" w:ascii="Times New Roman" w:hAnsi="Times New Roman"/>
                <w:b/>
                <w:bCs/>
                <w:caps w:val="0"/>
                <w:smallCaps w:val="0"/>
                <w:color w:val="auto"/>
                <w:sz w:val="24"/>
                <w:highlight w:val="none"/>
                <w:lang w:eastAsia="zh-CN"/>
              </w:rPr>
            </w:pPr>
            <w:r>
              <w:rPr>
                <w:rFonts w:hint="eastAsia" w:ascii="Times New Roman" w:hAnsi="Times New Roman"/>
                <w:b/>
                <w:bCs/>
                <w:caps w:val="0"/>
                <w:smallCaps w:val="0"/>
                <w:color w:val="auto"/>
                <w:sz w:val="24"/>
                <w:highlight w:val="none"/>
                <w:lang w:eastAsia="zh-CN"/>
              </w:rPr>
              <w:t>（</w:t>
            </w:r>
            <w:r>
              <w:rPr>
                <w:rFonts w:hint="eastAsia"/>
                <w:b/>
                <w:bCs/>
                <w:caps w:val="0"/>
                <w:smallCaps w:val="0"/>
                <w:color w:val="auto"/>
                <w:sz w:val="24"/>
                <w:highlight w:val="none"/>
                <w:lang w:val="en-US" w:eastAsia="zh-CN"/>
              </w:rPr>
              <w:t>7</w:t>
            </w:r>
            <w:r>
              <w:rPr>
                <w:rFonts w:hint="eastAsia" w:ascii="Times New Roman" w:hAnsi="Times New Roman"/>
                <w:b/>
                <w:bCs/>
                <w:caps w:val="0"/>
                <w:smallCaps w:val="0"/>
                <w:color w:val="auto"/>
                <w:sz w:val="24"/>
                <w:highlight w:val="none"/>
                <w:lang w:eastAsia="zh-CN"/>
              </w:rPr>
              <w:t>）结论</w:t>
            </w:r>
          </w:p>
          <w:p w14:paraId="3E12EA07">
            <w:pPr>
              <w:pStyle w:val="35"/>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rPr>
                <w:rFonts w:hint="eastAsia"/>
                <w:b/>
                <w:bCs/>
                <w:color w:val="auto"/>
                <w:sz w:val="24"/>
                <w:szCs w:val="24"/>
                <w:highlight w:val="none"/>
                <w:lang w:val="en-US" w:eastAsia="zh-CN"/>
              </w:rPr>
            </w:pPr>
            <w:r>
              <w:rPr>
                <w:rFonts w:hint="eastAsia" w:ascii="Times New Roman" w:hAnsi="Times New Roman"/>
                <w:caps w:val="0"/>
                <w:smallCaps w:val="0"/>
                <w:color w:val="auto"/>
                <w:sz w:val="24"/>
                <w:highlight w:val="none"/>
                <w:lang w:eastAsia="zh-CN"/>
              </w:rPr>
              <w:t>本项目建成后，大气污染物主要有</w:t>
            </w:r>
            <w:r>
              <w:rPr>
                <w:rFonts w:hint="default" w:ascii="Times New Roman" w:hAnsi="Times New Roman" w:eastAsia="宋体" w:cs="Times New Roman"/>
                <w:color w:val="auto"/>
                <w:kern w:val="2"/>
                <w:sz w:val="24"/>
                <w:szCs w:val="24"/>
                <w:highlight w:val="none"/>
                <w:lang w:val="zh-CN" w:eastAsia="zh-CN" w:bidi="ar-SA"/>
              </w:rPr>
              <w:t>硫酸挥发废气、配料废气</w:t>
            </w:r>
            <w:r>
              <w:rPr>
                <w:rFonts w:hint="eastAsia" w:cs="Times New Roman"/>
                <w:color w:val="auto"/>
                <w:kern w:val="2"/>
                <w:sz w:val="24"/>
                <w:szCs w:val="24"/>
                <w:highlight w:val="none"/>
                <w:lang w:val="zh-CN" w:eastAsia="zh-CN" w:bidi="ar-SA"/>
              </w:rPr>
              <w:t>、蒙砂</w:t>
            </w:r>
            <w:r>
              <w:rPr>
                <w:rFonts w:hint="default" w:ascii="Times New Roman" w:hAnsi="Times New Roman" w:eastAsia="宋体" w:cs="Times New Roman"/>
                <w:color w:val="auto"/>
                <w:kern w:val="2"/>
                <w:sz w:val="24"/>
                <w:szCs w:val="24"/>
                <w:highlight w:val="none"/>
                <w:lang w:val="zh-CN" w:eastAsia="zh-CN" w:bidi="ar-SA"/>
              </w:rPr>
              <w:t>废气</w:t>
            </w:r>
            <w:r>
              <w:rPr>
                <w:rFonts w:hint="eastAsia" w:cs="Times New Roman"/>
                <w:color w:val="auto"/>
                <w:kern w:val="2"/>
                <w:sz w:val="24"/>
                <w:szCs w:val="24"/>
                <w:highlight w:val="none"/>
                <w:lang w:val="zh-CN" w:eastAsia="zh-CN" w:bidi="ar-SA"/>
              </w:rPr>
              <w:t>、</w:t>
            </w:r>
            <w:r>
              <w:rPr>
                <w:rFonts w:hint="eastAsia" w:cs="Times New Roman"/>
                <w:color w:val="auto"/>
                <w:sz w:val="24"/>
                <w:highlight w:val="none"/>
                <w:shd w:val="clear" w:color="auto" w:fill="auto"/>
                <w:lang w:val="en-US" w:eastAsia="zh-CN"/>
              </w:rPr>
              <w:t>食堂油烟及异味</w:t>
            </w:r>
            <w:r>
              <w:rPr>
                <w:rFonts w:hint="eastAsia" w:ascii="Times New Roman" w:hAnsi="Times New Roman" w:eastAsia="宋体" w:cs="Times New Roman"/>
                <w:color w:val="auto"/>
                <w:sz w:val="24"/>
                <w:highlight w:val="none"/>
                <w:shd w:val="clear" w:color="auto" w:fill="auto"/>
                <w:lang w:val="en-US" w:eastAsia="zh-CN"/>
              </w:rPr>
              <w:t>。</w:t>
            </w:r>
          </w:p>
          <w:p w14:paraId="42B3845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zh-CN" w:eastAsia="zh-CN"/>
              </w:rPr>
              <w:t>硫酸稀释、蒙砂液配制与蒙砂</w:t>
            </w:r>
            <w:r>
              <w:rPr>
                <w:rFonts w:hint="eastAsia" w:cs="Times New Roman"/>
                <w:color w:val="auto"/>
                <w:sz w:val="24"/>
                <w:szCs w:val="24"/>
                <w:highlight w:val="none"/>
                <w:lang w:val="zh-CN" w:eastAsia="zh-CN"/>
              </w:rPr>
              <w:t>过程</w:t>
            </w:r>
            <w:r>
              <w:rPr>
                <w:rFonts w:hint="eastAsia" w:ascii="Times New Roman" w:hAnsi="Times New Roman" w:eastAsia="宋体" w:cs="Times New Roman"/>
                <w:color w:val="auto"/>
                <w:sz w:val="24"/>
                <w:szCs w:val="24"/>
                <w:highlight w:val="none"/>
                <w:lang w:val="zh-CN" w:eastAsia="zh-CN"/>
              </w:rPr>
              <w:t>共同置于封闭生产车间内，生产车间保持负压状态，并在上方设置集气管道，</w:t>
            </w:r>
            <w:r>
              <w:rPr>
                <w:rFonts w:hint="default" w:ascii="Times New Roman" w:hAnsi="Times New Roman" w:eastAsia="宋体" w:cs="Times New Roman"/>
                <w:color w:val="auto"/>
                <w:sz w:val="24"/>
                <w:szCs w:val="24"/>
                <w:highlight w:val="none"/>
                <w:lang w:val="zh-CN" w:eastAsia="zh-CN"/>
              </w:rPr>
              <w:t>硫酸挥发废气、配料废气</w:t>
            </w:r>
            <w:r>
              <w:rPr>
                <w:rFonts w:hint="eastAsia" w:ascii="Times New Roman" w:hAnsi="Times New Roman" w:eastAsia="宋体" w:cs="Times New Roman"/>
                <w:color w:val="auto"/>
                <w:sz w:val="24"/>
                <w:szCs w:val="24"/>
                <w:highlight w:val="none"/>
                <w:lang w:val="zh-CN" w:eastAsia="zh-CN"/>
              </w:rPr>
              <w:t>和蒙砂</w:t>
            </w:r>
            <w:r>
              <w:rPr>
                <w:rFonts w:hint="default" w:ascii="Times New Roman" w:hAnsi="Times New Roman" w:eastAsia="宋体" w:cs="Times New Roman"/>
                <w:color w:val="auto"/>
                <w:sz w:val="24"/>
                <w:szCs w:val="24"/>
                <w:highlight w:val="none"/>
                <w:lang w:val="zh-CN" w:eastAsia="zh-CN"/>
              </w:rPr>
              <w:t>废气由</w:t>
            </w:r>
            <w:r>
              <w:rPr>
                <w:rFonts w:hint="eastAsia" w:cs="Times New Roman"/>
                <w:color w:val="auto"/>
                <w:sz w:val="24"/>
                <w:szCs w:val="24"/>
                <w:highlight w:val="none"/>
                <w:lang w:val="zh-CN" w:eastAsia="zh-CN"/>
              </w:rPr>
              <w:t>封</w:t>
            </w:r>
            <w:r>
              <w:rPr>
                <w:rFonts w:hint="default" w:ascii="Times New Roman" w:hAnsi="Times New Roman" w:eastAsia="宋体" w:cs="Times New Roman"/>
                <w:color w:val="auto"/>
                <w:sz w:val="24"/>
                <w:szCs w:val="24"/>
                <w:highlight w:val="none"/>
                <w:lang w:val="zh-CN" w:eastAsia="zh-CN"/>
              </w:rPr>
              <w:t>闭生产</w:t>
            </w:r>
            <w:r>
              <w:rPr>
                <w:rFonts w:hint="eastAsia" w:cs="Times New Roman"/>
                <w:color w:val="auto"/>
                <w:sz w:val="24"/>
                <w:szCs w:val="24"/>
                <w:highlight w:val="none"/>
                <w:lang w:val="zh-CN" w:eastAsia="zh-CN"/>
              </w:rPr>
              <w:t>车间</w:t>
            </w:r>
            <w:r>
              <w:rPr>
                <w:rFonts w:hint="default" w:ascii="Times New Roman" w:hAnsi="Times New Roman" w:eastAsia="宋体" w:cs="Times New Roman"/>
                <w:color w:val="auto"/>
                <w:sz w:val="24"/>
                <w:szCs w:val="24"/>
                <w:highlight w:val="none"/>
                <w:lang w:val="en-US" w:eastAsia="zh-CN"/>
              </w:rPr>
              <w:t>集气管道</w:t>
            </w:r>
            <w:r>
              <w:rPr>
                <w:rFonts w:hint="default" w:ascii="Times New Roman" w:hAnsi="Times New Roman" w:eastAsia="宋体" w:cs="Times New Roman"/>
                <w:color w:val="auto"/>
                <w:sz w:val="24"/>
                <w:szCs w:val="24"/>
                <w:highlight w:val="none"/>
                <w:lang w:val="zh-CN" w:eastAsia="zh-CN"/>
              </w:rPr>
              <w:t>收集后，</w:t>
            </w:r>
            <w:r>
              <w:rPr>
                <w:rFonts w:hint="eastAsia" w:ascii="Times New Roman" w:hAnsi="Times New Roman" w:eastAsia="宋体" w:cs="Times New Roman"/>
                <w:color w:val="auto"/>
                <w:sz w:val="24"/>
                <w:szCs w:val="24"/>
                <w:highlight w:val="none"/>
                <w:lang w:val="zh-CN" w:eastAsia="zh-CN"/>
              </w:rPr>
              <w:t>通过</w:t>
            </w:r>
            <w:r>
              <w:rPr>
                <w:rFonts w:hint="default" w:ascii="Times New Roman" w:hAnsi="Times New Roman" w:eastAsia="宋体" w:cs="Times New Roman"/>
                <w:color w:val="auto"/>
                <w:sz w:val="24"/>
                <w:szCs w:val="24"/>
                <w:highlight w:val="none"/>
                <w:lang w:val="zh-CN" w:eastAsia="zh-CN"/>
              </w:rPr>
              <w:t>一套碱液喷淋洗涤塔废气治理设施处理，</w:t>
            </w:r>
            <w:r>
              <w:rPr>
                <w:rFonts w:hint="eastAsia" w:ascii="Times New Roman" w:hAnsi="Times New Roman" w:eastAsia="宋体" w:cs="Times New Roman"/>
                <w:color w:val="auto"/>
                <w:sz w:val="24"/>
                <w:szCs w:val="24"/>
                <w:highlight w:val="none"/>
                <w:lang w:val="zh-CN" w:eastAsia="zh-CN"/>
              </w:rPr>
              <w:t>后</w:t>
            </w:r>
            <w:r>
              <w:rPr>
                <w:rFonts w:hint="default" w:ascii="Times New Roman" w:hAnsi="Times New Roman" w:eastAsia="宋体" w:cs="Times New Roman"/>
                <w:color w:val="auto"/>
                <w:sz w:val="24"/>
                <w:szCs w:val="24"/>
                <w:highlight w:val="none"/>
                <w:lang w:val="zh-CN" w:eastAsia="zh-CN"/>
              </w:rPr>
              <w:t>经15m高排气筒（</w:t>
            </w:r>
            <w:r>
              <w:rPr>
                <w:rFonts w:hint="default" w:ascii="Times New Roman" w:hAnsi="Times New Roman" w:eastAsia="宋体" w:cs="Times New Roman"/>
                <w:color w:val="auto"/>
                <w:sz w:val="24"/>
                <w:szCs w:val="24"/>
                <w:highlight w:val="none"/>
                <w:lang w:val="en-US" w:eastAsia="zh-CN"/>
              </w:rPr>
              <w:t>DA002</w:t>
            </w:r>
            <w:r>
              <w:rPr>
                <w:rFonts w:hint="default" w:ascii="Times New Roman" w:hAnsi="Times New Roman" w:eastAsia="宋体" w:cs="Times New Roman"/>
                <w:color w:val="auto"/>
                <w:sz w:val="24"/>
                <w:szCs w:val="24"/>
                <w:highlight w:val="none"/>
                <w:lang w:val="zh-CN" w:eastAsia="zh-CN"/>
              </w:rPr>
              <w:t>）排放。</w:t>
            </w:r>
            <w:r>
              <w:rPr>
                <w:rFonts w:hint="eastAsia" w:cs="Times New Roman"/>
                <w:color w:val="auto"/>
                <w:kern w:val="2"/>
                <w:sz w:val="24"/>
                <w:szCs w:val="24"/>
                <w:highlight w:val="none"/>
                <w:lang w:val="zh-CN" w:eastAsia="zh-CN" w:bidi="ar-SA"/>
              </w:rPr>
              <w:t>本项目有组织</w:t>
            </w:r>
            <w:r>
              <w:rPr>
                <w:rFonts w:hint="eastAsia" w:cs="Times New Roman"/>
                <w:color w:val="auto"/>
                <w:sz w:val="24"/>
                <w:highlight w:val="none"/>
                <w:lang w:val="zh-CN" w:eastAsia="zh-CN"/>
              </w:rPr>
              <w:t>氯化氢</w:t>
            </w:r>
            <w:r>
              <w:rPr>
                <w:rFonts w:hint="eastAsia"/>
                <w:color w:val="auto"/>
                <w:sz w:val="24"/>
                <w:highlight w:val="none"/>
                <w:lang w:val="en-US" w:eastAsia="zh-CN"/>
              </w:rPr>
              <w:t>、</w:t>
            </w:r>
            <w:r>
              <w:rPr>
                <w:color w:val="auto"/>
                <w:sz w:val="24"/>
                <w:highlight w:val="none"/>
                <w:lang w:val="zh-CN"/>
              </w:rPr>
              <w:t>颗粒物</w:t>
            </w:r>
            <w:r>
              <w:rPr>
                <w:rFonts w:hint="eastAsia"/>
                <w:color w:val="auto"/>
                <w:sz w:val="24"/>
                <w:highlight w:val="none"/>
                <w:lang w:val="zh-CN"/>
              </w:rPr>
              <w:t>和氟化物的排放浓度均</w:t>
            </w:r>
            <w:r>
              <w:rPr>
                <w:color w:val="auto"/>
                <w:sz w:val="24"/>
                <w:highlight w:val="none"/>
                <w:lang w:val="zh-CN"/>
              </w:rPr>
              <w:t>满足</w:t>
            </w:r>
            <w:r>
              <w:rPr>
                <w:rFonts w:hint="eastAsia"/>
                <w:color w:val="auto"/>
                <w:sz w:val="24"/>
                <w:highlight w:val="none"/>
                <w:lang w:val="zh-CN" w:eastAsia="zh-CN"/>
              </w:rPr>
              <w:t>《玻璃工业大气污染物排放标准》（GB 26453-2022）表1中在线镀膜尾气处理系统排放限值；有组织</w:t>
            </w:r>
            <w:r>
              <w:rPr>
                <w:rFonts w:hint="eastAsia"/>
                <w:color w:val="auto"/>
                <w:sz w:val="24"/>
                <w:highlight w:val="none"/>
                <w:lang w:val="zh-CN"/>
              </w:rPr>
              <w:t>硫酸雾的排放浓度和排放速率</w:t>
            </w:r>
            <w:r>
              <w:rPr>
                <w:color w:val="auto"/>
                <w:sz w:val="24"/>
                <w:highlight w:val="none"/>
                <w:lang w:val="zh-CN"/>
              </w:rPr>
              <w:t>满足《大气污染物综合排放标准》（GB16297-1996）表2中二级</w:t>
            </w:r>
            <w:r>
              <w:rPr>
                <w:rFonts w:hint="eastAsia" w:eastAsia="宋体"/>
                <w:color w:val="auto"/>
                <w:sz w:val="24"/>
                <w:highlight w:val="none"/>
                <w:lang w:val="zh-CN" w:eastAsia="zh-CN"/>
              </w:rPr>
              <w:t>标准（排放速率严格50%要求）</w:t>
            </w:r>
            <w:r>
              <w:rPr>
                <w:rFonts w:hint="eastAsia"/>
                <w:color w:val="auto"/>
                <w:sz w:val="24"/>
                <w:highlight w:val="none"/>
                <w:lang w:val="zh-CN"/>
              </w:rPr>
              <w:t>；</w:t>
            </w:r>
            <w:r>
              <w:rPr>
                <w:rFonts w:hint="eastAsia"/>
                <w:color w:val="auto"/>
                <w:sz w:val="24"/>
                <w:highlight w:val="none"/>
              </w:rPr>
              <w:t>厂区内</w:t>
            </w:r>
            <w:r>
              <w:rPr>
                <w:rFonts w:hint="eastAsia"/>
                <w:color w:val="auto"/>
                <w:sz w:val="24"/>
                <w:highlight w:val="none"/>
                <w:lang w:eastAsia="zh-CN"/>
              </w:rPr>
              <w:t>无组织颗粒物排放</w:t>
            </w:r>
            <w:r>
              <w:rPr>
                <w:rFonts w:hint="eastAsia"/>
                <w:color w:val="auto"/>
                <w:sz w:val="24"/>
                <w:highlight w:val="none"/>
              </w:rPr>
              <w:t>满足</w:t>
            </w:r>
            <w:r>
              <w:rPr>
                <w:rFonts w:hint="eastAsia"/>
                <w:color w:val="auto"/>
                <w:sz w:val="24"/>
                <w:highlight w:val="none"/>
                <w:lang w:eastAsia="zh-CN"/>
              </w:rPr>
              <w:t>《玻璃工业大气污染物排放标准》（</w:t>
            </w:r>
            <w:r>
              <w:rPr>
                <w:rFonts w:hint="eastAsia"/>
                <w:color w:val="auto"/>
                <w:sz w:val="24"/>
                <w:highlight w:val="none"/>
                <w:lang w:val="en-US" w:eastAsia="zh-CN"/>
              </w:rPr>
              <w:t>GB 26453-2022</w:t>
            </w:r>
            <w:r>
              <w:rPr>
                <w:rFonts w:hint="eastAsia"/>
                <w:color w:val="auto"/>
                <w:sz w:val="24"/>
                <w:highlight w:val="none"/>
                <w:lang w:eastAsia="zh-CN"/>
              </w:rPr>
              <w:t>）附录</w:t>
            </w:r>
            <w:r>
              <w:rPr>
                <w:rFonts w:hint="eastAsia"/>
                <w:color w:val="auto"/>
                <w:sz w:val="24"/>
                <w:highlight w:val="none"/>
                <w:lang w:val="en-US" w:eastAsia="zh-CN"/>
              </w:rPr>
              <w:t>B中的要求</w:t>
            </w:r>
            <w:r>
              <w:rPr>
                <w:rFonts w:hint="eastAsia"/>
                <w:color w:val="auto"/>
                <w:sz w:val="24"/>
                <w:highlight w:val="none"/>
                <w:vertAlign w:val="baseline"/>
                <w:lang w:val="zh-CN"/>
              </w:rPr>
              <w:t>。</w:t>
            </w:r>
          </w:p>
          <w:p w14:paraId="60530B32">
            <w:pPr>
              <w:pStyle w:val="24"/>
              <w:spacing w:after="0" w:line="360" w:lineRule="auto"/>
              <w:ind w:left="0" w:leftChars="0" w:firstLine="480"/>
              <w:rPr>
                <w:color w:val="auto"/>
                <w:sz w:val="24"/>
                <w:szCs w:val="24"/>
                <w:highlight w:val="none"/>
                <w:lang w:val="zh-CN"/>
              </w:rPr>
            </w:pPr>
            <w:r>
              <w:rPr>
                <w:rFonts w:hint="eastAsia"/>
                <w:color w:val="auto"/>
                <w:sz w:val="24"/>
                <w:szCs w:val="24"/>
                <w:highlight w:val="none"/>
                <w:lang w:val="zh-CN"/>
              </w:rPr>
              <w:t>食堂油烟经油烟净化器处理后</w:t>
            </w:r>
            <w:r>
              <w:rPr>
                <w:rFonts w:hint="eastAsia"/>
                <w:color w:val="auto"/>
                <w:sz w:val="24"/>
                <w:szCs w:val="24"/>
                <w:highlight w:val="none"/>
                <w:lang w:val="en-US" w:eastAsia="zh-CN"/>
              </w:rPr>
              <w:t>通过高于楼顶1.5m的排气筒排放，</w:t>
            </w:r>
            <w:r>
              <w:rPr>
                <w:rFonts w:hint="eastAsia"/>
                <w:color w:val="auto"/>
                <w:sz w:val="24"/>
                <w:szCs w:val="24"/>
                <w:highlight w:val="none"/>
                <w:lang w:val="zh-CN"/>
              </w:rPr>
              <w:t>排放浓度</w:t>
            </w:r>
            <w:r>
              <w:rPr>
                <w:color w:val="auto"/>
                <w:sz w:val="24"/>
                <w:szCs w:val="24"/>
                <w:highlight w:val="none"/>
                <w:lang w:val="zh-CN"/>
              </w:rPr>
              <w:t>达到《饮食业油烟排放标准》（试行）（GB18483-2001）</w:t>
            </w:r>
            <w:r>
              <w:rPr>
                <w:rFonts w:hint="eastAsia"/>
                <w:color w:val="auto"/>
                <w:sz w:val="24"/>
                <w:szCs w:val="24"/>
                <w:highlight w:val="none"/>
                <w:lang w:val="en-US" w:eastAsia="zh-CN"/>
              </w:rPr>
              <w:t>中</w:t>
            </w:r>
            <w:r>
              <w:rPr>
                <w:color w:val="auto"/>
                <w:sz w:val="24"/>
                <w:szCs w:val="24"/>
                <w:highlight w:val="none"/>
                <w:lang w:val="zh-CN"/>
              </w:rPr>
              <w:t>型规模2mg/m</w:t>
            </w:r>
            <w:r>
              <w:rPr>
                <w:rFonts w:hint="eastAsia"/>
                <w:color w:val="auto"/>
                <w:sz w:val="24"/>
                <w:szCs w:val="24"/>
                <w:highlight w:val="none"/>
                <w:vertAlign w:val="superscript"/>
                <w:lang w:val="en-US" w:eastAsia="zh-CN"/>
              </w:rPr>
              <w:t>3</w:t>
            </w:r>
            <w:r>
              <w:rPr>
                <w:color w:val="auto"/>
                <w:sz w:val="24"/>
                <w:szCs w:val="24"/>
                <w:highlight w:val="none"/>
                <w:lang w:val="zh-CN"/>
              </w:rPr>
              <w:t>的要求。</w:t>
            </w:r>
          </w:p>
          <w:p w14:paraId="0A09DA45">
            <w:pPr>
              <w:pStyle w:val="34"/>
              <w:spacing w:line="360" w:lineRule="auto"/>
              <w:ind w:firstLine="480"/>
              <w:rPr>
                <w:rFonts w:hint="default"/>
                <w:color w:val="auto"/>
                <w:highlight w:val="none"/>
                <w:lang w:eastAsia="zh-CN"/>
              </w:rPr>
            </w:pPr>
            <w:r>
              <w:rPr>
                <w:rFonts w:hint="default" w:ascii="Times New Roman" w:hAnsi="Times New Roman" w:eastAsia="宋体" w:cs="Times New Roman"/>
                <w:caps w:val="0"/>
                <w:smallCaps w:val="0"/>
                <w:color w:val="auto"/>
                <w:highlight w:val="none"/>
                <w:lang w:val="en-US" w:eastAsia="zh-CN"/>
              </w:rPr>
              <w:t>项目化粪池为地埋式，</w:t>
            </w:r>
            <w:r>
              <w:rPr>
                <w:rFonts w:hint="default" w:ascii="Times New Roman" w:hAnsi="Times New Roman" w:eastAsia="宋体" w:cs="Times New Roman"/>
                <w:color w:val="auto"/>
                <w:sz w:val="24"/>
                <w:szCs w:val="24"/>
                <w:highlight w:val="none"/>
                <w:lang w:val="en-US" w:eastAsia="zh-CN"/>
              </w:rPr>
              <w:t>污水处理站</w:t>
            </w:r>
            <w:r>
              <w:rPr>
                <w:rFonts w:hint="eastAsia" w:cs="Times New Roman"/>
                <w:color w:val="auto"/>
                <w:sz w:val="24"/>
                <w:szCs w:val="24"/>
                <w:highlight w:val="none"/>
                <w:lang w:val="zh-CN" w:eastAsia="zh-CN"/>
              </w:rPr>
              <w:t>定期</w:t>
            </w:r>
            <w:r>
              <w:rPr>
                <w:rFonts w:hint="default" w:ascii="Times New Roman" w:hAnsi="Times New Roman" w:eastAsia="宋体" w:cs="Times New Roman"/>
                <w:color w:val="auto"/>
                <w:sz w:val="24"/>
                <w:szCs w:val="24"/>
                <w:highlight w:val="none"/>
                <w:lang w:val="zh-CN" w:eastAsia="zh-CN"/>
              </w:rPr>
              <w:t>喷洒除臭剂，</w:t>
            </w:r>
            <w:r>
              <w:rPr>
                <w:rFonts w:hint="default" w:ascii="Times New Roman" w:hAnsi="Times New Roman" w:eastAsia="宋体" w:cs="Times New Roman"/>
                <w:color w:val="auto"/>
                <w:spacing w:val="2"/>
                <w:sz w:val="24"/>
                <w:szCs w:val="24"/>
                <w:highlight w:val="none"/>
                <w:lang w:val="en-US" w:eastAsia="zh-CN"/>
              </w:rPr>
              <w:t>异味能得到有效控制，厂界恶臭能达到</w:t>
            </w:r>
            <w:r>
              <w:rPr>
                <w:rFonts w:hint="default" w:ascii="Times New Roman" w:hAnsi="Times New Roman" w:eastAsia="宋体" w:cs="Times New Roman"/>
                <w:bCs/>
                <w:color w:val="auto"/>
                <w:kern w:val="2"/>
                <w:sz w:val="24"/>
                <w:szCs w:val="24"/>
                <w:highlight w:val="none"/>
                <w:lang w:val="en-US" w:eastAsia="zh-CN" w:bidi="ar"/>
              </w:rPr>
              <w:t>《恶臭污染物排放标准》（GB14554-93）表1中的二级标准（即臭气浓度＜20（无量纲））。</w:t>
            </w:r>
          </w:p>
          <w:p w14:paraId="2106E0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rPr>
            </w:pPr>
            <w:r>
              <w:rPr>
                <w:rFonts w:hint="default" w:ascii="Times New Roman" w:hAnsi="Times New Roman" w:eastAsia="Times New Roman"/>
                <w:color w:val="auto"/>
                <w:sz w:val="24"/>
                <w:szCs w:val="24"/>
                <w:highlight w:val="none"/>
                <w:lang w:val="zh-CN"/>
              </w:rPr>
              <w:t>项目所在区域属于环境空气质量达标区。厂界外500m范围分布有</w:t>
            </w:r>
            <w:r>
              <w:rPr>
                <w:rFonts w:hint="eastAsia" w:ascii="Times New Roman" w:hAnsi="Times New Roman" w:eastAsia="Times New Roman"/>
                <w:color w:val="auto"/>
                <w:sz w:val="24"/>
                <w:szCs w:val="24"/>
                <w:highlight w:val="none"/>
                <w:lang w:val="zh-CN" w:eastAsia="zh-CN"/>
              </w:rPr>
              <w:t>深沟村</w:t>
            </w:r>
            <w:r>
              <w:rPr>
                <w:rFonts w:hint="default" w:ascii="Times New Roman" w:hAnsi="Times New Roman" w:eastAsia="Times New Roman"/>
                <w:color w:val="auto"/>
                <w:sz w:val="24"/>
                <w:szCs w:val="24"/>
                <w:highlight w:val="none"/>
                <w:lang w:val="zh-CN"/>
              </w:rPr>
              <w:t>1个环境保护目标，</w:t>
            </w:r>
            <w:r>
              <w:rPr>
                <w:rFonts w:hint="eastAsia" w:ascii="Times New Roman" w:hAnsi="Times New Roman" w:eastAsia="宋体"/>
                <w:color w:val="auto"/>
                <w:sz w:val="24"/>
                <w:szCs w:val="24"/>
                <w:highlight w:val="none"/>
                <w:lang w:val="en-US" w:eastAsia="zh-CN"/>
              </w:rPr>
              <w:t>位于项目侧风向，</w:t>
            </w:r>
            <w:r>
              <w:rPr>
                <w:rFonts w:hint="default" w:ascii="Times New Roman" w:hAnsi="Times New Roman" w:eastAsia="Times New Roman"/>
                <w:color w:val="auto"/>
                <w:sz w:val="24"/>
                <w:szCs w:val="24"/>
                <w:highlight w:val="none"/>
                <w:lang w:val="zh-CN"/>
              </w:rPr>
              <w:t>由于</w:t>
            </w:r>
            <w:r>
              <w:rPr>
                <w:rFonts w:hint="eastAsia" w:ascii="Times New Roman" w:hAnsi="Times New Roman" w:eastAsia="宋体"/>
                <w:color w:val="auto"/>
                <w:sz w:val="24"/>
                <w:szCs w:val="24"/>
                <w:highlight w:val="none"/>
                <w:lang w:val="en-US" w:eastAsia="zh-CN"/>
              </w:rPr>
              <w:t>项目</w:t>
            </w:r>
            <w:r>
              <w:rPr>
                <w:rFonts w:hint="default" w:ascii="Times New Roman" w:hAnsi="Times New Roman" w:eastAsia="Times New Roman"/>
                <w:color w:val="auto"/>
                <w:sz w:val="24"/>
                <w:szCs w:val="24"/>
                <w:highlight w:val="none"/>
                <w:lang w:val="zh-CN"/>
              </w:rPr>
              <w:t>废气源强较小，均满足达标排放，</w:t>
            </w:r>
            <w:r>
              <w:rPr>
                <w:rFonts w:hint="eastAsia" w:ascii="Times New Roman" w:hAnsi="Times New Roman" w:eastAsia="宋体"/>
                <w:color w:val="auto"/>
                <w:sz w:val="24"/>
                <w:szCs w:val="24"/>
                <w:highlight w:val="none"/>
                <w:lang w:val="en-US" w:eastAsia="zh-CN"/>
              </w:rPr>
              <w:t>故项目废气</w:t>
            </w:r>
            <w:r>
              <w:rPr>
                <w:rFonts w:hint="default" w:ascii="Times New Roman" w:hAnsi="Times New Roman" w:eastAsia="Times New Roman"/>
                <w:color w:val="auto"/>
                <w:sz w:val="24"/>
                <w:szCs w:val="24"/>
                <w:highlight w:val="none"/>
                <w:lang w:val="zh-CN"/>
              </w:rPr>
              <w:t>对</w:t>
            </w:r>
            <w:r>
              <w:rPr>
                <w:rFonts w:hint="eastAsia" w:ascii="Times New Roman" w:hAnsi="Times New Roman" w:eastAsia="宋体"/>
                <w:color w:val="auto"/>
                <w:sz w:val="24"/>
                <w:szCs w:val="24"/>
                <w:highlight w:val="none"/>
                <w:lang w:val="en-US" w:eastAsia="zh-CN"/>
              </w:rPr>
              <w:t>周边</w:t>
            </w:r>
            <w:r>
              <w:rPr>
                <w:rFonts w:hint="default" w:ascii="Times New Roman" w:hAnsi="Times New Roman" w:eastAsia="Times New Roman"/>
                <w:color w:val="auto"/>
                <w:sz w:val="24"/>
                <w:szCs w:val="24"/>
                <w:highlight w:val="none"/>
                <w:lang w:val="zh-CN"/>
              </w:rPr>
              <w:t>环境影响不大。</w:t>
            </w:r>
          </w:p>
          <w:p w14:paraId="2228E200">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14:paraId="529771C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snapToGrid w:val="0"/>
                <w:color w:val="auto"/>
                <w:kern w:val="0"/>
                <w:sz w:val="24"/>
                <w:highlight w:val="none"/>
                <w:lang w:val="en-US" w:eastAsia="zh-CN"/>
              </w:rPr>
            </w:pPr>
            <w:r>
              <w:rPr>
                <w:rFonts w:hint="eastAsia" w:ascii="Times New Roman" w:hAnsi="Times New Roman" w:eastAsia="宋体" w:cs="Times New Roman"/>
                <w:b/>
                <w:bCs/>
                <w:snapToGrid w:val="0"/>
                <w:color w:val="auto"/>
                <w:kern w:val="0"/>
                <w:sz w:val="24"/>
                <w:highlight w:val="none"/>
                <w:lang w:eastAsia="zh-CN"/>
              </w:rPr>
              <w:t>（</w:t>
            </w:r>
            <w:r>
              <w:rPr>
                <w:rFonts w:hint="eastAsia" w:ascii="Times New Roman" w:hAnsi="Times New Roman" w:eastAsia="宋体" w:cs="Times New Roman"/>
                <w:b/>
                <w:bCs/>
                <w:snapToGrid w:val="0"/>
                <w:color w:val="auto"/>
                <w:kern w:val="0"/>
                <w:sz w:val="24"/>
                <w:highlight w:val="none"/>
                <w:lang w:val="en-US" w:eastAsia="zh-CN"/>
              </w:rPr>
              <w:t>1</w:t>
            </w:r>
            <w:r>
              <w:rPr>
                <w:rFonts w:hint="eastAsia" w:ascii="Times New Roman" w:hAnsi="Times New Roman" w:eastAsia="宋体" w:cs="Times New Roman"/>
                <w:b/>
                <w:bCs/>
                <w:snapToGrid w:val="0"/>
                <w:color w:val="auto"/>
                <w:kern w:val="0"/>
                <w:sz w:val="24"/>
                <w:highlight w:val="none"/>
                <w:lang w:eastAsia="zh-CN"/>
              </w:rPr>
              <w:t>）</w:t>
            </w:r>
            <w:r>
              <w:rPr>
                <w:rFonts w:hint="eastAsia" w:ascii="Times New Roman" w:hAnsi="Times New Roman" w:eastAsia="宋体" w:cs="Times New Roman"/>
                <w:b/>
                <w:bCs/>
                <w:snapToGrid w:val="0"/>
                <w:color w:val="auto"/>
                <w:kern w:val="0"/>
                <w:sz w:val="24"/>
                <w:highlight w:val="none"/>
                <w:lang w:val="en-US" w:eastAsia="zh-CN"/>
              </w:rPr>
              <w:t>废水污染</w:t>
            </w:r>
            <w:r>
              <w:rPr>
                <w:rFonts w:hint="eastAsia" w:cs="Times New Roman"/>
                <w:b/>
                <w:bCs/>
                <w:snapToGrid w:val="0"/>
                <w:color w:val="auto"/>
                <w:kern w:val="0"/>
                <w:sz w:val="24"/>
                <w:highlight w:val="none"/>
                <w:lang w:val="en-US" w:eastAsia="zh-CN"/>
              </w:rPr>
              <w:t>源分析</w:t>
            </w:r>
          </w:p>
          <w:p w14:paraId="5B29AE90">
            <w:pPr>
              <w:pStyle w:val="35"/>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highlight w:val="none"/>
                <w:shd w:val="clear" w:color="auto" w:fill="auto"/>
                <w:lang w:val="en-US" w:eastAsia="zh-CN"/>
              </w:rPr>
            </w:pPr>
            <w:r>
              <w:rPr>
                <w:rFonts w:hint="eastAsia" w:ascii="Times New Roman" w:hAnsi="Times New Roman" w:eastAsia="宋体" w:cs="Times New Roman"/>
                <w:color w:val="auto"/>
                <w:sz w:val="24"/>
                <w:highlight w:val="none"/>
                <w:shd w:val="clear" w:color="auto" w:fill="auto"/>
                <w:lang w:val="en-US" w:eastAsia="zh-CN"/>
              </w:rPr>
              <w:t>项目</w:t>
            </w:r>
            <w:r>
              <w:rPr>
                <w:rFonts w:hint="eastAsia" w:hAnsi="Times New Roman" w:cs="Times New Roman"/>
                <w:color w:val="auto"/>
                <w:sz w:val="24"/>
                <w:highlight w:val="none"/>
                <w:shd w:val="clear" w:color="auto" w:fill="auto"/>
                <w:lang w:val="en-US" w:eastAsia="zh-CN"/>
              </w:rPr>
              <w:t>运营过程中</w:t>
            </w:r>
            <w:r>
              <w:rPr>
                <w:rFonts w:hint="default" w:ascii="Times New Roman" w:hAnsi="Times New Roman" w:eastAsia="宋体" w:cs="Times New Roman"/>
                <w:color w:val="auto"/>
                <w:sz w:val="24"/>
                <w:highlight w:val="none"/>
                <w:shd w:val="clear" w:color="auto" w:fill="auto"/>
                <w:lang w:val="en-US" w:eastAsia="zh-CN"/>
              </w:rPr>
              <w:t>产生的废</w:t>
            </w:r>
            <w:r>
              <w:rPr>
                <w:rFonts w:hint="eastAsia" w:ascii="Times New Roman" w:hAnsi="Times New Roman" w:eastAsia="宋体" w:cs="Times New Roman"/>
                <w:color w:val="auto"/>
                <w:sz w:val="24"/>
                <w:highlight w:val="none"/>
                <w:shd w:val="clear" w:color="auto" w:fill="auto"/>
                <w:lang w:val="en-US" w:eastAsia="zh-CN"/>
              </w:rPr>
              <w:t>水</w:t>
            </w:r>
            <w:r>
              <w:rPr>
                <w:rFonts w:hint="default" w:ascii="Times New Roman" w:hAnsi="Times New Roman" w:eastAsia="宋体" w:cs="Times New Roman"/>
                <w:color w:val="auto"/>
                <w:sz w:val="24"/>
                <w:highlight w:val="none"/>
                <w:shd w:val="clear" w:color="auto" w:fill="auto"/>
                <w:lang w:val="en-US" w:eastAsia="zh-CN"/>
              </w:rPr>
              <w:t>主要为</w:t>
            </w:r>
            <w:r>
              <w:rPr>
                <w:rFonts w:hint="eastAsia" w:ascii="Times New Roman" w:hAnsi="Times New Roman" w:eastAsia="宋体" w:cs="Times New Roman"/>
                <w:color w:val="auto"/>
                <w:sz w:val="24"/>
                <w:highlight w:val="none"/>
                <w:shd w:val="clear" w:color="auto" w:fill="auto"/>
                <w:lang w:val="en-US" w:eastAsia="zh-CN"/>
              </w:rPr>
              <w:t>生产废水和生活污水，生产废水主要包括</w:t>
            </w:r>
            <w:r>
              <w:rPr>
                <w:rFonts w:hint="eastAsia" w:cs="Times New Roman"/>
                <w:color w:val="auto"/>
                <w:sz w:val="24"/>
                <w:highlight w:val="none"/>
                <w:lang w:eastAsia="zh-CN"/>
              </w:rPr>
              <w:t>弱酸清洗废液、预水洗废水</w:t>
            </w:r>
            <w:r>
              <w:rPr>
                <w:rFonts w:hint="eastAsia" w:ascii="Times New Roman" w:hAnsi="Times New Roman" w:eastAsia="宋体" w:cs="Times New Roman"/>
                <w:color w:val="auto"/>
                <w:sz w:val="24"/>
                <w:highlight w:val="none"/>
                <w:shd w:val="clear" w:color="auto" w:fill="auto"/>
                <w:lang w:val="en-US" w:eastAsia="zh-CN"/>
              </w:rPr>
              <w:t>、二次清洗废水、碱液喷淋洗涤废水；生活污水主要为食堂废水及办公生活污水。</w:t>
            </w:r>
          </w:p>
          <w:p w14:paraId="35B72239">
            <w:pPr>
              <w:spacing w:line="360" w:lineRule="auto"/>
              <w:ind w:firstLine="480" w:firstLineChars="200"/>
              <w:jc w:val="left"/>
              <w:rPr>
                <w:rFonts w:hint="default" w:ascii="Times New Roman" w:hAnsi="Times New Roman" w:eastAsia="宋体" w:cs="Times New Roman"/>
                <w:b/>
                <w:bCs w:val="0"/>
                <w:color w:val="auto"/>
                <w:spacing w:val="-10"/>
                <w:sz w:val="21"/>
                <w:szCs w:val="21"/>
                <w:highlight w:val="none"/>
                <w:lang w:val="en-US" w:eastAsia="zh-CN"/>
              </w:rPr>
            </w:pPr>
            <w:r>
              <w:rPr>
                <w:rFonts w:hint="eastAsia" w:ascii="Times New Roman" w:hAnsi="Times New Roman"/>
                <w:color w:val="auto"/>
                <w:sz w:val="24"/>
                <w:szCs w:val="24"/>
                <w:highlight w:val="none"/>
              </w:rPr>
              <w:t>项目运营期</w:t>
            </w:r>
            <w:r>
              <w:rPr>
                <w:rFonts w:hint="eastAsia" w:ascii="Times New Roman" w:hAnsi="Times New Roman"/>
                <w:color w:val="auto"/>
                <w:sz w:val="24"/>
                <w:szCs w:val="24"/>
                <w:highlight w:val="none"/>
                <w:lang w:eastAsia="zh-CN"/>
              </w:rPr>
              <w:t>废水产排情况详</w:t>
            </w:r>
            <w:r>
              <w:rPr>
                <w:rFonts w:hint="eastAsia" w:ascii="Times New Roman" w:hAnsi="Times New Roman"/>
                <w:color w:val="auto"/>
                <w:sz w:val="24"/>
                <w:szCs w:val="24"/>
                <w:highlight w:val="none"/>
              </w:rPr>
              <w:t>见</w:t>
            </w:r>
            <w:r>
              <w:rPr>
                <w:rFonts w:hint="eastAsia" w:ascii="Times New Roman" w:hAnsi="Times New Roman"/>
                <w:color w:val="auto"/>
                <w:sz w:val="24"/>
                <w:szCs w:val="24"/>
                <w:highlight w:val="none"/>
                <w:lang w:val="en-US" w:eastAsia="zh-CN"/>
              </w:rPr>
              <w:t>下表</w:t>
            </w:r>
            <w:r>
              <w:rPr>
                <w:rFonts w:hint="eastAsia" w:ascii="Times New Roman" w:hAnsi="Times New Roman"/>
                <w:color w:val="auto"/>
                <w:sz w:val="24"/>
                <w:szCs w:val="24"/>
                <w:highlight w:val="none"/>
              </w:rPr>
              <w:t>。</w:t>
            </w:r>
          </w:p>
          <w:p w14:paraId="2E89ECA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val="0"/>
                <w:color w:val="auto"/>
                <w:spacing w:val="-10"/>
                <w:sz w:val="21"/>
                <w:szCs w:val="21"/>
                <w:highlight w:val="none"/>
                <w:lang w:val="en-US" w:eastAsia="zh-CN"/>
              </w:rPr>
              <w:t>表4-</w:t>
            </w:r>
            <w:r>
              <w:rPr>
                <w:rFonts w:hint="eastAsia" w:cs="Times New Roman"/>
                <w:b/>
                <w:bCs w:val="0"/>
                <w:color w:val="auto"/>
                <w:spacing w:val="-10"/>
                <w:sz w:val="21"/>
                <w:szCs w:val="21"/>
                <w:highlight w:val="none"/>
                <w:lang w:val="en-US" w:eastAsia="zh-CN"/>
              </w:rPr>
              <w:t>6</w:t>
            </w:r>
            <w:r>
              <w:rPr>
                <w:rFonts w:hint="default" w:ascii="Times New Roman" w:hAnsi="Times New Roman" w:eastAsia="宋体" w:cs="Times New Roman"/>
                <w:b/>
                <w:bCs w:val="0"/>
                <w:color w:val="auto"/>
                <w:spacing w:val="-10"/>
                <w:sz w:val="21"/>
                <w:szCs w:val="21"/>
                <w:highlight w:val="none"/>
                <w:lang w:val="en-US" w:eastAsia="zh-CN"/>
              </w:rPr>
              <w:t xml:space="preserve">   项目废水产排情况统计表</w:t>
            </w:r>
          </w:p>
          <w:tbl>
            <w:tblPr>
              <w:tblStyle w:val="26"/>
              <w:tblW w:w="8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90"/>
              <w:gridCol w:w="619"/>
              <w:gridCol w:w="535"/>
              <w:gridCol w:w="535"/>
              <w:gridCol w:w="535"/>
              <w:gridCol w:w="535"/>
              <w:gridCol w:w="662"/>
              <w:gridCol w:w="473"/>
              <w:gridCol w:w="724"/>
              <w:gridCol w:w="754"/>
              <w:gridCol w:w="828"/>
              <w:gridCol w:w="851"/>
            </w:tblGrid>
            <w:tr w14:paraId="0B9C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4E10B38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2019" w:type="pct"/>
                  <w:gridSpan w:val="6"/>
                  <w:noWrap w:val="0"/>
                  <w:vAlign w:val="center"/>
                </w:tcPr>
                <w:p w14:paraId="4508132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生活</w:t>
                  </w:r>
                  <w:r>
                    <w:rPr>
                      <w:rFonts w:hint="default" w:ascii="Times New Roman" w:hAnsi="Times New Roman" w:eastAsia="宋体" w:cs="Times New Roman"/>
                      <w:b w:val="0"/>
                      <w:bCs/>
                      <w:color w:val="auto"/>
                      <w:spacing w:val="-10"/>
                      <w:sz w:val="21"/>
                      <w:szCs w:val="21"/>
                      <w:highlight w:val="none"/>
                      <w:vertAlign w:val="baseline"/>
                      <w:lang w:val="en-US" w:eastAsia="zh-CN"/>
                    </w:rPr>
                    <w:t>废水（食堂</w:t>
                  </w:r>
                  <w:r>
                    <w:rPr>
                      <w:rFonts w:hint="eastAsia" w:cs="Times New Roman"/>
                      <w:b w:val="0"/>
                      <w:bCs/>
                      <w:color w:val="auto"/>
                      <w:spacing w:val="-10"/>
                      <w:sz w:val="21"/>
                      <w:szCs w:val="21"/>
                      <w:highlight w:val="none"/>
                      <w:vertAlign w:val="baseline"/>
                      <w:lang w:val="en-US" w:eastAsia="zh-CN"/>
                    </w:rPr>
                    <w:t>废水</w:t>
                  </w:r>
                  <w:r>
                    <w:rPr>
                      <w:rFonts w:hint="default" w:ascii="Times New Roman" w:hAnsi="Times New Roman" w:eastAsia="宋体" w:cs="Times New Roman"/>
                      <w:b w:val="0"/>
                      <w:bCs/>
                      <w:color w:val="auto"/>
                      <w:spacing w:val="-10"/>
                      <w:sz w:val="21"/>
                      <w:szCs w:val="21"/>
                      <w:highlight w:val="none"/>
                      <w:vertAlign w:val="baseline"/>
                      <w:lang w:val="en-US" w:eastAsia="zh-CN"/>
                    </w:rPr>
                    <w:t>、办公</w:t>
                  </w:r>
                  <w:r>
                    <w:rPr>
                      <w:rFonts w:hint="eastAsia" w:cs="Times New Roman"/>
                      <w:b w:val="0"/>
                      <w:bCs/>
                      <w:color w:val="auto"/>
                      <w:spacing w:val="-10"/>
                      <w:sz w:val="21"/>
                      <w:szCs w:val="21"/>
                      <w:highlight w:val="none"/>
                      <w:vertAlign w:val="baseline"/>
                      <w:lang w:val="en-US" w:eastAsia="zh-CN"/>
                    </w:rPr>
                    <w:t>生活污水</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143" w:type="pct"/>
                  <w:gridSpan w:val="5"/>
                  <w:noWrap w:val="0"/>
                  <w:vAlign w:val="center"/>
                </w:tcPr>
                <w:p w14:paraId="6E9DCA4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w:t>
                  </w:r>
                  <w:r>
                    <w:rPr>
                      <w:rFonts w:hint="eastAsia" w:cs="Times New Roman"/>
                      <w:b w:val="0"/>
                      <w:bCs/>
                      <w:color w:val="auto"/>
                      <w:spacing w:val="-10"/>
                      <w:sz w:val="21"/>
                      <w:szCs w:val="21"/>
                      <w:highlight w:val="none"/>
                      <w:vertAlign w:val="baseline"/>
                      <w:lang w:val="en-US" w:eastAsia="zh-CN"/>
                    </w:rPr>
                    <w:t>（弱酸清洗废液、预水洗废水、二次清洗废水、碱液喷淋洗涤废水）</w:t>
                  </w:r>
                </w:p>
              </w:tc>
            </w:tr>
            <w:tr w14:paraId="6044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3AB6747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019" w:type="pct"/>
                  <w:gridSpan w:val="6"/>
                  <w:noWrap w:val="0"/>
                  <w:vAlign w:val="center"/>
                </w:tcPr>
                <w:p w14:paraId="1161619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kern w:val="0"/>
                      <w:szCs w:val="21"/>
                      <w:highlight w:val="none"/>
                      <w:lang w:val="en-US" w:eastAsia="zh-CN" w:bidi="ar"/>
                    </w:rPr>
                    <w:t>360</w:t>
                  </w:r>
                </w:p>
              </w:tc>
              <w:tc>
                <w:tcPr>
                  <w:tcW w:w="2143" w:type="pct"/>
                  <w:gridSpan w:val="5"/>
                  <w:noWrap w:val="0"/>
                  <w:vAlign w:val="center"/>
                </w:tcPr>
                <w:p w14:paraId="221C01E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pacing w:val="11"/>
                      <w:sz w:val="21"/>
                      <w:szCs w:val="21"/>
                      <w:highlight w:val="none"/>
                      <w:lang w:val="en-US" w:eastAsia="zh-CN"/>
                    </w:rPr>
                  </w:pPr>
                  <w:r>
                    <w:rPr>
                      <w:rFonts w:hint="eastAsia" w:eastAsia="宋体" w:cs="Times New Roman"/>
                      <w:color w:val="auto"/>
                      <w:spacing w:val="11"/>
                      <w:sz w:val="21"/>
                      <w:szCs w:val="21"/>
                      <w:highlight w:val="none"/>
                      <w:lang w:val="en-US" w:eastAsia="zh-CN"/>
                    </w:rPr>
                    <w:t>69.6</w:t>
                  </w:r>
                </w:p>
              </w:tc>
            </w:tr>
            <w:tr w14:paraId="5966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36" w:type="pct"/>
                  <w:gridSpan w:val="2"/>
                  <w:noWrap w:val="0"/>
                  <w:vAlign w:val="center"/>
                </w:tcPr>
                <w:p w14:paraId="3915779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65" w:type="pct"/>
                  <w:noWrap w:val="0"/>
                  <w:vAlign w:val="center"/>
                </w:tcPr>
                <w:p w14:paraId="632010E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315" w:type="pct"/>
                  <w:noWrap w:val="0"/>
                  <w:vAlign w:val="center"/>
                </w:tcPr>
                <w:p w14:paraId="4A29838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315" w:type="pct"/>
                  <w:noWrap w:val="0"/>
                  <w:vAlign w:val="center"/>
                </w:tcPr>
                <w:p w14:paraId="6086579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315" w:type="pct"/>
                  <w:noWrap w:val="0"/>
                  <w:vAlign w:val="center"/>
                </w:tcPr>
                <w:p w14:paraId="1723611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315" w:type="pct"/>
                  <w:noWrap w:val="0"/>
                  <w:vAlign w:val="center"/>
                </w:tcPr>
                <w:p w14:paraId="7057BD36">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390" w:type="pct"/>
                  <w:noWrap w:val="0"/>
                  <w:vAlign w:val="center"/>
                </w:tcPr>
                <w:p w14:paraId="4A07B89D">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c>
                <w:tcPr>
                  <w:tcW w:w="279" w:type="pct"/>
                  <w:noWrap w:val="0"/>
                  <w:vAlign w:val="center"/>
                </w:tcPr>
                <w:p w14:paraId="4666EB5D">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427" w:type="pct"/>
                  <w:noWrap w:val="0"/>
                  <w:vAlign w:val="center"/>
                </w:tcPr>
                <w:p w14:paraId="610788E0">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445" w:type="pct"/>
                  <w:noWrap w:val="0"/>
                  <w:vAlign w:val="center"/>
                </w:tcPr>
                <w:p w14:paraId="38ACB9EB">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488" w:type="pct"/>
                  <w:noWrap w:val="0"/>
                  <w:vAlign w:val="center"/>
                </w:tcPr>
                <w:p w14:paraId="026CFD2E">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氟化物</w:t>
                  </w:r>
                  <w:r>
                    <w:rPr>
                      <w:rFonts w:hint="eastAsia" w:ascii="Times New Roman" w:hAnsi="Times New Roman" w:eastAsia="宋体" w:cs="Times New Roman"/>
                      <w:color w:val="auto"/>
                      <w:sz w:val="21"/>
                      <w:szCs w:val="21"/>
                      <w:highlight w:val="none"/>
                      <w:lang w:val="en-US" w:eastAsia="zh-CN"/>
                    </w:rPr>
                    <w:t>（以F</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c>
                <w:tcPr>
                  <w:tcW w:w="502" w:type="pct"/>
                  <w:noWrap w:val="0"/>
                  <w:vAlign w:val="center"/>
                </w:tcPr>
                <w:p w14:paraId="7F02C1D9">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氯化物（以Cl</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r>
            <w:tr w14:paraId="7FDA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11E6B523">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365" w:type="pct"/>
                  <w:noWrap w:val="0"/>
                  <w:vAlign w:val="center"/>
                </w:tcPr>
                <w:p w14:paraId="3326CD92">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olor w:val="auto"/>
                      <w:szCs w:val="21"/>
                      <w:highlight w:val="none"/>
                      <w:lang w:val="en-US" w:eastAsia="zh-CN"/>
                    </w:rPr>
                    <w:t>0.144</w:t>
                  </w:r>
                </w:p>
              </w:tc>
              <w:tc>
                <w:tcPr>
                  <w:tcW w:w="315" w:type="pct"/>
                  <w:noWrap w:val="0"/>
                  <w:vAlign w:val="center"/>
                </w:tcPr>
                <w:p w14:paraId="7283E6A9">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color w:val="auto"/>
                      <w:kern w:val="0"/>
                      <w:szCs w:val="21"/>
                      <w:highlight w:val="none"/>
                      <w:lang w:val="en-US" w:eastAsia="zh-CN" w:bidi="ar"/>
                    </w:rPr>
                    <w:t>0.0580</w:t>
                  </w:r>
                </w:p>
              </w:tc>
              <w:tc>
                <w:tcPr>
                  <w:tcW w:w="315" w:type="pct"/>
                  <w:noWrap w:val="0"/>
                  <w:vAlign w:val="center"/>
                </w:tcPr>
                <w:p w14:paraId="4EB25EF9">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olor w:val="auto"/>
                      <w:szCs w:val="21"/>
                      <w:highlight w:val="none"/>
                      <w:lang w:val="en-US" w:eastAsia="zh-CN"/>
                    </w:rPr>
                    <w:t>0.054</w:t>
                  </w:r>
                </w:p>
              </w:tc>
              <w:tc>
                <w:tcPr>
                  <w:tcW w:w="315" w:type="pct"/>
                  <w:noWrap w:val="0"/>
                  <w:vAlign w:val="center"/>
                </w:tcPr>
                <w:p w14:paraId="0A432635">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ascii="Times New Roman" w:hAnsi="Times New Roman" w:eastAsia="宋体" w:cs="Times New Roman"/>
                      <w:color w:val="auto"/>
                      <w:kern w:val="0"/>
                      <w:szCs w:val="21"/>
                      <w:highlight w:val="none"/>
                      <w:lang w:val="en-US" w:eastAsia="zh-CN" w:bidi="ar"/>
                    </w:rPr>
                    <w:t>0.0392</w:t>
                  </w:r>
                </w:p>
              </w:tc>
              <w:tc>
                <w:tcPr>
                  <w:tcW w:w="315" w:type="pct"/>
                  <w:noWrap w:val="0"/>
                  <w:vAlign w:val="center"/>
                </w:tcPr>
                <w:p w14:paraId="398680BC">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olor w:val="auto"/>
                      <w:szCs w:val="21"/>
                      <w:highlight w:val="none"/>
                      <w:lang w:val="en-US" w:eastAsia="zh-CN"/>
                    </w:rPr>
                    <w:t>0.0029</w:t>
                  </w:r>
                </w:p>
              </w:tc>
              <w:tc>
                <w:tcPr>
                  <w:tcW w:w="390" w:type="pct"/>
                  <w:noWrap w:val="0"/>
                  <w:vAlign w:val="center"/>
                </w:tcPr>
                <w:p w14:paraId="282FEB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eastAsia"/>
                      <w:color w:val="auto"/>
                      <w:szCs w:val="21"/>
                      <w:highlight w:val="none"/>
                      <w:lang w:val="en-US" w:eastAsia="zh-CN"/>
                    </w:rPr>
                    <w:t>0.0108</w:t>
                  </w:r>
                </w:p>
              </w:tc>
              <w:tc>
                <w:tcPr>
                  <w:tcW w:w="279" w:type="pct"/>
                  <w:noWrap w:val="0"/>
                  <w:vAlign w:val="center"/>
                </w:tcPr>
                <w:p w14:paraId="32C668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27" w:type="pct"/>
                  <w:noWrap w:val="0"/>
                  <w:vAlign w:val="center"/>
                </w:tcPr>
                <w:p w14:paraId="1F59A6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0.0278</w:t>
                  </w:r>
                </w:p>
              </w:tc>
              <w:tc>
                <w:tcPr>
                  <w:tcW w:w="445" w:type="pct"/>
                  <w:noWrap w:val="0"/>
                  <w:vAlign w:val="center"/>
                </w:tcPr>
                <w:p w14:paraId="15998F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eastAsia" w:eastAsia="宋体" w:cs="Times New Roman"/>
                      <w:i w:val="0"/>
                      <w:iCs w:val="0"/>
                      <w:color w:val="auto"/>
                      <w:kern w:val="0"/>
                      <w:sz w:val="21"/>
                      <w:szCs w:val="21"/>
                      <w:highlight w:val="none"/>
                      <w:u w:val="none"/>
                      <w:lang w:val="en-US" w:eastAsia="zh-CN" w:bidi="ar"/>
                    </w:rPr>
                    <w:t>0.0348</w:t>
                  </w:r>
                </w:p>
              </w:tc>
              <w:tc>
                <w:tcPr>
                  <w:tcW w:w="488" w:type="pct"/>
                  <w:noWrap w:val="0"/>
                  <w:vAlign w:val="center"/>
                </w:tcPr>
                <w:p w14:paraId="364A71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eastAsia" w:eastAsia="宋体" w:cs="Times New Roman"/>
                      <w:i w:val="0"/>
                      <w:iCs w:val="0"/>
                      <w:color w:val="auto"/>
                      <w:kern w:val="0"/>
                      <w:sz w:val="21"/>
                      <w:szCs w:val="21"/>
                      <w:highlight w:val="none"/>
                      <w:u w:val="none"/>
                      <w:lang w:val="en-US" w:eastAsia="zh-CN" w:bidi="ar"/>
                    </w:rPr>
                    <w:t>0.0070</w:t>
                  </w:r>
                </w:p>
              </w:tc>
              <w:tc>
                <w:tcPr>
                  <w:tcW w:w="502" w:type="pct"/>
                  <w:noWrap w:val="0"/>
                  <w:vAlign w:val="center"/>
                </w:tcPr>
                <w:p w14:paraId="0BC96D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eastAsia" w:eastAsia="宋体" w:cs="Times New Roman"/>
                      <w:i w:val="0"/>
                      <w:iCs w:val="0"/>
                      <w:color w:val="auto"/>
                      <w:kern w:val="0"/>
                      <w:sz w:val="21"/>
                      <w:szCs w:val="21"/>
                      <w:highlight w:val="none"/>
                      <w:u w:val="none"/>
                      <w:lang w:val="en-US" w:eastAsia="zh-CN" w:bidi="ar"/>
                    </w:rPr>
                    <w:t>0.0343</w:t>
                  </w:r>
                </w:p>
              </w:tc>
            </w:tr>
            <w:tr w14:paraId="3550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35ED31B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65" w:type="pct"/>
                  <w:noWrap w:val="0"/>
                  <w:vAlign w:val="center"/>
                </w:tcPr>
                <w:p w14:paraId="1CCBF00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400</w:t>
                  </w:r>
                </w:p>
              </w:tc>
              <w:tc>
                <w:tcPr>
                  <w:tcW w:w="315" w:type="pct"/>
                  <w:noWrap w:val="0"/>
                  <w:vAlign w:val="center"/>
                </w:tcPr>
                <w:p w14:paraId="17481F9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161</w:t>
                  </w:r>
                </w:p>
              </w:tc>
              <w:tc>
                <w:tcPr>
                  <w:tcW w:w="315" w:type="pct"/>
                  <w:noWrap w:val="0"/>
                  <w:vAlign w:val="center"/>
                </w:tcPr>
                <w:p w14:paraId="0C57C57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150</w:t>
                  </w:r>
                </w:p>
              </w:tc>
              <w:tc>
                <w:tcPr>
                  <w:tcW w:w="315" w:type="pct"/>
                  <w:noWrap w:val="0"/>
                  <w:vAlign w:val="center"/>
                </w:tcPr>
                <w:p w14:paraId="7B93D3F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109</w:t>
                  </w:r>
                </w:p>
              </w:tc>
              <w:tc>
                <w:tcPr>
                  <w:tcW w:w="315" w:type="pct"/>
                  <w:noWrap w:val="0"/>
                  <w:vAlign w:val="center"/>
                </w:tcPr>
                <w:p w14:paraId="21EAEE3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p>
              </w:tc>
              <w:tc>
                <w:tcPr>
                  <w:tcW w:w="390" w:type="pct"/>
                  <w:noWrap w:val="0"/>
                  <w:vAlign w:val="center"/>
                </w:tcPr>
                <w:p w14:paraId="2F516096">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30</w:t>
                  </w:r>
                </w:p>
              </w:tc>
              <w:tc>
                <w:tcPr>
                  <w:tcW w:w="279" w:type="pct"/>
                  <w:noWrap w:val="0"/>
                  <w:vAlign w:val="center"/>
                </w:tcPr>
                <w:p w14:paraId="74851328">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6</w:t>
                  </w:r>
                </w:p>
              </w:tc>
              <w:tc>
                <w:tcPr>
                  <w:tcW w:w="427" w:type="pct"/>
                  <w:noWrap w:val="0"/>
                  <w:vAlign w:val="center"/>
                </w:tcPr>
                <w:p w14:paraId="436969FC">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sz w:val="21"/>
                      <w:szCs w:val="21"/>
                      <w:highlight w:val="none"/>
                      <w:vertAlign w:val="baseline"/>
                      <w:lang w:val="en-US" w:eastAsia="zh-CN"/>
                    </w:rPr>
                    <w:t>400</w:t>
                  </w:r>
                </w:p>
              </w:tc>
              <w:tc>
                <w:tcPr>
                  <w:tcW w:w="445" w:type="pct"/>
                  <w:noWrap w:val="0"/>
                  <w:vAlign w:val="center"/>
                </w:tcPr>
                <w:p w14:paraId="49756A3B">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500</w:t>
                  </w:r>
                </w:p>
              </w:tc>
              <w:tc>
                <w:tcPr>
                  <w:tcW w:w="488" w:type="pct"/>
                  <w:noWrap w:val="0"/>
                  <w:vAlign w:val="center"/>
                </w:tcPr>
                <w:p w14:paraId="1C73FDCD">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100</w:t>
                  </w:r>
                </w:p>
              </w:tc>
              <w:tc>
                <w:tcPr>
                  <w:tcW w:w="502" w:type="pct"/>
                  <w:noWrap w:val="0"/>
                  <w:vAlign w:val="center"/>
                </w:tcPr>
                <w:p w14:paraId="34EF4741">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493</w:t>
                  </w:r>
                </w:p>
              </w:tc>
            </w:tr>
            <w:tr w14:paraId="358A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22F9AE6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019" w:type="pct"/>
                  <w:gridSpan w:val="6"/>
                  <w:noWrap w:val="0"/>
                  <w:vAlign w:val="center"/>
                </w:tcPr>
                <w:p w14:paraId="5B229F6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2143" w:type="pct"/>
                  <w:gridSpan w:val="5"/>
                  <w:noWrap w:val="0"/>
                  <w:vAlign w:val="center"/>
                </w:tcPr>
                <w:p w14:paraId="66E49D5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不外排</w:t>
                  </w:r>
                </w:p>
              </w:tc>
            </w:tr>
            <w:tr w14:paraId="630E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restart"/>
                  <w:noWrap w:val="0"/>
                  <w:vAlign w:val="center"/>
                </w:tcPr>
                <w:p w14:paraId="38C75E3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584" w:type="pct"/>
                  <w:noWrap w:val="0"/>
                  <w:vAlign w:val="center"/>
                </w:tcPr>
                <w:p w14:paraId="569FB4B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019" w:type="pct"/>
                  <w:gridSpan w:val="6"/>
                  <w:noWrap w:val="0"/>
                  <w:vAlign w:val="center"/>
                </w:tcPr>
                <w:p w14:paraId="1A2C16F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2143" w:type="pct"/>
                  <w:gridSpan w:val="5"/>
                  <w:noWrap w:val="0"/>
                  <w:vAlign w:val="center"/>
                </w:tcPr>
                <w:p w14:paraId="4D5ECD4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14:paraId="655C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continue"/>
                  <w:noWrap w:val="0"/>
                  <w:vAlign w:val="center"/>
                </w:tcPr>
                <w:p w14:paraId="5CBE360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84" w:type="pct"/>
                  <w:noWrap w:val="0"/>
                  <w:vAlign w:val="center"/>
                </w:tcPr>
                <w:p w14:paraId="0B4E647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019" w:type="pct"/>
                  <w:gridSpan w:val="6"/>
                  <w:noWrap w:val="0"/>
                  <w:vAlign w:val="center"/>
                </w:tcPr>
                <w:p w14:paraId="1275B01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2143" w:type="pct"/>
                  <w:gridSpan w:val="5"/>
                  <w:noWrap w:val="0"/>
                  <w:vAlign w:val="center"/>
                </w:tcPr>
                <w:p w14:paraId="4A40EEE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14:paraId="17B9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continue"/>
                  <w:noWrap w:val="0"/>
                  <w:vAlign w:val="center"/>
                </w:tcPr>
                <w:p w14:paraId="56F9DEE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84" w:type="pct"/>
                  <w:noWrap w:val="0"/>
                  <w:vAlign w:val="center"/>
                </w:tcPr>
                <w:p w14:paraId="25C4AD8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019" w:type="pct"/>
                  <w:gridSpan w:val="6"/>
                  <w:noWrap w:val="0"/>
                  <w:vAlign w:val="center"/>
                </w:tcPr>
                <w:p w14:paraId="39B852C4">
                  <w:pPr>
                    <w:pStyle w:val="11"/>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隔油池+化粪池+一体化</w:t>
                  </w:r>
                  <w:r>
                    <w:rPr>
                      <w:rFonts w:hint="eastAsia" w:cs="Times New Roman"/>
                      <w:color w:val="auto"/>
                      <w:sz w:val="21"/>
                      <w:szCs w:val="21"/>
                      <w:highlight w:val="none"/>
                      <w:lang w:val="en-US" w:eastAsia="zh-CN"/>
                    </w:rPr>
                    <w:t>生活</w:t>
                  </w:r>
                  <w:r>
                    <w:rPr>
                      <w:rFonts w:hint="default" w:ascii="Times New Roman" w:hAnsi="Times New Roman" w:eastAsia="宋体" w:cs="Times New Roman"/>
                      <w:color w:val="auto"/>
                      <w:sz w:val="21"/>
                      <w:szCs w:val="21"/>
                      <w:highlight w:val="none"/>
                      <w:lang w:val="en-US" w:eastAsia="zh-CN"/>
                    </w:rPr>
                    <w:t>污水处理设备</w:t>
                  </w:r>
                  <w:r>
                    <w:rPr>
                      <w:rFonts w:hint="eastAsia" w:ascii="Times New Roman" w:hAnsi="Times New Roman" w:cs="Times New Roman"/>
                      <w:color w:val="auto"/>
                      <w:sz w:val="21"/>
                      <w:szCs w:val="21"/>
                      <w:highlight w:val="none"/>
                      <w:lang w:val="en-US" w:eastAsia="zh-CN"/>
                    </w:rPr>
                    <w:t>（MBR膜生物反应）</w:t>
                  </w:r>
                </w:p>
              </w:tc>
              <w:tc>
                <w:tcPr>
                  <w:tcW w:w="2143" w:type="pct"/>
                  <w:gridSpan w:val="5"/>
                  <w:noWrap w:val="0"/>
                  <w:vAlign w:val="center"/>
                </w:tcPr>
                <w:p w14:paraId="0CBF3442">
                  <w:pPr>
                    <w:pStyle w:val="11"/>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sz w:val="21"/>
                      <w:szCs w:val="21"/>
                      <w:highlight w:val="none"/>
                      <w:lang w:val="en-US" w:eastAsia="zh-CN"/>
                    </w:rPr>
                    <w:t>处理</w:t>
                  </w:r>
                  <w:r>
                    <w:rPr>
                      <w:rFonts w:hint="eastAsia" w:ascii="Times New Roman" w:hAnsi="Times New Roman" w:eastAsia="宋体" w:cs="Times New Roman"/>
                      <w:color w:val="auto"/>
                      <w:sz w:val="21"/>
                      <w:szCs w:val="21"/>
                      <w:highlight w:val="none"/>
                      <w:lang w:val="en-US" w:eastAsia="zh-CN"/>
                    </w:rPr>
                    <w:t>设施</w:t>
                  </w:r>
                  <w:r>
                    <w:rPr>
                      <w:rFonts w:hint="eastAsia" w:eastAsia="宋体" w:cs="Times New Roman"/>
                      <w:color w:val="auto"/>
                      <w:sz w:val="21"/>
                      <w:szCs w:val="21"/>
                      <w:highlight w:val="none"/>
                      <w:lang w:val="en-US" w:eastAsia="zh-CN"/>
                    </w:rPr>
                    <w:t>（调节池+</w:t>
                  </w:r>
                  <w:r>
                    <w:rPr>
                      <w:rFonts w:hint="eastAsia" w:cs="Times New Roman"/>
                      <w:color w:val="auto"/>
                      <w:sz w:val="21"/>
                      <w:szCs w:val="21"/>
                      <w:highlight w:val="none"/>
                      <w:lang w:val="en-US" w:eastAsia="zh-CN"/>
                    </w:rPr>
                    <w:t>混凝</w:t>
                  </w:r>
                  <w:r>
                    <w:rPr>
                      <w:rFonts w:hint="eastAsia" w:eastAsia="宋体" w:cs="Times New Roman"/>
                      <w:color w:val="auto"/>
                      <w:sz w:val="21"/>
                      <w:szCs w:val="21"/>
                      <w:highlight w:val="none"/>
                      <w:lang w:val="en-US" w:eastAsia="zh-CN"/>
                    </w:rPr>
                    <w:t>沉淀+过滤）</w:t>
                  </w:r>
                </w:p>
              </w:tc>
            </w:tr>
            <w:tr w14:paraId="1139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continue"/>
                  <w:noWrap w:val="0"/>
                  <w:vAlign w:val="center"/>
                </w:tcPr>
                <w:p w14:paraId="40208A2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84" w:type="pct"/>
                  <w:noWrap w:val="0"/>
                  <w:vAlign w:val="center"/>
                </w:tcPr>
                <w:p w14:paraId="3073BE2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365" w:type="pct"/>
                  <w:noWrap w:val="0"/>
                  <w:vAlign w:val="center"/>
                </w:tcPr>
                <w:p w14:paraId="27E1BD2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92</w:t>
                  </w:r>
                </w:p>
              </w:tc>
              <w:tc>
                <w:tcPr>
                  <w:tcW w:w="315" w:type="pct"/>
                  <w:noWrap w:val="0"/>
                  <w:vAlign w:val="center"/>
                </w:tcPr>
                <w:p w14:paraId="3943BA4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i w:val="0"/>
                      <w:iCs w:val="0"/>
                      <w:color w:val="auto"/>
                      <w:kern w:val="0"/>
                      <w:sz w:val="21"/>
                      <w:szCs w:val="21"/>
                      <w:highlight w:val="none"/>
                      <w:u w:val="none"/>
                      <w:lang w:val="en-US" w:eastAsia="zh-CN" w:bidi="ar"/>
                    </w:rPr>
                    <w:t>94.2</w:t>
                  </w:r>
                </w:p>
              </w:tc>
              <w:tc>
                <w:tcPr>
                  <w:tcW w:w="315" w:type="pct"/>
                  <w:noWrap w:val="0"/>
                  <w:vAlign w:val="center"/>
                </w:tcPr>
                <w:p w14:paraId="6066EA5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i w:val="0"/>
                      <w:iCs w:val="0"/>
                      <w:color w:val="auto"/>
                      <w:kern w:val="0"/>
                      <w:sz w:val="21"/>
                      <w:szCs w:val="21"/>
                      <w:highlight w:val="none"/>
                      <w:u w:val="none"/>
                      <w:lang w:val="en-US" w:eastAsia="zh-CN" w:bidi="ar"/>
                    </w:rPr>
                    <w:t>88</w:t>
                  </w:r>
                </w:p>
              </w:tc>
              <w:tc>
                <w:tcPr>
                  <w:tcW w:w="315" w:type="pct"/>
                  <w:noWrap w:val="0"/>
                  <w:vAlign w:val="center"/>
                </w:tcPr>
                <w:p w14:paraId="192C567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i w:val="0"/>
                      <w:iCs w:val="0"/>
                      <w:color w:val="auto"/>
                      <w:kern w:val="0"/>
                      <w:sz w:val="21"/>
                      <w:szCs w:val="21"/>
                      <w:highlight w:val="none"/>
                      <w:u w:val="none"/>
                      <w:lang w:val="en-US" w:eastAsia="zh-CN" w:bidi="ar"/>
                    </w:rPr>
                    <w:t>93.2</w:t>
                  </w:r>
                </w:p>
              </w:tc>
              <w:tc>
                <w:tcPr>
                  <w:tcW w:w="315" w:type="pct"/>
                  <w:noWrap w:val="0"/>
                  <w:vAlign w:val="center"/>
                </w:tcPr>
                <w:p w14:paraId="572E470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i w:val="0"/>
                      <w:iCs w:val="0"/>
                      <w:color w:val="auto"/>
                      <w:kern w:val="0"/>
                      <w:sz w:val="21"/>
                      <w:szCs w:val="21"/>
                      <w:highlight w:val="none"/>
                      <w:u w:val="none"/>
                      <w:lang w:val="en-US" w:eastAsia="zh-CN" w:bidi="ar"/>
                    </w:rPr>
                    <w:t>50</w:t>
                  </w:r>
                </w:p>
              </w:tc>
              <w:tc>
                <w:tcPr>
                  <w:tcW w:w="390" w:type="pct"/>
                  <w:noWrap w:val="0"/>
                  <w:vAlign w:val="center"/>
                </w:tcPr>
                <w:p w14:paraId="5ADC3DD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w:t>
                  </w:r>
                </w:p>
              </w:tc>
              <w:tc>
                <w:tcPr>
                  <w:tcW w:w="279" w:type="pct"/>
                  <w:noWrap w:val="0"/>
                  <w:vAlign w:val="center"/>
                </w:tcPr>
                <w:p w14:paraId="7B793E1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27" w:type="pct"/>
                  <w:noWrap w:val="0"/>
                  <w:vAlign w:val="center"/>
                </w:tcPr>
                <w:p w14:paraId="2D427E5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67</w:t>
                  </w:r>
                </w:p>
              </w:tc>
              <w:tc>
                <w:tcPr>
                  <w:tcW w:w="445" w:type="pct"/>
                  <w:noWrap w:val="0"/>
                  <w:vAlign w:val="center"/>
                </w:tcPr>
                <w:p w14:paraId="61C8AF3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94.2</w:t>
                  </w:r>
                </w:p>
              </w:tc>
              <w:tc>
                <w:tcPr>
                  <w:tcW w:w="488" w:type="pct"/>
                  <w:noWrap w:val="0"/>
                  <w:vAlign w:val="center"/>
                </w:tcPr>
                <w:p w14:paraId="473BB4B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99.1</w:t>
                  </w:r>
                </w:p>
              </w:tc>
              <w:tc>
                <w:tcPr>
                  <w:tcW w:w="502" w:type="pct"/>
                  <w:noWrap w:val="0"/>
                  <w:vAlign w:val="center"/>
                </w:tcPr>
                <w:p w14:paraId="00DC984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70.4</w:t>
                  </w:r>
                </w:p>
              </w:tc>
            </w:tr>
            <w:tr w14:paraId="6E6A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continue"/>
                  <w:noWrap w:val="0"/>
                  <w:vAlign w:val="center"/>
                </w:tcPr>
                <w:p w14:paraId="20180A6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84" w:type="pct"/>
                  <w:noWrap w:val="0"/>
                  <w:vAlign w:val="center"/>
                </w:tcPr>
                <w:p w14:paraId="2DC0CED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4163" w:type="pct"/>
                  <w:gridSpan w:val="11"/>
                  <w:noWrap w:val="0"/>
                  <w:vAlign w:val="center"/>
                </w:tcPr>
                <w:p w14:paraId="3B0F95D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14:paraId="0A68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62B59A38">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365" w:type="pct"/>
                  <w:noWrap w:val="0"/>
                  <w:vAlign w:val="center"/>
                </w:tcPr>
                <w:p w14:paraId="63E06449">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szCs w:val="21"/>
                      <w:highlight w:val="none"/>
                      <w:lang w:val="en-US" w:eastAsia="zh-CN"/>
                    </w:rPr>
                    <w:t>0.0115</w:t>
                  </w:r>
                </w:p>
              </w:tc>
              <w:tc>
                <w:tcPr>
                  <w:tcW w:w="315" w:type="pct"/>
                  <w:noWrap w:val="0"/>
                  <w:vAlign w:val="center"/>
                </w:tcPr>
                <w:p w14:paraId="5007C468">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color w:val="auto"/>
                      <w:kern w:val="0"/>
                      <w:szCs w:val="21"/>
                      <w:highlight w:val="none"/>
                      <w:lang w:val="en-US" w:eastAsia="zh-CN" w:bidi="ar"/>
                    </w:rPr>
                    <w:t>0.0034</w:t>
                  </w:r>
                </w:p>
              </w:tc>
              <w:tc>
                <w:tcPr>
                  <w:tcW w:w="315" w:type="pct"/>
                  <w:noWrap w:val="0"/>
                  <w:vAlign w:val="center"/>
                </w:tcPr>
                <w:p w14:paraId="6E7A0C2D">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szCs w:val="21"/>
                      <w:highlight w:val="none"/>
                      <w:lang w:val="en-US" w:eastAsia="zh-CN"/>
                    </w:rPr>
                    <w:t>0.0065</w:t>
                  </w:r>
                </w:p>
              </w:tc>
              <w:tc>
                <w:tcPr>
                  <w:tcW w:w="315" w:type="pct"/>
                  <w:noWrap w:val="0"/>
                  <w:vAlign w:val="center"/>
                </w:tcPr>
                <w:p w14:paraId="2CEED6CF">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color w:val="auto"/>
                      <w:kern w:val="0"/>
                      <w:szCs w:val="21"/>
                      <w:highlight w:val="none"/>
                      <w:lang w:val="en-US" w:eastAsia="zh-CN" w:bidi="ar"/>
                    </w:rPr>
                    <w:t>0.0027</w:t>
                  </w:r>
                </w:p>
              </w:tc>
              <w:tc>
                <w:tcPr>
                  <w:tcW w:w="315" w:type="pct"/>
                  <w:noWrap w:val="0"/>
                  <w:vAlign w:val="center"/>
                </w:tcPr>
                <w:p w14:paraId="4FFC79BF">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szCs w:val="21"/>
                      <w:highlight w:val="none"/>
                      <w:lang w:val="en-US" w:eastAsia="zh-CN"/>
                    </w:rPr>
                    <w:t>0.0014</w:t>
                  </w:r>
                </w:p>
              </w:tc>
              <w:tc>
                <w:tcPr>
                  <w:tcW w:w="390" w:type="pct"/>
                  <w:noWrap w:val="0"/>
                  <w:vAlign w:val="center"/>
                </w:tcPr>
                <w:p w14:paraId="32153A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0.0022</w:t>
                  </w:r>
                </w:p>
              </w:tc>
              <w:tc>
                <w:tcPr>
                  <w:tcW w:w="279" w:type="pct"/>
                  <w:noWrap w:val="0"/>
                  <w:vAlign w:val="center"/>
                </w:tcPr>
                <w:p w14:paraId="5E3DA6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27" w:type="pct"/>
                  <w:noWrap w:val="0"/>
                  <w:vAlign w:val="center"/>
                </w:tcPr>
                <w:p w14:paraId="62002E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0.0092</w:t>
                  </w:r>
                </w:p>
              </w:tc>
              <w:tc>
                <w:tcPr>
                  <w:tcW w:w="445" w:type="pct"/>
                  <w:noWrap w:val="0"/>
                  <w:vAlign w:val="center"/>
                </w:tcPr>
                <w:p w14:paraId="18722C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eastAsia="宋体" w:cs="Times New Roman"/>
                      <w:i w:val="0"/>
                      <w:iCs w:val="0"/>
                      <w:color w:val="auto"/>
                      <w:kern w:val="0"/>
                      <w:sz w:val="21"/>
                      <w:szCs w:val="21"/>
                      <w:highlight w:val="none"/>
                      <w:u w:val="none"/>
                      <w:lang w:val="en-US" w:eastAsia="zh-CN" w:bidi="ar"/>
                    </w:rPr>
                    <w:t>20</w:t>
                  </w:r>
                </w:p>
              </w:tc>
              <w:tc>
                <w:tcPr>
                  <w:tcW w:w="488" w:type="pct"/>
                  <w:noWrap w:val="0"/>
                  <w:vAlign w:val="center"/>
                </w:tcPr>
                <w:p w14:paraId="6C8E0F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eastAsia="宋体" w:cs="Times New Roman"/>
                      <w:i w:val="0"/>
                      <w:iCs w:val="0"/>
                      <w:color w:val="auto"/>
                      <w:kern w:val="0"/>
                      <w:sz w:val="21"/>
                      <w:szCs w:val="21"/>
                      <w:highlight w:val="none"/>
                      <w:u w:val="none"/>
                      <w:lang w:val="en-US" w:eastAsia="zh-CN" w:bidi="ar"/>
                    </w:rPr>
                    <w:t>05</w:t>
                  </w:r>
                </w:p>
              </w:tc>
              <w:tc>
                <w:tcPr>
                  <w:tcW w:w="502" w:type="pct"/>
                  <w:noWrap w:val="0"/>
                  <w:vAlign w:val="center"/>
                </w:tcPr>
                <w:p w14:paraId="50E2D3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0.0102</w:t>
                  </w:r>
                </w:p>
              </w:tc>
            </w:tr>
            <w:tr w14:paraId="6EEC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24AB95C3">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65" w:type="pct"/>
                  <w:noWrap w:val="0"/>
                  <w:vAlign w:val="center"/>
                </w:tcPr>
                <w:p w14:paraId="3F3A71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32</w:t>
                  </w:r>
                </w:p>
              </w:tc>
              <w:tc>
                <w:tcPr>
                  <w:tcW w:w="315" w:type="pct"/>
                  <w:noWrap w:val="0"/>
                  <w:vAlign w:val="center"/>
                </w:tcPr>
                <w:p w14:paraId="28BE75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9.4</w:t>
                  </w:r>
                </w:p>
              </w:tc>
              <w:tc>
                <w:tcPr>
                  <w:tcW w:w="315" w:type="pct"/>
                  <w:noWrap w:val="0"/>
                  <w:vAlign w:val="center"/>
                </w:tcPr>
                <w:p w14:paraId="0DD5FA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18</w:t>
                  </w:r>
                </w:p>
              </w:tc>
              <w:tc>
                <w:tcPr>
                  <w:tcW w:w="315" w:type="pct"/>
                  <w:noWrap w:val="0"/>
                  <w:vAlign w:val="center"/>
                </w:tcPr>
                <w:p w14:paraId="48C8DC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7.38</w:t>
                  </w:r>
                </w:p>
              </w:tc>
              <w:tc>
                <w:tcPr>
                  <w:tcW w:w="315" w:type="pct"/>
                  <w:noWrap w:val="0"/>
                  <w:vAlign w:val="center"/>
                </w:tcPr>
                <w:p w14:paraId="20636F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4</w:t>
                  </w:r>
                </w:p>
              </w:tc>
              <w:tc>
                <w:tcPr>
                  <w:tcW w:w="390" w:type="pct"/>
                  <w:noWrap w:val="0"/>
                  <w:vAlign w:val="center"/>
                </w:tcPr>
                <w:p w14:paraId="2AE859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6</w:t>
                  </w:r>
                </w:p>
              </w:tc>
              <w:tc>
                <w:tcPr>
                  <w:tcW w:w="279" w:type="pct"/>
                  <w:noWrap w:val="0"/>
                  <w:vAlign w:val="center"/>
                </w:tcPr>
                <w:p w14:paraId="772C1F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7.31</w:t>
                  </w:r>
                </w:p>
              </w:tc>
              <w:tc>
                <w:tcPr>
                  <w:tcW w:w="427" w:type="pct"/>
                  <w:noWrap w:val="0"/>
                  <w:vAlign w:val="center"/>
                </w:tcPr>
                <w:p w14:paraId="2299AB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132</w:t>
                  </w:r>
                </w:p>
              </w:tc>
              <w:tc>
                <w:tcPr>
                  <w:tcW w:w="445" w:type="pct"/>
                  <w:noWrap w:val="0"/>
                  <w:vAlign w:val="center"/>
                </w:tcPr>
                <w:p w14:paraId="7D2052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29</w:t>
                  </w:r>
                </w:p>
              </w:tc>
              <w:tc>
                <w:tcPr>
                  <w:tcW w:w="488" w:type="pct"/>
                  <w:noWrap w:val="0"/>
                  <w:vAlign w:val="center"/>
                </w:tcPr>
                <w:p w14:paraId="5449EB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0.909</w:t>
                  </w:r>
                </w:p>
              </w:tc>
              <w:tc>
                <w:tcPr>
                  <w:tcW w:w="502" w:type="pct"/>
                  <w:noWrap w:val="0"/>
                  <w:vAlign w:val="center"/>
                </w:tcPr>
                <w:p w14:paraId="16EF49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146</w:t>
                  </w:r>
                </w:p>
              </w:tc>
            </w:tr>
            <w:tr w14:paraId="5677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0211EA7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2019" w:type="pct"/>
                  <w:gridSpan w:val="6"/>
                  <w:noWrap w:val="0"/>
                  <w:vAlign w:val="center"/>
                </w:tcPr>
                <w:p w14:paraId="3BDA536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2143" w:type="pct"/>
                  <w:gridSpan w:val="5"/>
                  <w:noWrap w:val="0"/>
                  <w:vAlign w:val="center"/>
                </w:tcPr>
                <w:p w14:paraId="1E0B27CC">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14:paraId="222F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7919197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2019" w:type="pct"/>
                  <w:gridSpan w:val="6"/>
                  <w:noWrap w:val="0"/>
                  <w:vAlign w:val="center"/>
                </w:tcPr>
                <w:p w14:paraId="7622079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143" w:type="pct"/>
                  <w:gridSpan w:val="5"/>
                  <w:noWrap w:val="0"/>
                  <w:vAlign w:val="center"/>
                </w:tcPr>
                <w:p w14:paraId="559293FE">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784B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restart"/>
                  <w:noWrap w:val="0"/>
                  <w:vAlign w:val="center"/>
                </w:tcPr>
                <w:p w14:paraId="02B21CF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584" w:type="pct"/>
                  <w:noWrap w:val="0"/>
                  <w:vAlign w:val="center"/>
                </w:tcPr>
                <w:p w14:paraId="31544E6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2019" w:type="pct"/>
                  <w:gridSpan w:val="6"/>
                  <w:noWrap w:val="0"/>
                  <w:vAlign w:val="center"/>
                </w:tcPr>
                <w:p w14:paraId="537CE2D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c>
                <w:tcPr>
                  <w:tcW w:w="2143" w:type="pct"/>
                  <w:gridSpan w:val="5"/>
                  <w:noWrap w:val="0"/>
                  <w:vAlign w:val="center"/>
                </w:tcPr>
                <w:p w14:paraId="7B380B1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w:t>
                  </w:r>
                  <w:r>
                    <w:rPr>
                      <w:rFonts w:hint="eastAsia" w:ascii="Times New Roman" w:hAnsi="Times New Roman" w:eastAsia="宋体" w:cs="Times New Roman"/>
                      <w:b w:val="0"/>
                      <w:bCs/>
                      <w:color w:val="auto"/>
                      <w:spacing w:val="-10"/>
                      <w:sz w:val="21"/>
                      <w:szCs w:val="21"/>
                      <w:highlight w:val="none"/>
                      <w:vertAlign w:val="baseline"/>
                      <w:lang w:val="en-US" w:eastAsia="zh-CN"/>
                    </w:rPr>
                    <w:t>2</w:t>
                  </w:r>
                </w:p>
              </w:tc>
            </w:tr>
            <w:tr w14:paraId="315F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continue"/>
                  <w:noWrap w:val="0"/>
                  <w:vAlign w:val="center"/>
                </w:tcPr>
                <w:p w14:paraId="1E5D489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84" w:type="pct"/>
                  <w:noWrap w:val="0"/>
                  <w:vAlign w:val="center"/>
                </w:tcPr>
                <w:p w14:paraId="1A15DF2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019" w:type="pct"/>
                  <w:gridSpan w:val="6"/>
                  <w:noWrap w:val="0"/>
                  <w:vAlign w:val="center"/>
                </w:tcPr>
                <w:p w14:paraId="24B42E8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生活污水</w:t>
                  </w:r>
                </w:p>
              </w:tc>
              <w:tc>
                <w:tcPr>
                  <w:tcW w:w="2143" w:type="pct"/>
                  <w:gridSpan w:val="5"/>
                  <w:noWrap w:val="0"/>
                  <w:vAlign w:val="center"/>
                </w:tcPr>
                <w:p w14:paraId="381BE91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w:t>
                  </w:r>
                </w:p>
              </w:tc>
            </w:tr>
            <w:tr w14:paraId="5B6F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continue"/>
                  <w:noWrap w:val="0"/>
                  <w:vAlign w:val="center"/>
                </w:tcPr>
                <w:p w14:paraId="4DCB480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84" w:type="pct"/>
                  <w:noWrap w:val="0"/>
                  <w:vAlign w:val="center"/>
                </w:tcPr>
                <w:p w14:paraId="397582B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2019" w:type="pct"/>
                  <w:gridSpan w:val="6"/>
                  <w:noWrap w:val="0"/>
                  <w:vAlign w:val="center"/>
                </w:tcPr>
                <w:p w14:paraId="62EDF16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143" w:type="pct"/>
                  <w:gridSpan w:val="5"/>
                  <w:noWrap w:val="0"/>
                  <w:vAlign w:val="center"/>
                </w:tcPr>
                <w:p w14:paraId="3A09533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289F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pct"/>
                  <w:gridSpan w:val="2"/>
                  <w:noWrap w:val="0"/>
                  <w:vAlign w:val="center"/>
                </w:tcPr>
                <w:p w14:paraId="7AA599D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2019" w:type="pct"/>
                  <w:gridSpan w:val="6"/>
                  <w:noWrap w:val="0"/>
                  <w:vAlign w:val="center"/>
                </w:tcPr>
                <w:p w14:paraId="73E5874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城市杂用水水质》（GB/T18920-2020）中的城市绿化、道路清扫、消防、建筑施工标准</w:t>
                  </w:r>
                </w:p>
              </w:tc>
              <w:tc>
                <w:tcPr>
                  <w:tcW w:w="2143" w:type="pct"/>
                  <w:gridSpan w:val="5"/>
                  <w:noWrap w:val="0"/>
                  <w:vAlign w:val="center"/>
                </w:tcPr>
                <w:p w14:paraId="622F131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《城市污水再生利用 工业用水水质》（GB/T 19923-2005）中的洗涤用水标准</w:t>
                  </w:r>
                </w:p>
              </w:tc>
            </w:tr>
            <w:tr w14:paraId="19AD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restart"/>
                  <w:noWrap w:val="0"/>
                  <w:vAlign w:val="center"/>
                </w:tcPr>
                <w:p w14:paraId="3C3AD2F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584" w:type="pct"/>
                  <w:noWrap w:val="0"/>
                  <w:vAlign w:val="center"/>
                </w:tcPr>
                <w:p w14:paraId="0300C18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019" w:type="pct"/>
                  <w:gridSpan w:val="6"/>
                  <w:noWrap w:val="0"/>
                  <w:vAlign w:val="center"/>
                </w:tcPr>
                <w:p w14:paraId="75761F0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一体化生活</w:t>
                  </w:r>
                  <w:r>
                    <w:rPr>
                      <w:rFonts w:hint="default" w:ascii="Times New Roman" w:hAnsi="Times New Roman" w:eastAsia="宋体" w:cs="Times New Roman"/>
                      <w:b w:val="0"/>
                      <w:bCs/>
                      <w:color w:val="auto"/>
                      <w:spacing w:val="-10"/>
                      <w:sz w:val="21"/>
                      <w:szCs w:val="21"/>
                      <w:highlight w:val="none"/>
                      <w:vertAlign w:val="baseline"/>
                      <w:lang w:val="en-US" w:eastAsia="zh-CN"/>
                    </w:rPr>
                    <w:t>污水处理站出口</w:t>
                  </w:r>
                </w:p>
              </w:tc>
              <w:tc>
                <w:tcPr>
                  <w:tcW w:w="2143" w:type="pct"/>
                  <w:gridSpan w:val="5"/>
                  <w:noWrap w:val="0"/>
                  <w:vAlign w:val="center"/>
                </w:tcPr>
                <w:p w14:paraId="5754D76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生产废水处理设施出口</w:t>
                  </w:r>
                </w:p>
              </w:tc>
            </w:tr>
            <w:tr w14:paraId="5888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continue"/>
                  <w:noWrap w:val="0"/>
                  <w:vAlign w:val="center"/>
                </w:tcPr>
                <w:p w14:paraId="04DE4C4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84" w:type="pct"/>
                  <w:noWrap w:val="0"/>
                  <w:vAlign w:val="center"/>
                </w:tcPr>
                <w:p w14:paraId="00D4D6D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2019" w:type="pct"/>
                  <w:gridSpan w:val="6"/>
                  <w:noWrap w:val="0"/>
                  <w:vAlign w:val="center"/>
                </w:tcPr>
                <w:p w14:paraId="0B1B6FC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、SS、氨氮、总磷、动植物油</w:t>
                  </w:r>
                </w:p>
              </w:tc>
              <w:tc>
                <w:tcPr>
                  <w:tcW w:w="2143" w:type="pct"/>
                  <w:gridSpan w:val="5"/>
                  <w:noWrap w:val="0"/>
                  <w:vAlign w:val="center"/>
                </w:tcPr>
                <w:p w14:paraId="60C3E4A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pH、</w:t>
                  </w:r>
                  <w:r>
                    <w:rPr>
                      <w:rFonts w:hint="default" w:ascii="Times New Roman" w:hAnsi="Times New Roman" w:eastAsia="宋体" w:cs="Times New Roman"/>
                      <w:b w:val="0"/>
                      <w:bCs/>
                      <w:color w:val="auto"/>
                      <w:spacing w:val="-10"/>
                      <w:sz w:val="21"/>
                      <w:szCs w:val="21"/>
                      <w:highlight w:val="none"/>
                      <w:vertAlign w:val="baseline"/>
                      <w:lang w:val="en-US" w:eastAsia="zh-CN"/>
                    </w:rPr>
                    <w:t>COD、SS、</w:t>
                  </w:r>
                  <w:r>
                    <w:rPr>
                      <w:rFonts w:hint="eastAsia" w:ascii="Times New Roman" w:hAnsi="Times New Roman" w:eastAsia="宋体" w:cs="Times New Roman"/>
                      <w:i w:val="0"/>
                      <w:iCs w:val="0"/>
                      <w:color w:val="auto"/>
                      <w:kern w:val="0"/>
                      <w:sz w:val="21"/>
                      <w:szCs w:val="21"/>
                      <w:highlight w:val="none"/>
                      <w:u w:val="none"/>
                      <w:lang w:val="en-US" w:eastAsia="zh-CN" w:bidi="ar"/>
                    </w:rPr>
                    <w:t>氟化物</w:t>
                  </w:r>
                  <w:r>
                    <w:rPr>
                      <w:rFonts w:hint="eastAsia" w:ascii="Times New Roman" w:hAnsi="Times New Roman" w:eastAsia="宋体" w:cs="Times New Roman"/>
                      <w:color w:val="auto"/>
                      <w:sz w:val="21"/>
                      <w:szCs w:val="21"/>
                      <w:highlight w:val="none"/>
                      <w:lang w:val="en-US" w:eastAsia="zh-CN"/>
                    </w:rPr>
                    <w:t>（以F</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r>
                    <w:rPr>
                      <w:rFonts w:hint="eastAsia"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氯化物（以Cl</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r>
            <w:tr w14:paraId="14CF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2" w:type="pct"/>
                  <w:vMerge w:val="continue"/>
                  <w:noWrap w:val="0"/>
                  <w:vAlign w:val="center"/>
                </w:tcPr>
                <w:p w14:paraId="6AE20E7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584" w:type="pct"/>
                  <w:noWrap w:val="0"/>
                  <w:vAlign w:val="center"/>
                </w:tcPr>
                <w:p w14:paraId="5BA4A7A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4163" w:type="pct"/>
                  <w:gridSpan w:val="11"/>
                  <w:noWrap w:val="0"/>
                  <w:vAlign w:val="center"/>
                </w:tcPr>
                <w:p w14:paraId="3EDBD21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验收时监测一次，后根据国家相关技术规范进行</w:t>
                  </w:r>
                </w:p>
              </w:tc>
            </w:tr>
          </w:tbl>
          <w:p w14:paraId="5B2E9A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排水采用雨污分流的排水方式，项目区建筑物屋面及地面雨水经厂区雨水沟收集后排入园区雨水管网；</w:t>
            </w:r>
            <w:r>
              <w:rPr>
                <w:rFonts w:hint="default" w:ascii="Times New Roman" w:hAnsi="Times New Roman" w:eastAsia="宋体" w:cs="Times New Roman"/>
                <w:color w:val="auto"/>
                <w:sz w:val="24"/>
                <w:highlight w:val="none"/>
              </w:rPr>
              <w:t>生产过程</w:t>
            </w:r>
            <w:r>
              <w:rPr>
                <w:rFonts w:hint="eastAsia" w:cs="Times New Roman"/>
                <w:color w:val="auto"/>
                <w:sz w:val="24"/>
                <w:highlight w:val="none"/>
                <w:lang w:eastAsia="zh-CN"/>
              </w:rPr>
              <w:t>产生的弱酸清洗废液、预水洗废水、二次清洗废水、碱液喷淋洗涤废水</w:t>
            </w:r>
            <w:r>
              <w:rPr>
                <w:rFonts w:hint="eastAsia" w:cs="Times New Roman"/>
                <w:color w:val="auto"/>
                <w:sz w:val="24"/>
                <w:highlight w:val="none"/>
                <w:lang w:val="en-US" w:eastAsia="zh-CN"/>
              </w:rPr>
              <w:t>经收集后统一进入调节池、生产废水处理设施处理达《城市污水再生利用 工业用水水质》（GB/T 19923-2005）中的洗涤用水标准后回用于水洗补水，不外排</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食堂</w:t>
            </w:r>
            <w:r>
              <w:rPr>
                <w:rFonts w:hint="eastAsia" w:ascii="Times New Roman" w:hAnsi="Times New Roman" w:eastAsia="宋体" w:cs="Times New Roman"/>
                <w:color w:val="auto"/>
                <w:sz w:val="24"/>
                <w:highlight w:val="none"/>
                <w:lang w:val="en-US" w:eastAsia="zh-CN"/>
              </w:rPr>
              <w:t>含油</w:t>
            </w:r>
            <w:r>
              <w:rPr>
                <w:rFonts w:hint="default" w:ascii="Times New Roman" w:hAnsi="Times New Roman" w:eastAsia="宋体" w:cs="Times New Roman"/>
                <w:color w:val="auto"/>
                <w:sz w:val="24"/>
                <w:highlight w:val="none"/>
                <w:lang w:val="en-US" w:eastAsia="zh-CN"/>
              </w:rPr>
              <w:t>废水经隔油池处理后与</w:t>
            </w:r>
            <w:r>
              <w:rPr>
                <w:rFonts w:hint="eastAsia" w:ascii="Times New Roman" w:hAnsi="Times New Roman" w:eastAsia="宋体" w:cs="Times New Roman"/>
                <w:color w:val="auto"/>
                <w:sz w:val="24"/>
                <w:highlight w:val="none"/>
                <w:lang w:val="en-US" w:eastAsia="zh-CN"/>
              </w:rPr>
              <w:t>其他</w:t>
            </w:r>
            <w:r>
              <w:rPr>
                <w:rFonts w:hint="default" w:ascii="Times New Roman" w:hAnsi="Times New Roman" w:eastAsia="宋体" w:cs="Times New Roman"/>
                <w:color w:val="auto"/>
                <w:sz w:val="24"/>
                <w:highlight w:val="none"/>
                <w:lang w:val="en-US" w:eastAsia="zh-CN"/>
              </w:rPr>
              <w:t>生活污水</w:t>
            </w:r>
            <w:r>
              <w:rPr>
                <w:rFonts w:hint="eastAsia" w:ascii="Times New Roman" w:hAnsi="Times New Roman" w:eastAsia="宋体" w:cs="Times New Roman"/>
                <w:color w:val="auto"/>
                <w:sz w:val="24"/>
                <w:highlight w:val="none"/>
                <w:lang w:val="en-US" w:eastAsia="zh-CN"/>
              </w:rPr>
              <w:t>一并进入</w:t>
            </w:r>
            <w:r>
              <w:rPr>
                <w:rFonts w:hint="default" w:ascii="Times New Roman" w:hAnsi="Times New Roman" w:eastAsia="宋体" w:cs="Times New Roman"/>
                <w:color w:val="auto"/>
                <w:sz w:val="24"/>
                <w:highlight w:val="none"/>
                <w:lang w:val="en-US" w:eastAsia="zh-CN"/>
              </w:rPr>
              <w:t>化粪池预处理后，再进入</w:t>
            </w:r>
            <w:r>
              <w:rPr>
                <w:rFonts w:hint="eastAsia" w:ascii="Times New Roman" w:hAnsi="Times New Roman" w:eastAsia="宋体" w:cs="Times New Roman"/>
                <w:color w:val="auto"/>
                <w:sz w:val="24"/>
                <w:highlight w:val="none"/>
                <w:lang w:val="en-US" w:eastAsia="zh-CN"/>
              </w:rPr>
              <w:t>生活</w:t>
            </w:r>
            <w:r>
              <w:rPr>
                <w:rFonts w:hint="default" w:ascii="Times New Roman" w:hAnsi="Times New Roman" w:eastAsia="宋体" w:cs="Times New Roman"/>
                <w:color w:val="auto"/>
                <w:sz w:val="24"/>
                <w:highlight w:val="none"/>
                <w:lang w:val="en-US" w:eastAsia="zh-CN"/>
              </w:rPr>
              <w:t>污水处理</w:t>
            </w:r>
            <w:r>
              <w:rPr>
                <w:rFonts w:hint="eastAsia"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lang w:val="en-US" w:eastAsia="zh-CN"/>
              </w:rPr>
              <w:t>处理</w:t>
            </w:r>
            <w:r>
              <w:rPr>
                <w:rFonts w:hint="eastAsia" w:ascii="Times New Roman" w:hAnsi="Times New Roman" w:eastAsia="宋体" w:cs="Times New Roman"/>
                <w:color w:val="auto"/>
                <w:sz w:val="24"/>
                <w:highlight w:val="none"/>
                <w:lang w:val="en-US" w:eastAsia="zh-CN"/>
              </w:rPr>
              <w:t>达《城市污水再生利用 城市杂用水水质》</w:t>
            </w:r>
            <w:r>
              <w:rPr>
                <w:rFonts w:hint="default" w:ascii="Times New Roman" w:hAnsi="Times New Roman" w:eastAsia="宋体" w:cs="Times New Roman"/>
                <w:color w:val="auto"/>
                <w:sz w:val="24"/>
                <w:highlight w:val="none"/>
                <w:lang w:val="en-US" w:eastAsia="zh-CN"/>
              </w:rPr>
              <w:t>（GB/T18920-2020）</w:t>
            </w:r>
            <w:r>
              <w:rPr>
                <w:rFonts w:hint="eastAsia" w:ascii="Times New Roman" w:hAnsi="Times New Roman" w:eastAsia="宋体" w:cs="Times New Roman"/>
                <w:color w:val="auto"/>
                <w:sz w:val="24"/>
                <w:highlight w:val="none"/>
                <w:lang w:val="en-US" w:eastAsia="zh-CN"/>
              </w:rPr>
              <w:t>中城市绿化、道路广场浇洒、消防、建筑施工标准后</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回用于项目区绿化和道路广场浇洒，不外排。</w:t>
            </w:r>
          </w:p>
          <w:p w14:paraId="6916230B">
            <w:pPr>
              <w:pStyle w:val="5"/>
              <w:adjustRightInd w:val="0"/>
              <w:snapToGrid w:val="0"/>
              <w:spacing w:line="360" w:lineRule="auto"/>
              <w:ind w:firstLine="480"/>
              <w:rPr>
                <w:rFonts w:hint="eastAsia"/>
                <w:bCs/>
                <w:color w:val="auto"/>
                <w:sz w:val="24"/>
                <w:highlight w:val="none"/>
              </w:rPr>
            </w:pPr>
            <w:r>
              <w:rPr>
                <w:rFonts w:hint="default" w:ascii="Times New Roman" w:hAnsi="Times New Roman" w:eastAsia="宋体" w:cs="Times New Roman"/>
                <w:color w:val="auto"/>
                <w:sz w:val="24"/>
                <w:highlight w:val="none"/>
                <w:lang w:val="en-US" w:eastAsia="zh-CN"/>
              </w:rPr>
              <w:t>根据水平衡可知，本项目运营期</w:t>
            </w:r>
            <w:r>
              <w:rPr>
                <w:rFonts w:hint="eastAsia" w:cs="Times New Roman"/>
                <w:color w:val="auto"/>
                <w:sz w:val="24"/>
                <w:highlight w:val="none"/>
                <w:lang w:val="en-US" w:eastAsia="zh-CN"/>
              </w:rPr>
              <w:t>废水产生量为1.432</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color w:val="auto"/>
                <w:sz w:val="24"/>
                <w:szCs w:val="24"/>
                <w:highlight w:val="none"/>
                <w:lang w:val="en-US" w:eastAsia="zh-CN"/>
              </w:rPr>
              <w:t>429.6</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，其中</w:t>
            </w:r>
            <w:r>
              <w:rPr>
                <w:rFonts w:hint="eastAsia" w:eastAsia="宋体"/>
                <w:color w:val="auto"/>
                <w:sz w:val="24"/>
                <w:szCs w:val="24"/>
                <w:highlight w:val="none"/>
                <w:lang w:val="en-US" w:eastAsia="zh-CN"/>
              </w:rPr>
              <w:t>生活污水产生量为</w:t>
            </w:r>
            <w:r>
              <w:rPr>
                <w:rFonts w:hint="eastAsia"/>
                <w:color w:val="auto"/>
                <w:sz w:val="24"/>
                <w:szCs w:val="24"/>
                <w:highlight w:val="none"/>
                <w:lang w:val="en-US" w:eastAsia="zh-CN"/>
              </w:rPr>
              <w:t>1.2</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color w:val="auto"/>
                <w:sz w:val="24"/>
                <w:szCs w:val="24"/>
                <w:highlight w:val="none"/>
                <w:lang w:val="en-US" w:eastAsia="zh-CN"/>
              </w:rPr>
              <w:t>360</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宋体"/>
                <w:color w:val="auto"/>
                <w:sz w:val="24"/>
                <w:szCs w:val="24"/>
                <w:highlight w:val="none"/>
                <w:lang w:val="zh-CN" w:eastAsia="zh-CN"/>
              </w:rPr>
              <w:t>，</w:t>
            </w:r>
            <w:r>
              <w:rPr>
                <w:rFonts w:hint="eastAsia" w:cs="Times New Roman"/>
                <w:color w:val="auto"/>
                <w:sz w:val="24"/>
                <w:highlight w:val="none"/>
                <w:lang w:val="en-US" w:eastAsia="zh-CN"/>
              </w:rPr>
              <w:t>生产废水产生量为0.232</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w:t>
            </w:r>
            <w:r>
              <w:rPr>
                <w:rFonts w:hint="eastAsia" w:eastAsia="宋体"/>
                <w:color w:val="auto"/>
                <w:sz w:val="24"/>
                <w:szCs w:val="24"/>
                <w:highlight w:val="none"/>
                <w:lang w:val="en-US" w:eastAsia="zh-CN"/>
              </w:rPr>
              <w:t>d</w:t>
            </w:r>
            <w:r>
              <w:rPr>
                <w:rFonts w:hint="eastAsia" w:eastAsia="Times New Roman"/>
                <w:color w:val="auto"/>
                <w:sz w:val="24"/>
                <w:szCs w:val="24"/>
                <w:highlight w:val="none"/>
                <w:lang w:val="zh-CN"/>
              </w:rPr>
              <w:t>、</w:t>
            </w:r>
            <w:r>
              <w:rPr>
                <w:rFonts w:hint="eastAsia" w:cs="Times New Roman"/>
                <w:color w:val="auto"/>
                <w:sz w:val="24"/>
                <w:highlight w:val="none"/>
                <w:lang w:val="en-US" w:eastAsia="zh-CN"/>
              </w:rPr>
              <w:t>69.6</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w:t>
            </w:r>
          </w:p>
          <w:p w14:paraId="3D41CD5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snapToGrid w:val="0"/>
                <w:color w:val="auto"/>
                <w:kern w:val="0"/>
                <w:sz w:val="24"/>
                <w:highlight w:val="none"/>
                <w:lang w:val="en-US" w:eastAsia="zh-CN"/>
              </w:rPr>
            </w:pPr>
            <w:r>
              <w:rPr>
                <w:rFonts w:hint="eastAsia" w:ascii="Times New Roman" w:hAnsi="Times New Roman" w:eastAsia="宋体" w:cs="Times New Roman"/>
                <w:b/>
                <w:bCs/>
                <w:snapToGrid w:val="0"/>
                <w:color w:val="auto"/>
                <w:kern w:val="0"/>
                <w:sz w:val="24"/>
                <w:highlight w:val="none"/>
                <w:lang w:val="en-US" w:eastAsia="zh-CN"/>
              </w:rPr>
              <w:t>（2）</w:t>
            </w:r>
            <w:r>
              <w:rPr>
                <w:rFonts w:hint="default" w:ascii="Times New Roman" w:hAnsi="Times New Roman" w:eastAsia="宋体" w:cs="Times New Roman"/>
                <w:b/>
                <w:bCs/>
                <w:snapToGrid w:val="0"/>
                <w:color w:val="auto"/>
                <w:kern w:val="0"/>
                <w:sz w:val="24"/>
                <w:highlight w:val="none"/>
                <w:lang w:eastAsia="zh-CN"/>
              </w:rPr>
              <w:t>提出措施后污染物分析</w:t>
            </w:r>
          </w:p>
          <w:p w14:paraId="228D57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fldChar w:fldCharType="begin"/>
            </w:r>
            <w:r>
              <w:rPr>
                <w:rFonts w:hint="eastAsia" w:ascii="Times New Roman" w:hAnsi="Times New Roman" w:eastAsia="宋体" w:cs="Times New Roman"/>
                <w:snapToGrid w:val="0"/>
                <w:color w:val="auto"/>
                <w:kern w:val="0"/>
                <w:sz w:val="24"/>
                <w:highlight w:val="none"/>
                <w:lang w:val="en-US" w:eastAsia="zh-CN"/>
              </w:rPr>
              <w:instrText xml:space="preserve"> = 1 \* GB3 \* MERGEFORMAT </w:instrText>
            </w:r>
            <w:r>
              <w:rPr>
                <w:rFonts w:hint="eastAsia" w:ascii="Times New Roman" w:hAnsi="Times New Roman" w:eastAsia="宋体" w:cs="Times New Roman"/>
                <w:snapToGrid w:val="0"/>
                <w:color w:val="auto"/>
                <w:kern w:val="0"/>
                <w:sz w:val="24"/>
                <w:highlight w:val="none"/>
                <w:lang w:val="en-US" w:eastAsia="zh-CN"/>
              </w:rPr>
              <w:fldChar w:fldCharType="separate"/>
            </w:r>
            <w:r>
              <w:rPr>
                <w:rFonts w:hint="eastAsia" w:ascii="Times New Roman" w:hAnsi="Times New Roman" w:eastAsia="宋体" w:cs="Times New Roman"/>
                <w:snapToGrid w:val="0"/>
                <w:color w:val="auto"/>
                <w:kern w:val="0"/>
                <w:sz w:val="24"/>
                <w:highlight w:val="none"/>
                <w:lang w:val="en-US" w:eastAsia="zh-CN"/>
              </w:rPr>
              <w:t>①</w:t>
            </w:r>
            <w:r>
              <w:rPr>
                <w:rFonts w:hint="eastAsia" w:ascii="Times New Roman" w:hAnsi="Times New Roman" w:eastAsia="宋体" w:cs="Times New Roman"/>
                <w:snapToGrid w:val="0"/>
                <w:color w:val="auto"/>
                <w:kern w:val="0"/>
                <w:sz w:val="24"/>
                <w:highlight w:val="none"/>
                <w:lang w:val="en-US" w:eastAsia="zh-CN"/>
              </w:rPr>
              <w:fldChar w:fldCharType="end"/>
            </w:r>
            <w:r>
              <w:rPr>
                <w:rFonts w:hint="eastAsia" w:ascii="Times New Roman" w:hAnsi="Times New Roman" w:eastAsia="宋体" w:cs="Times New Roman"/>
                <w:snapToGrid w:val="0"/>
                <w:color w:val="auto"/>
                <w:kern w:val="0"/>
                <w:sz w:val="24"/>
                <w:highlight w:val="none"/>
                <w:lang w:val="en-US" w:eastAsia="zh-CN"/>
              </w:rPr>
              <w:t>生活污水</w:t>
            </w:r>
          </w:p>
          <w:p w14:paraId="535883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snapToGrid w:val="0"/>
                <w:color w:val="auto"/>
                <w:kern w:val="0"/>
                <w:sz w:val="24"/>
                <w:highlight w:val="none"/>
                <w:lang w:val="en-US" w:eastAsia="zh-CN"/>
              </w:rPr>
              <w:t>根据项目水平衡，本扩建项目</w:t>
            </w:r>
            <w:r>
              <w:rPr>
                <w:rFonts w:hint="default" w:ascii="Times New Roman" w:hAnsi="Times New Roman" w:eastAsia="宋体" w:cs="Times New Roman"/>
                <w:color w:val="auto"/>
                <w:sz w:val="24"/>
                <w:szCs w:val="24"/>
                <w:highlight w:val="none"/>
                <w:lang w:bidi="ar"/>
              </w:rPr>
              <w:t>生活用水</w:t>
            </w:r>
            <w:r>
              <w:rPr>
                <w:rFonts w:hint="eastAsia" w:ascii="Times New Roman" w:hAnsi="Times New Roman" w:eastAsia="宋体" w:cs="Times New Roman"/>
                <w:color w:val="auto"/>
                <w:sz w:val="24"/>
                <w:szCs w:val="24"/>
                <w:highlight w:val="none"/>
                <w:lang w:val="en-US" w:eastAsia="zh-CN" w:bidi="ar"/>
              </w:rPr>
              <w:t>主要为食堂用水及</w:t>
            </w:r>
            <w:r>
              <w:rPr>
                <w:rFonts w:hint="eastAsia" w:cs="Times New Roman"/>
                <w:color w:val="auto"/>
                <w:sz w:val="24"/>
                <w:szCs w:val="24"/>
                <w:highlight w:val="none"/>
                <w:lang w:val="en-US" w:eastAsia="zh-CN" w:bidi="ar"/>
              </w:rPr>
              <w:t>办公</w:t>
            </w:r>
            <w:r>
              <w:rPr>
                <w:rFonts w:hint="eastAsia" w:ascii="Times New Roman" w:hAnsi="Times New Roman" w:eastAsia="宋体" w:cs="Times New Roman"/>
                <w:color w:val="auto"/>
                <w:sz w:val="24"/>
                <w:szCs w:val="24"/>
                <w:highlight w:val="none"/>
                <w:lang w:val="en-US" w:eastAsia="zh-CN" w:bidi="ar"/>
              </w:rPr>
              <w:t>生活用水，用水</w:t>
            </w:r>
            <w:r>
              <w:rPr>
                <w:rFonts w:hint="default" w:ascii="Times New Roman" w:hAnsi="Times New Roman" w:eastAsia="宋体" w:cs="Times New Roman"/>
                <w:color w:val="auto"/>
                <w:sz w:val="24"/>
                <w:szCs w:val="24"/>
                <w:highlight w:val="none"/>
                <w:lang w:bidi="ar"/>
              </w:rPr>
              <w:t>量为</w:t>
            </w:r>
            <w:r>
              <w:rPr>
                <w:rFonts w:hint="eastAsia" w:cs="Times New Roman"/>
                <w:color w:val="auto"/>
                <w:sz w:val="24"/>
                <w:szCs w:val="24"/>
                <w:highlight w:val="none"/>
                <w:lang w:val="en-US" w:eastAsia="zh-CN" w:bidi="ar"/>
              </w:rPr>
              <w:t>1.5</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eastAsia="Times New Roman"/>
                <w:color w:val="auto"/>
                <w:sz w:val="24"/>
                <w:szCs w:val="24"/>
                <w:highlight w:val="none"/>
                <w:lang w:val="zh-CN"/>
              </w:rPr>
              <w:t>、</w:t>
            </w:r>
            <w:r>
              <w:rPr>
                <w:rFonts w:hint="eastAsia"/>
                <w:color w:val="auto"/>
                <w:sz w:val="24"/>
                <w:szCs w:val="24"/>
                <w:highlight w:val="none"/>
                <w:lang w:val="en-US" w:eastAsia="zh-CN"/>
              </w:rPr>
              <w:t>450</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cs="Times New Roman"/>
                <w:color w:val="auto"/>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eastAsia="zh-CN"/>
              </w:rPr>
              <w:t>污水产生量为</w:t>
            </w:r>
            <w:r>
              <w:rPr>
                <w:rFonts w:hint="eastAsia" w:cs="Times New Roman"/>
                <w:color w:val="auto"/>
                <w:sz w:val="24"/>
                <w:szCs w:val="24"/>
                <w:highlight w:val="none"/>
                <w:lang w:val="en-US" w:eastAsia="zh-CN" w:bidi="ar"/>
              </w:rPr>
              <w:t>1.2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eastAsia="Times New Roman"/>
                <w:color w:val="auto"/>
                <w:sz w:val="24"/>
                <w:szCs w:val="24"/>
                <w:highlight w:val="none"/>
                <w:lang w:val="zh-CN"/>
              </w:rPr>
              <w:t>、</w:t>
            </w:r>
            <w:r>
              <w:rPr>
                <w:rFonts w:hint="eastAsia"/>
                <w:color w:val="auto"/>
                <w:sz w:val="24"/>
                <w:szCs w:val="24"/>
                <w:highlight w:val="none"/>
                <w:lang w:val="en-US" w:eastAsia="zh-CN"/>
              </w:rPr>
              <w:t>360</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w:t>
            </w:r>
            <w:r>
              <w:rPr>
                <w:rFonts w:hint="eastAsia" w:eastAsia="宋体"/>
                <w:color w:val="auto"/>
                <w:sz w:val="24"/>
                <w:szCs w:val="24"/>
                <w:highlight w:val="none"/>
                <w:lang w:val="en-US" w:eastAsia="zh-CN"/>
              </w:rPr>
              <w:t>其</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b w:val="0"/>
                <w:bCs w:val="0"/>
                <w:color w:val="auto"/>
                <w:sz w:val="24"/>
                <w:szCs w:val="24"/>
                <w:highlight w:val="none"/>
                <w:lang w:eastAsia="zh-CN"/>
              </w:rPr>
              <w:t>食堂废水</w:t>
            </w:r>
            <w:r>
              <w:rPr>
                <w:rFonts w:hint="default" w:ascii="Times New Roman" w:hAnsi="Times New Roman" w:eastAsia="宋体" w:cs="Times New Roman"/>
                <w:b w:val="0"/>
                <w:bCs w:val="0"/>
                <w:color w:val="auto"/>
                <w:sz w:val="24"/>
                <w:szCs w:val="24"/>
                <w:highlight w:val="none"/>
                <w:lang w:val="en-US" w:eastAsia="zh-CN"/>
              </w:rPr>
              <w:t>产生</w:t>
            </w:r>
            <w:r>
              <w:rPr>
                <w:rFonts w:hint="default" w:ascii="Times New Roman" w:hAnsi="Times New Roman" w:eastAsia="宋体" w:cs="Times New Roman"/>
                <w:b w:val="0"/>
                <w:bCs w:val="0"/>
                <w:color w:val="auto"/>
                <w:sz w:val="24"/>
                <w:szCs w:val="24"/>
                <w:highlight w:val="none"/>
                <w:lang w:eastAsia="zh-CN"/>
              </w:rPr>
              <w:t>量为</w:t>
            </w:r>
            <w:r>
              <w:rPr>
                <w:rFonts w:hint="eastAsia" w:ascii="Times New Roman" w:hAnsi="Times New Roman" w:eastAsia="宋体" w:cs="Times New Roman"/>
                <w:color w:val="auto"/>
                <w:sz w:val="24"/>
                <w:szCs w:val="24"/>
                <w:highlight w:val="none"/>
                <w:lang w:val="en-US" w:eastAsia="zh-CN" w:bidi="ar"/>
              </w:rPr>
              <w:t>0.</w:t>
            </w:r>
            <w:r>
              <w:rPr>
                <w:rFonts w:hint="eastAsia" w:cs="Times New Roman"/>
                <w:color w:val="auto"/>
                <w:sz w:val="24"/>
                <w:szCs w:val="24"/>
                <w:highlight w:val="none"/>
                <w:lang w:val="en-US" w:eastAsia="zh-CN" w:bidi="ar"/>
              </w:rPr>
              <w:t>24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72</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eastAsia" w:cs="Times New Roman"/>
                <w:bCs/>
                <w:color w:val="auto"/>
                <w:sz w:val="24"/>
                <w:szCs w:val="24"/>
                <w:highlight w:val="none"/>
                <w:lang w:val="en-US" w:eastAsia="zh-CN"/>
              </w:rPr>
              <w:t>办公</w:t>
            </w:r>
            <w:r>
              <w:rPr>
                <w:rFonts w:hint="default" w:ascii="Times New Roman" w:hAnsi="Times New Roman" w:eastAsia="宋体" w:cs="Times New Roman"/>
                <w:bCs/>
                <w:color w:val="auto"/>
                <w:sz w:val="24"/>
                <w:szCs w:val="24"/>
                <w:highlight w:val="none"/>
                <w:lang w:val="en-US" w:eastAsia="zh-CN"/>
              </w:rPr>
              <w:t>生活污水产生量</w:t>
            </w:r>
            <w:r>
              <w:rPr>
                <w:rFonts w:hint="default" w:ascii="Times New Roman" w:hAnsi="Times New Roman" w:eastAsia="宋体" w:cs="Times New Roman"/>
                <w:b w:val="0"/>
                <w:bCs w:val="0"/>
                <w:color w:val="auto"/>
                <w:sz w:val="24"/>
                <w:szCs w:val="24"/>
                <w:highlight w:val="none"/>
                <w:lang w:eastAsia="zh-CN"/>
              </w:rPr>
              <w:t>为</w:t>
            </w:r>
            <w:r>
              <w:rPr>
                <w:rFonts w:hint="eastAsia" w:ascii="Times New Roman" w:hAnsi="Times New Roman" w:eastAsia="宋体" w:cs="Times New Roman"/>
                <w:color w:val="auto"/>
                <w:sz w:val="24"/>
                <w:szCs w:val="24"/>
                <w:highlight w:val="none"/>
                <w:lang w:val="en-US" w:eastAsia="zh-CN" w:bidi="ar"/>
              </w:rPr>
              <w:t>0.</w:t>
            </w:r>
            <w:r>
              <w:rPr>
                <w:rFonts w:hint="eastAsia" w:cs="Times New Roman"/>
                <w:color w:val="auto"/>
                <w:sz w:val="24"/>
                <w:szCs w:val="24"/>
                <w:highlight w:val="none"/>
                <w:lang w:val="en-US" w:eastAsia="zh-CN" w:bidi="ar"/>
              </w:rPr>
              <w:t>96</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en-US" w:eastAsia="zh-CN" w:bidi="ar"/>
              </w:rPr>
              <w:t>2</w:t>
            </w:r>
            <w:r>
              <w:rPr>
                <w:rFonts w:hint="eastAsia" w:cs="Times New Roman"/>
                <w:color w:val="auto"/>
                <w:sz w:val="24"/>
                <w:szCs w:val="24"/>
                <w:highlight w:val="none"/>
                <w:lang w:val="en-US" w:eastAsia="zh-CN" w:bidi="ar"/>
              </w:rPr>
              <w:t>88</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color w:val="auto"/>
                <w:sz w:val="24"/>
                <w:szCs w:val="24"/>
                <w:highlight w:val="none"/>
                <w:lang w:val="en-US" w:eastAsia="zh-CN"/>
              </w:rPr>
              <w:t>生活污水中主要污染</w:t>
            </w:r>
            <w:r>
              <w:rPr>
                <w:rFonts w:hint="eastAsia" w:cs="Times New Roman"/>
                <w:color w:val="auto"/>
                <w:sz w:val="24"/>
                <w:szCs w:val="24"/>
                <w:highlight w:val="none"/>
                <w:lang w:val="en-US" w:eastAsia="zh-CN"/>
              </w:rPr>
              <w:t>因子</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highlight w:val="none"/>
                <w:lang w:val="en-US" w:eastAsia="zh-CN"/>
              </w:rPr>
              <w:t>pH</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COD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SS</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氨氮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总磷</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动植物油</w:t>
            </w:r>
            <w:r>
              <w:rPr>
                <w:rFonts w:hint="eastAsia" w:ascii="Times New Roman" w:hAnsi="Times New Roman" w:eastAsia="宋体" w:cs="Times New Roman"/>
                <w:color w:val="auto"/>
                <w:sz w:val="24"/>
                <w:szCs w:val="24"/>
                <w:highlight w:val="none"/>
                <w:lang w:val="en-US" w:eastAsia="zh-CN"/>
              </w:rPr>
              <w:t>。</w:t>
            </w:r>
          </w:p>
          <w:p w14:paraId="07A2D9A0">
            <w:pPr>
              <w:autoSpaceDE w:val="0"/>
              <w:autoSpaceDN w:val="0"/>
              <w:adjustRightInd w:val="0"/>
              <w:snapToGrid w:val="0"/>
              <w:spacing w:line="360" w:lineRule="auto"/>
              <w:ind w:firstLine="480" w:firstLineChars="200"/>
              <w:textAlignment w:val="baseline"/>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《昆明日盛玻璃制造有限公司年产80万m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门窗钢化玻璃、磨砂玻璃、中空玻璃生产线及配套设施建设项目竣工环境保护验收监测报告表》，项目</w:t>
            </w:r>
            <w:r>
              <w:rPr>
                <w:rFonts w:hint="eastAsia" w:cs="Times New Roman"/>
                <w:color w:val="auto"/>
                <w:sz w:val="24"/>
                <w:szCs w:val="24"/>
                <w:highlight w:val="none"/>
                <w:lang w:val="en-US" w:eastAsia="zh-CN"/>
              </w:rPr>
              <w:t>生活</w:t>
            </w:r>
            <w:r>
              <w:rPr>
                <w:rFonts w:hint="eastAsia" w:ascii="Times New Roman" w:hAnsi="Times New Roman" w:eastAsia="宋体" w:cs="Times New Roman"/>
                <w:color w:val="auto"/>
                <w:sz w:val="24"/>
                <w:szCs w:val="24"/>
                <w:highlight w:val="none"/>
                <w:lang w:val="en-US" w:eastAsia="zh-CN"/>
              </w:rPr>
              <w:t>污水处理站对</w:t>
            </w:r>
            <w:r>
              <w:rPr>
                <w:rFonts w:hint="eastAsia" w:cs="Times New Roman"/>
                <w:color w:val="auto"/>
                <w:sz w:val="24"/>
                <w:szCs w:val="24"/>
                <w:highlight w:val="none"/>
                <w:lang w:val="en-US" w:eastAsia="zh-CN"/>
              </w:rPr>
              <w:t>生活污</w:t>
            </w:r>
            <w:r>
              <w:rPr>
                <w:rFonts w:hint="eastAsia" w:ascii="Times New Roman" w:hAnsi="Times New Roman" w:eastAsia="宋体" w:cs="Times New Roman"/>
                <w:color w:val="auto"/>
                <w:sz w:val="24"/>
                <w:szCs w:val="24"/>
                <w:highlight w:val="none"/>
                <w:lang w:val="en-US" w:eastAsia="zh-CN"/>
              </w:rPr>
              <w:t>水中</w:t>
            </w:r>
            <w:r>
              <w:rPr>
                <w:rFonts w:hint="eastAsia" w:cs="Times New Roman"/>
                <w:color w:val="auto"/>
                <w:sz w:val="24"/>
                <w:szCs w:val="24"/>
                <w:highlight w:val="none"/>
                <w:lang w:val="en-US" w:eastAsia="zh-CN"/>
              </w:rPr>
              <w:t>各项污染物</w:t>
            </w:r>
            <w:r>
              <w:rPr>
                <w:rFonts w:hint="eastAsia" w:ascii="Times New Roman" w:hAnsi="Times New Roman" w:eastAsia="宋体" w:cs="Times New Roman"/>
                <w:color w:val="auto"/>
                <w:sz w:val="24"/>
                <w:szCs w:val="24"/>
                <w:highlight w:val="none"/>
                <w:lang w:val="en-US" w:eastAsia="zh-CN"/>
              </w:rPr>
              <w:t>的去除效率</w:t>
            </w:r>
            <w:r>
              <w:rPr>
                <w:rFonts w:hint="eastAsia" w:cs="Times New Roman"/>
                <w:color w:val="auto"/>
                <w:sz w:val="24"/>
                <w:szCs w:val="24"/>
                <w:highlight w:val="none"/>
                <w:lang w:val="en-US" w:eastAsia="zh-CN"/>
              </w:rPr>
              <w:t>如下表。</w:t>
            </w:r>
          </w:p>
          <w:p w14:paraId="2E2831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eastAsia" w:cs="Times New Roman"/>
                <w:b/>
                <w:bCs/>
                <w:color w:val="auto"/>
                <w:szCs w:val="21"/>
                <w:highlight w:val="none"/>
                <w:lang w:val="en-US" w:eastAsia="zh-CN"/>
              </w:rPr>
              <w:t>4</w:t>
            </w:r>
            <w:r>
              <w:rPr>
                <w:rFonts w:hint="eastAsia" w:ascii="Times New Roman" w:hAnsi="Times New Roman" w:eastAsia="宋体" w:cs="Times New Roman"/>
                <w:b/>
                <w:bCs/>
                <w:color w:val="auto"/>
                <w:szCs w:val="21"/>
                <w:highlight w:val="none"/>
                <w:lang w:val="en-US" w:eastAsia="zh-CN"/>
              </w:rPr>
              <w:t>-</w:t>
            </w:r>
            <w:r>
              <w:rPr>
                <w:rFonts w:hint="eastAsia" w:cs="Times New Roman"/>
                <w:b/>
                <w:bCs/>
                <w:color w:val="auto"/>
                <w:szCs w:val="21"/>
                <w:highlight w:val="none"/>
                <w:lang w:val="en-US" w:eastAsia="zh-CN"/>
              </w:rPr>
              <w:t>7</w:t>
            </w:r>
            <w:r>
              <w:rPr>
                <w:rFonts w:hint="default" w:ascii="Times New Roman" w:hAnsi="Times New Roman" w:eastAsia="宋体" w:cs="Times New Roman"/>
                <w:b/>
                <w:bCs/>
                <w:color w:val="auto"/>
                <w:szCs w:val="21"/>
                <w:highlight w:val="none"/>
              </w:rPr>
              <w:t xml:space="preserve">  </w:t>
            </w:r>
            <w:r>
              <w:rPr>
                <w:rFonts w:hint="eastAsia" w:cs="Times New Roman"/>
                <w:b/>
                <w:bCs/>
                <w:color w:val="auto"/>
                <w:szCs w:val="21"/>
                <w:highlight w:val="none"/>
                <w:lang w:eastAsia="zh-CN"/>
              </w:rPr>
              <w:t>生活</w:t>
            </w:r>
            <w:r>
              <w:rPr>
                <w:rFonts w:hint="eastAsia" w:ascii="Times New Roman" w:hAnsi="Times New Roman" w:eastAsia="宋体" w:cs="Times New Roman"/>
                <w:b/>
                <w:bCs/>
                <w:color w:val="auto"/>
                <w:szCs w:val="21"/>
                <w:highlight w:val="none"/>
                <w:lang w:eastAsia="zh-CN"/>
              </w:rPr>
              <w:t>污水处理站对污染物的去除效率</w:t>
            </w:r>
            <w:r>
              <w:rPr>
                <w:rFonts w:hint="default" w:ascii="Times New Roman" w:hAnsi="Times New Roman" w:eastAsia="宋体" w:cs="Times New Roman"/>
                <w:b/>
                <w:bCs/>
                <w:color w:val="auto"/>
                <w:szCs w:val="21"/>
                <w:highlight w:val="none"/>
              </w:rPr>
              <w:t>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1981"/>
              <w:gridCol w:w="1155"/>
              <w:gridCol w:w="780"/>
              <w:gridCol w:w="888"/>
              <w:gridCol w:w="1272"/>
              <w:gridCol w:w="1197"/>
              <w:gridCol w:w="747"/>
            </w:tblGrid>
            <w:tr w14:paraId="0873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noWrap w:val="0"/>
                  <w:vAlign w:val="center"/>
                </w:tcPr>
                <w:p w14:paraId="624FB6D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1180" w:type="pct"/>
                  <w:noWrap w:val="0"/>
                  <w:vAlign w:val="center"/>
                </w:tcPr>
                <w:p w14:paraId="4797DCD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87" w:type="pct"/>
                  <w:noWrap w:val="0"/>
                  <w:vAlign w:val="center"/>
                </w:tcPr>
                <w:p w14:paraId="025B391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处理设施</w:t>
                  </w:r>
                  <w:r>
                    <w:rPr>
                      <w:rFonts w:hint="eastAsia" w:cs="Times New Roman"/>
                      <w:b/>
                      <w:bCs/>
                      <w:color w:val="auto"/>
                      <w:sz w:val="21"/>
                      <w:szCs w:val="21"/>
                      <w:highlight w:val="none"/>
                      <w:lang w:val="en-US" w:eastAsia="zh-CN"/>
                    </w:rPr>
                    <w:t>进</w:t>
                  </w:r>
                  <w:r>
                    <w:rPr>
                      <w:rFonts w:hint="default" w:ascii="Times New Roman" w:hAnsi="Times New Roman" w:eastAsia="宋体" w:cs="Times New Roman"/>
                      <w:b/>
                      <w:bCs/>
                      <w:color w:val="auto"/>
                      <w:sz w:val="21"/>
                      <w:szCs w:val="21"/>
                      <w:highlight w:val="none"/>
                      <w:lang w:val="en-US" w:eastAsia="zh-CN"/>
                    </w:rPr>
                    <w:t>口浓度</w:t>
                  </w:r>
                  <w:r>
                    <w:rPr>
                      <w:rFonts w:hint="default" w:ascii="Times New Roman" w:hAnsi="Times New Roman" w:eastAsia="宋体" w:cs="Times New Roman"/>
                      <w:b/>
                      <w:bCs/>
                      <w:color w:val="auto"/>
                      <w:sz w:val="21"/>
                      <w:szCs w:val="21"/>
                      <w:highlight w:val="none"/>
                    </w:rPr>
                    <w:t>mg/L</w:t>
                  </w:r>
                </w:p>
              </w:tc>
              <w:tc>
                <w:tcPr>
                  <w:tcW w:w="464" w:type="pct"/>
                  <w:noWrap w:val="0"/>
                  <w:vAlign w:val="center"/>
                </w:tcPr>
                <w:p w14:paraId="553BE5E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处理方式</w:t>
                  </w:r>
                </w:p>
              </w:tc>
              <w:tc>
                <w:tcPr>
                  <w:tcW w:w="528" w:type="pct"/>
                  <w:noWrap w:val="0"/>
                  <w:vAlign w:val="center"/>
                </w:tcPr>
                <w:p w14:paraId="42E3983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rPr>
                  </w:pPr>
                  <w:r>
                    <w:rPr>
                      <w:rFonts w:hint="eastAsia" w:cs="Times New Roman"/>
                      <w:b/>
                      <w:bCs/>
                      <w:color w:val="auto"/>
                      <w:sz w:val="21"/>
                      <w:szCs w:val="21"/>
                      <w:highlight w:val="none"/>
                      <w:lang w:val="en-US" w:eastAsia="zh-CN"/>
                    </w:rPr>
                    <w:t>去除效率%</w:t>
                  </w:r>
                </w:p>
              </w:tc>
              <w:tc>
                <w:tcPr>
                  <w:tcW w:w="757" w:type="pct"/>
                  <w:noWrap w:val="0"/>
                  <w:vAlign w:val="center"/>
                </w:tcPr>
                <w:p w14:paraId="04DCF7D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处理设施出口</w:t>
                  </w:r>
                  <w:r>
                    <w:rPr>
                      <w:rFonts w:hint="eastAsia" w:ascii="Times New Roman" w:hAnsi="Times New Roman" w:eastAsia="宋体" w:cs="Times New Roman"/>
                      <w:b/>
                      <w:bCs/>
                      <w:color w:val="auto"/>
                      <w:sz w:val="21"/>
                      <w:szCs w:val="21"/>
                      <w:highlight w:val="none"/>
                      <w:lang w:val="en-US" w:eastAsia="zh-CN"/>
                    </w:rPr>
                    <w:t>最大</w:t>
                  </w:r>
                  <w:r>
                    <w:rPr>
                      <w:rFonts w:hint="default" w:ascii="Times New Roman" w:hAnsi="Times New Roman" w:eastAsia="宋体" w:cs="Times New Roman"/>
                      <w:b/>
                      <w:bCs/>
                      <w:color w:val="auto"/>
                      <w:sz w:val="21"/>
                      <w:szCs w:val="21"/>
                      <w:highlight w:val="none"/>
                      <w:lang w:val="en-US" w:eastAsia="zh-CN"/>
                    </w:rPr>
                    <w:t>浓度</w:t>
                  </w:r>
                  <w:r>
                    <w:rPr>
                      <w:rFonts w:hint="default" w:ascii="Times New Roman" w:hAnsi="Times New Roman" w:eastAsia="宋体" w:cs="Times New Roman"/>
                      <w:b/>
                      <w:bCs/>
                      <w:color w:val="auto"/>
                      <w:sz w:val="21"/>
                      <w:szCs w:val="21"/>
                      <w:highlight w:val="none"/>
                    </w:rPr>
                    <w:t>mg/L</w:t>
                  </w:r>
                </w:p>
              </w:tc>
              <w:tc>
                <w:tcPr>
                  <w:tcW w:w="713" w:type="pct"/>
                  <w:noWrap w:val="0"/>
                  <w:vAlign w:val="center"/>
                </w:tcPr>
                <w:p w14:paraId="3AD8A06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标准值</w:t>
                  </w:r>
                  <w:r>
                    <w:rPr>
                      <w:rFonts w:hint="default" w:ascii="Times New Roman" w:hAnsi="Times New Roman" w:eastAsia="宋体" w:cs="Times New Roman"/>
                      <w:b/>
                      <w:bCs/>
                      <w:color w:val="auto"/>
                      <w:sz w:val="21"/>
                      <w:szCs w:val="21"/>
                      <w:highlight w:val="none"/>
                    </w:rPr>
                    <w:t>mg/L</w:t>
                  </w:r>
                </w:p>
              </w:tc>
              <w:tc>
                <w:tcPr>
                  <w:tcW w:w="444" w:type="pct"/>
                  <w:noWrap w:val="0"/>
                  <w:vAlign w:val="center"/>
                </w:tcPr>
                <w:p w14:paraId="47EDD06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达标情况</w:t>
                  </w:r>
                </w:p>
              </w:tc>
            </w:tr>
            <w:tr w14:paraId="778A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22" w:type="pct"/>
                  <w:vMerge w:val="restart"/>
                  <w:noWrap w:val="0"/>
                  <w:vAlign w:val="center"/>
                </w:tcPr>
                <w:p w14:paraId="1F02DBE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1180" w:type="pct"/>
                  <w:noWrap w:val="0"/>
                  <w:vAlign w:val="center"/>
                </w:tcPr>
                <w:p w14:paraId="158D57D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pH值（无量纲）</w:t>
                  </w:r>
                </w:p>
              </w:tc>
              <w:tc>
                <w:tcPr>
                  <w:tcW w:w="687" w:type="pct"/>
                  <w:noWrap w:val="0"/>
                  <w:vAlign w:val="center"/>
                </w:tcPr>
                <w:p w14:paraId="228B6FE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7.7</w:t>
                  </w:r>
                </w:p>
              </w:tc>
              <w:tc>
                <w:tcPr>
                  <w:tcW w:w="464" w:type="pct"/>
                  <w:vMerge w:val="restart"/>
                  <w:noWrap w:val="0"/>
                  <w:vAlign w:val="center"/>
                </w:tcPr>
                <w:p w14:paraId="4972B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隔油池+化粪池+一体化生活污水处理设备（MBR膜生物反应）</w:t>
                  </w:r>
                </w:p>
              </w:tc>
              <w:tc>
                <w:tcPr>
                  <w:tcW w:w="528" w:type="pct"/>
                  <w:noWrap w:val="0"/>
                  <w:vAlign w:val="center"/>
                </w:tcPr>
                <w:p w14:paraId="1C0831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57" w:type="pct"/>
                  <w:noWrap w:val="0"/>
                  <w:vAlign w:val="center"/>
                </w:tcPr>
                <w:p w14:paraId="0893AC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7.9</w:t>
                  </w:r>
                </w:p>
              </w:tc>
              <w:tc>
                <w:tcPr>
                  <w:tcW w:w="713" w:type="pct"/>
                  <w:noWrap w:val="0"/>
                  <w:vAlign w:val="center"/>
                </w:tcPr>
                <w:p w14:paraId="69EB16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r>
                    <w:rPr>
                      <w:rFonts w:hint="eastAsia"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~9.</w:t>
                  </w:r>
                  <w:r>
                    <w:rPr>
                      <w:rFonts w:hint="eastAsia" w:eastAsia="宋体" w:cs="Times New Roman"/>
                      <w:color w:val="auto"/>
                      <w:sz w:val="21"/>
                      <w:szCs w:val="21"/>
                      <w:highlight w:val="none"/>
                      <w:lang w:val="en-US" w:eastAsia="zh-CN"/>
                    </w:rPr>
                    <w:t>0</w:t>
                  </w:r>
                </w:p>
              </w:tc>
              <w:tc>
                <w:tcPr>
                  <w:tcW w:w="444" w:type="pct"/>
                  <w:noWrap w:val="0"/>
                  <w:vAlign w:val="center"/>
                </w:tcPr>
                <w:p w14:paraId="48C8098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15C7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22" w:type="pct"/>
                  <w:vMerge w:val="continue"/>
                  <w:noWrap w:val="0"/>
                  <w:vAlign w:val="center"/>
                </w:tcPr>
                <w:p w14:paraId="245D6E4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80" w:type="pct"/>
                  <w:noWrap w:val="0"/>
                  <w:vAlign w:val="center"/>
                </w:tcPr>
                <w:p w14:paraId="4B5BE2E0">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色度（倍）</w:t>
                  </w:r>
                </w:p>
              </w:tc>
              <w:tc>
                <w:tcPr>
                  <w:tcW w:w="687" w:type="pct"/>
                  <w:noWrap w:val="0"/>
                  <w:vAlign w:val="center"/>
                </w:tcPr>
                <w:p w14:paraId="7F5C3E12">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464" w:type="pct"/>
                  <w:vMerge w:val="continue"/>
                  <w:noWrap w:val="0"/>
                  <w:vAlign w:val="center"/>
                </w:tcPr>
                <w:p w14:paraId="405DC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528" w:type="pct"/>
                  <w:noWrap w:val="0"/>
                  <w:vAlign w:val="center"/>
                </w:tcPr>
                <w:p w14:paraId="4CB1E6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757" w:type="pct"/>
                  <w:noWrap w:val="0"/>
                  <w:vAlign w:val="center"/>
                </w:tcPr>
                <w:p w14:paraId="26D162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713" w:type="pct"/>
                  <w:noWrap w:val="0"/>
                  <w:vAlign w:val="center"/>
                </w:tcPr>
                <w:p w14:paraId="65A861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30</w:t>
                  </w:r>
                </w:p>
              </w:tc>
              <w:tc>
                <w:tcPr>
                  <w:tcW w:w="444" w:type="pct"/>
                  <w:noWrap w:val="0"/>
                  <w:vAlign w:val="center"/>
                </w:tcPr>
                <w:p w14:paraId="1F9124A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7D4C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222" w:type="pct"/>
                  <w:vMerge w:val="continue"/>
                  <w:noWrap w:val="0"/>
                  <w:vAlign w:val="center"/>
                </w:tcPr>
                <w:p w14:paraId="1E26069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80" w:type="pct"/>
                  <w:noWrap w:val="0"/>
                  <w:vAlign w:val="center"/>
                </w:tcPr>
                <w:p w14:paraId="1B344330">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嗅和味（无量纲）</w:t>
                  </w:r>
                </w:p>
              </w:tc>
              <w:tc>
                <w:tcPr>
                  <w:tcW w:w="687" w:type="pct"/>
                  <w:noWrap w:val="0"/>
                  <w:vAlign w:val="center"/>
                </w:tcPr>
                <w:p w14:paraId="3C3C8F72">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强</w:t>
                  </w:r>
                </w:p>
              </w:tc>
              <w:tc>
                <w:tcPr>
                  <w:tcW w:w="464" w:type="pct"/>
                  <w:vMerge w:val="continue"/>
                  <w:noWrap w:val="0"/>
                  <w:vAlign w:val="center"/>
                </w:tcPr>
                <w:p w14:paraId="5DD441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528" w:type="pct"/>
                  <w:noWrap w:val="0"/>
                  <w:vAlign w:val="center"/>
                </w:tcPr>
                <w:p w14:paraId="27CB86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757" w:type="pct"/>
                  <w:noWrap w:val="0"/>
                  <w:vAlign w:val="center"/>
                </w:tcPr>
                <w:p w14:paraId="06832A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w:t>
                  </w:r>
                </w:p>
              </w:tc>
              <w:tc>
                <w:tcPr>
                  <w:tcW w:w="713" w:type="pct"/>
                  <w:noWrap w:val="0"/>
                  <w:vAlign w:val="center"/>
                </w:tcPr>
                <w:p w14:paraId="6BD8B55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无不快感</w:t>
                  </w:r>
                </w:p>
              </w:tc>
              <w:tc>
                <w:tcPr>
                  <w:tcW w:w="444" w:type="pct"/>
                  <w:noWrap w:val="0"/>
                  <w:vAlign w:val="center"/>
                </w:tcPr>
                <w:p w14:paraId="33C8319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D79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22" w:type="pct"/>
                  <w:vMerge w:val="continue"/>
                  <w:noWrap w:val="0"/>
                  <w:vAlign w:val="center"/>
                </w:tcPr>
                <w:p w14:paraId="0813C9D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80" w:type="pct"/>
                  <w:noWrap w:val="0"/>
                  <w:vAlign w:val="center"/>
                </w:tcPr>
                <w:p w14:paraId="0AFB334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浊度（度）</w:t>
                  </w:r>
                </w:p>
              </w:tc>
              <w:tc>
                <w:tcPr>
                  <w:tcW w:w="687" w:type="pct"/>
                  <w:noWrap w:val="0"/>
                  <w:vAlign w:val="center"/>
                </w:tcPr>
                <w:p w14:paraId="512CC818">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170</w:t>
                  </w:r>
                </w:p>
              </w:tc>
              <w:tc>
                <w:tcPr>
                  <w:tcW w:w="464" w:type="pct"/>
                  <w:vMerge w:val="continue"/>
                  <w:noWrap w:val="0"/>
                  <w:vAlign w:val="center"/>
                </w:tcPr>
                <w:p w14:paraId="4A71FE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528" w:type="pct"/>
                  <w:noWrap w:val="0"/>
                  <w:vAlign w:val="center"/>
                </w:tcPr>
                <w:p w14:paraId="2F3C5A6A">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94.7</w:t>
                  </w:r>
                </w:p>
              </w:tc>
              <w:tc>
                <w:tcPr>
                  <w:tcW w:w="757" w:type="pct"/>
                  <w:noWrap w:val="0"/>
                  <w:vAlign w:val="center"/>
                </w:tcPr>
                <w:p w14:paraId="3263BA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713" w:type="pct"/>
                  <w:noWrap w:val="0"/>
                  <w:vAlign w:val="center"/>
                </w:tcPr>
                <w:p w14:paraId="4F5519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10</w:t>
                  </w:r>
                </w:p>
              </w:tc>
              <w:tc>
                <w:tcPr>
                  <w:tcW w:w="444" w:type="pct"/>
                  <w:noWrap w:val="0"/>
                  <w:vAlign w:val="center"/>
                </w:tcPr>
                <w:p w14:paraId="5F52102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7B34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2" w:type="pct"/>
                  <w:vMerge w:val="continue"/>
                  <w:noWrap w:val="0"/>
                  <w:vAlign w:val="center"/>
                </w:tcPr>
                <w:p w14:paraId="78E8773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80" w:type="pct"/>
                  <w:noWrap w:val="0"/>
                  <w:vAlign w:val="center"/>
                </w:tcPr>
                <w:p w14:paraId="23204730">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687" w:type="pct"/>
                  <w:noWrap w:val="0"/>
                  <w:vAlign w:val="center"/>
                </w:tcPr>
                <w:p w14:paraId="782ECFE1">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161</w:t>
                  </w:r>
                </w:p>
              </w:tc>
              <w:tc>
                <w:tcPr>
                  <w:tcW w:w="464" w:type="pct"/>
                  <w:vMerge w:val="continue"/>
                  <w:noWrap w:val="0"/>
                  <w:vAlign w:val="center"/>
                </w:tcPr>
                <w:p w14:paraId="3934BE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528" w:type="pct"/>
                  <w:noWrap w:val="0"/>
                  <w:vAlign w:val="center"/>
                </w:tcPr>
                <w:p w14:paraId="1312CD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94.2</w:t>
                  </w:r>
                </w:p>
              </w:tc>
              <w:tc>
                <w:tcPr>
                  <w:tcW w:w="757" w:type="pct"/>
                  <w:noWrap w:val="0"/>
                  <w:vAlign w:val="center"/>
                </w:tcPr>
                <w:p w14:paraId="3AC996C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713" w:type="pct"/>
                  <w:noWrap w:val="0"/>
                  <w:vAlign w:val="center"/>
                </w:tcPr>
                <w:p w14:paraId="5B6756C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10</w:t>
                  </w:r>
                </w:p>
              </w:tc>
              <w:tc>
                <w:tcPr>
                  <w:tcW w:w="444" w:type="pct"/>
                  <w:noWrap w:val="0"/>
                  <w:vAlign w:val="center"/>
                </w:tcPr>
                <w:p w14:paraId="2016DC9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01C5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22" w:type="pct"/>
                  <w:vMerge w:val="continue"/>
                  <w:noWrap w:val="0"/>
                  <w:vAlign w:val="center"/>
                </w:tcPr>
                <w:p w14:paraId="3C80602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80" w:type="pct"/>
                  <w:noWrap w:val="0"/>
                  <w:vAlign w:val="center"/>
                </w:tcPr>
                <w:p w14:paraId="340D37C9">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氨氮</w:t>
                  </w:r>
                </w:p>
              </w:tc>
              <w:tc>
                <w:tcPr>
                  <w:tcW w:w="687" w:type="pct"/>
                  <w:noWrap w:val="0"/>
                  <w:vAlign w:val="center"/>
                </w:tcPr>
                <w:p w14:paraId="61FE0585">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109</w:t>
                  </w:r>
                </w:p>
              </w:tc>
              <w:tc>
                <w:tcPr>
                  <w:tcW w:w="464" w:type="pct"/>
                  <w:vMerge w:val="continue"/>
                  <w:noWrap w:val="0"/>
                  <w:vAlign w:val="center"/>
                </w:tcPr>
                <w:p w14:paraId="2E39B5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p>
              </w:tc>
              <w:tc>
                <w:tcPr>
                  <w:tcW w:w="528" w:type="pct"/>
                  <w:noWrap w:val="0"/>
                  <w:vAlign w:val="center"/>
                </w:tcPr>
                <w:p w14:paraId="20D8C3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93.2</w:t>
                  </w:r>
                </w:p>
              </w:tc>
              <w:tc>
                <w:tcPr>
                  <w:tcW w:w="757" w:type="pct"/>
                  <w:noWrap w:val="0"/>
                  <w:vAlign w:val="center"/>
                </w:tcPr>
                <w:p w14:paraId="307006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7.38</w:t>
                  </w:r>
                </w:p>
              </w:tc>
              <w:tc>
                <w:tcPr>
                  <w:tcW w:w="713" w:type="pct"/>
                  <w:noWrap w:val="0"/>
                  <w:vAlign w:val="center"/>
                </w:tcPr>
                <w:p w14:paraId="52C0AB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8</w:t>
                  </w:r>
                </w:p>
              </w:tc>
              <w:tc>
                <w:tcPr>
                  <w:tcW w:w="444" w:type="pct"/>
                  <w:noWrap w:val="0"/>
                  <w:vAlign w:val="center"/>
                </w:tcPr>
                <w:p w14:paraId="42B72B2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7B39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22" w:type="pct"/>
                  <w:vMerge w:val="continue"/>
                  <w:noWrap w:val="0"/>
                  <w:vAlign w:val="center"/>
                </w:tcPr>
                <w:p w14:paraId="490FC90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180" w:type="pct"/>
                  <w:noWrap w:val="0"/>
                  <w:vAlign w:val="center"/>
                </w:tcPr>
                <w:p w14:paraId="243FA4F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阴离子表面活性剂</w:t>
                  </w:r>
                </w:p>
              </w:tc>
              <w:tc>
                <w:tcPr>
                  <w:tcW w:w="687" w:type="pct"/>
                  <w:noWrap w:val="0"/>
                  <w:vAlign w:val="center"/>
                </w:tcPr>
                <w:p w14:paraId="50FACF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w:t>
                  </w:r>
                </w:p>
              </w:tc>
              <w:tc>
                <w:tcPr>
                  <w:tcW w:w="464" w:type="pct"/>
                  <w:vMerge w:val="continue"/>
                  <w:noWrap w:val="0"/>
                  <w:vAlign w:val="center"/>
                </w:tcPr>
                <w:p w14:paraId="539D5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528" w:type="pct"/>
                  <w:noWrap w:val="0"/>
                  <w:vAlign w:val="center"/>
                </w:tcPr>
                <w:p w14:paraId="0FF6F3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95.3</w:t>
                  </w:r>
                </w:p>
              </w:tc>
              <w:tc>
                <w:tcPr>
                  <w:tcW w:w="757" w:type="pct"/>
                  <w:noWrap w:val="0"/>
                  <w:vAlign w:val="center"/>
                </w:tcPr>
                <w:p w14:paraId="048495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0.05</w:t>
                  </w:r>
                </w:p>
              </w:tc>
              <w:tc>
                <w:tcPr>
                  <w:tcW w:w="713" w:type="pct"/>
                  <w:noWrap w:val="0"/>
                  <w:vAlign w:val="center"/>
                </w:tcPr>
                <w:p w14:paraId="441B9E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0.5</w:t>
                  </w:r>
                </w:p>
              </w:tc>
              <w:tc>
                <w:tcPr>
                  <w:tcW w:w="444" w:type="pct"/>
                  <w:noWrap w:val="0"/>
                  <w:vAlign w:val="center"/>
                </w:tcPr>
                <w:p w14:paraId="7C004A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7725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22" w:type="pct"/>
                  <w:vMerge w:val="continue"/>
                  <w:noWrap w:val="0"/>
                  <w:vAlign w:val="center"/>
                </w:tcPr>
                <w:p w14:paraId="30134B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80" w:type="pct"/>
                  <w:noWrap w:val="0"/>
                  <w:vAlign w:val="center"/>
                </w:tcPr>
                <w:p w14:paraId="20B210A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溶解性总固体</w:t>
                  </w:r>
                </w:p>
              </w:tc>
              <w:tc>
                <w:tcPr>
                  <w:tcW w:w="687" w:type="pct"/>
                  <w:noWrap w:val="0"/>
                  <w:vAlign w:val="bottom"/>
                </w:tcPr>
                <w:p w14:paraId="247866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627</w:t>
                  </w:r>
                </w:p>
              </w:tc>
              <w:tc>
                <w:tcPr>
                  <w:tcW w:w="464" w:type="pct"/>
                  <w:vMerge w:val="continue"/>
                  <w:noWrap w:val="0"/>
                  <w:vAlign w:val="center"/>
                </w:tcPr>
                <w:p w14:paraId="41F815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528" w:type="pct"/>
                  <w:noWrap w:val="0"/>
                  <w:vAlign w:val="center"/>
                </w:tcPr>
                <w:p w14:paraId="3FE53E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71.77</w:t>
                  </w:r>
                </w:p>
              </w:tc>
              <w:tc>
                <w:tcPr>
                  <w:tcW w:w="757" w:type="pct"/>
                  <w:noWrap w:val="0"/>
                  <w:vAlign w:val="center"/>
                </w:tcPr>
                <w:p w14:paraId="1EAC8F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177</w:t>
                  </w:r>
                </w:p>
              </w:tc>
              <w:tc>
                <w:tcPr>
                  <w:tcW w:w="713" w:type="pct"/>
                  <w:noWrap w:val="0"/>
                  <w:vAlign w:val="center"/>
                </w:tcPr>
                <w:p w14:paraId="4166EC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1000</w:t>
                  </w:r>
                </w:p>
              </w:tc>
              <w:tc>
                <w:tcPr>
                  <w:tcW w:w="444" w:type="pct"/>
                  <w:noWrap w:val="0"/>
                  <w:vAlign w:val="center"/>
                </w:tcPr>
                <w:p w14:paraId="78A0A5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2C20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22" w:type="pct"/>
                  <w:vMerge w:val="continue"/>
                  <w:noWrap w:val="0"/>
                  <w:vAlign w:val="center"/>
                </w:tcPr>
                <w:p w14:paraId="423731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80" w:type="pct"/>
                  <w:noWrap w:val="0"/>
                  <w:vAlign w:val="center"/>
                </w:tcPr>
                <w:p w14:paraId="33D6B68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溶解氧</w:t>
                  </w:r>
                </w:p>
              </w:tc>
              <w:tc>
                <w:tcPr>
                  <w:tcW w:w="687" w:type="pct"/>
                  <w:noWrap w:val="0"/>
                  <w:vAlign w:val="center"/>
                </w:tcPr>
                <w:p w14:paraId="7C813D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w:t>
                  </w:r>
                </w:p>
              </w:tc>
              <w:tc>
                <w:tcPr>
                  <w:tcW w:w="464" w:type="pct"/>
                  <w:vMerge w:val="continue"/>
                  <w:noWrap w:val="0"/>
                  <w:vAlign w:val="center"/>
                </w:tcPr>
                <w:p w14:paraId="260043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528" w:type="pct"/>
                  <w:noWrap w:val="0"/>
                  <w:vAlign w:val="center"/>
                </w:tcPr>
                <w:p w14:paraId="1B804C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57" w:type="pct"/>
                  <w:noWrap w:val="0"/>
                  <w:vAlign w:val="center"/>
                </w:tcPr>
                <w:p w14:paraId="150DDC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713" w:type="pct"/>
                  <w:noWrap w:val="0"/>
                  <w:vAlign w:val="center"/>
                </w:tcPr>
                <w:p w14:paraId="06EF33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444" w:type="pct"/>
                  <w:noWrap w:val="0"/>
                  <w:vAlign w:val="center"/>
                </w:tcPr>
                <w:p w14:paraId="16FFEB1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6057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22" w:type="pct"/>
                  <w:vMerge w:val="continue"/>
                  <w:noWrap w:val="0"/>
                  <w:vAlign w:val="center"/>
                </w:tcPr>
                <w:p w14:paraId="540933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80" w:type="pct"/>
                  <w:noWrap w:val="0"/>
                  <w:vAlign w:val="center"/>
                </w:tcPr>
                <w:p w14:paraId="5969C55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总氯</w:t>
                  </w:r>
                </w:p>
              </w:tc>
              <w:tc>
                <w:tcPr>
                  <w:tcW w:w="687" w:type="pct"/>
                  <w:noWrap w:val="0"/>
                  <w:vAlign w:val="center"/>
                </w:tcPr>
                <w:p w14:paraId="1FDF53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1.13</w:t>
                  </w:r>
                </w:p>
              </w:tc>
              <w:tc>
                <w:tcPr>
                  <w:tcW w:w="464" w:type="pct"/>
                  <w:vMerge w:val="continue"/>
                  <w:noWrap w:val="0"/>
                  <w:vAlign w:val="center"/>
                </w:tcPr>
                <w:p w14:paraId="5B1B82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528" w:type="pct"/>
                  <w:noWrap w:val="0"/>
                  <w:vAlign w:val="center"/>
                </w:tcPr>
                <w:p w14:paraId="21F687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57" w:type="pct"/>
                  <w:noWrap w:val="0"/>
                  <w:vAlign w:val="center"/>
                </w:tcPr>
                <w:p w14:paraId="4377D9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1.47</w:t>
                  </w:r>
                </w:p>
              </w:tc>
              <w:tc>
                <w:tcPr>
                  <w:tcW w:w="713" w:type="pct"/>
                  <w:noWrap w:val="0"/>
                  <w:vAlign w:val="center"/>
                </w:tcPr>
                <w:p w14:paraId="3783BB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0.2</w:t>
                  </w:r>
                  <w:r>
                    <w:rPr>
                      <w:rFonts w:hint="eastAsia" w:ascii="Times New Roman" w:hAnsi="Times New Roman" w:cs="Times New Roman"/>
                      <w:color w:val="auto"/>
                      <w:sz w:val="21"/>
                      <w:szCs w:val="21"/>
                      <w:highlight w:val="none"/>
                      <w:vertAlign w:val="superscript"/>
                      <w:lang w:val="en-US" w:eastAsia="zh-CN"/>
                    </w:rPr>
                    <w:t>b</w:t>
                  </w:r>
                  <w:r>
                    <w:rPr>
                      <w:rFonts w:hint="eastAsia" w:ascii="Times New Roman" w:hAnsi="Times New Roman" w:cs="Times New Roman"/>
                      <w:color w:val="auto"/>
                      <w:sz w:val="21"/>
                      <w:szCs w:val="21"/>
                      <w:highlight w:val="none"/>
                      <w:lang w:val="en-US" w:eastAsia="zh-CN"/>
                    </w:rPr>
                    <w:t>（管网末端）</w:t>
                  </w:r>
                </w:p>
              </w:tc>
              <w:tc>
                <w:tcPr>
                  <w:tcW w:w="444" w:type="pct"/>
                  <w:noWrap w:val="0"/>
                  <w:vAlign w:val="center"/>
                </w:tcPr>
                <w:p w14:paraId="226B60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14:paraId="627C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22" w:type="pct"/>
                  <w:vMerge w:val="continue"/>
                  <w:noWrap w:val="0"/>
                  <w:vAlign w:val="center"/>
                </w:tcPr>
                <w:p w14:paraId="6303B2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80" w:type="pct"/>
                  <w:noWrap w:val="0"/>
                  <w:vAlign w:val="center"/>
                </w:tcPr>
                <w:p w14:paraId="28F2192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大肠埃希氏菌（</w:t>
                  </w:r>
                  <w:r>
                    <w:rPr>
                      <w:rFonts w:hint="eastAsia" w:cs="Times New Roman"/>
                      <w:color w:val="auto"/>
                      <w:sz w:val="21"/>
                      <w:szCs w:val="21"/>
                      <w:highlight w:val="none"/>
                      <w:lang w:val="en-US" w:eastAsia="zh-CN"/>
                    </w:rPr>
                    <w:t>MPN/100mL</w:t>
                  </w:r>
                  <w:r>
                    <w:rPr>
                      <w:rFonts w:hint="eastAsia" w:cs="Times New Roman"/>
                      <w:color w:val="auto"/>
                      <w:sz w:val="21"/>
                      <w:szCs w:val="21"/>
                      <w:highlight w:val="none"/>
                      <w:lang w:eastAsia="zh-CN"/>
                    </w:rPr>
                    <w:t>）</w:t>
                  </w:r>
                </w:p>
              </w:tc>
              <w:tc>
                <w:tcPr>
                  <w:tcW w:w="687" w:type="pct"/>
                  <w:noWrap w:val="0"/>
                  <w:vAlign w:val="center"/>
                </w:tcPr>
                <w:p w14:paraId="5582DC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16000</w:t>
                  </w:r>
                </w:p>
              </w:tc>
              <w:tc>
                <w:tcPr>
                  <w:tcW w:w="464" w:type="pct"/>
                  <w:vMerge w:val="continue"/>
                  <w:noWrap w:val="0"/>
                  <w:vAlign w:val="center"/>
                </w:tcPr>
                <w:p w14:paraId="4CB1F2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528" w:type="pct"/>
                  <w:noWrap w:val="0"/>
                  <w:vAlign w:val="center"/>
                </w:tcPr>
                <w:p w14:paraId="4886CE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757" w:type="pct"/>
                  <w:noWrap w:val="0"/>
                  <w:vAlign w:val="center"/>
                </w:tcPr>
                <w:p w14:paraId="2923A0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3" w:type="pct"/>
                  <w:noWrap w:val="0"/>
                  <w:vAlign w:val="center"/>
                </w:tcPr>
                <w:p w14:paraId="0ADD8DF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c>
                <w:tcPr>
                  <w:tcW w:w="444" w:type="pct"/>
                  <w:noWrap w:val="0"/>
                  <w:vAlign w:val="center"/>
                </w:tcPr>
                <w:p w14:paraId="26F07C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bl>
          <w:p w14:paraId="779B8A31">
            <w:pPr>
              <w:autoSpaceDE w:val="0"/>
              <w:autoSpaceDN w:val="0"/>
              <w:adjustRightInd w:val="0"/>
              <w:snapToGrid w:val="0"/>
              <w:spacing w:line="360" w:lineRule="auto"/>
              <w:ind w:firstLine="480" w:firstLineChars="200"/>
              <w:textAlignment w:val="baseline"/>
              <w:rPr>
                <w:rFonts w:hint="eastAsia"/>
                <w:color w:val="auto"/>
                <w:sz w:val="24"/>
                <w:highlight w:val="none"/>
                <w:lang w:eastAsia="zh-CN"/>
              </w:rPr>
            </w:pPr>
            <w:r>
              <w:rPr>
                <w:rFonts w:hint="eastAsia"/>
                <w:color w:val="auto"/>
                <w:sz w:val="24"/>
                <w:highlight w:val="none"/>
                <w:lang w:val="en-US" w:eastAsia="zh-CN"/>
              </w:rPr>
              <w:t>综上，原项目生活污水经一体化生活污水处理站处理后各污染物浓度均满足</w:t>
            </w:r>
            <w:r>
              <w:rPr>
                <w:color w:val="auto"/>
                <w:sz w:val="24"/>
                <w:highlight w:val="none"/>
              </w:rPr>
              <w:t>《城</w:t>
            </w:r>
            <w:r>
              <w:rPr>
                <w:rFonts w:hint="eastAsia"/>
                <w:color w:val="auto"/>
                <w:sz w:val="24"/>
                <w:highlight w:val="none"/>
                <w:lang w:eastAsia="zh-CN"/>
              </w:rPr>
              <w:t>市</w:t>
            </w:r>
            <w:r>
              <w:rPr>
                <w:color w:val="auto"/>
                <w:sz w:val="24"/>
                <w:highlight w:val="none"/>
              </w:rPr>
              <w:t xml:space="preserve">污水再生利用 </w:t>
            </w:r>
            <w:r>
              <w:rPr>
                <w:rFonts w:hint="eastAsia"/>
                <w:color w:val="auto"/>
                <w:sz w:val="24"/>
                <w:highlight w:val="none"/>
                <w:lang w:eastAsia="zh-CN"/>
              </w:rPr>
              <w:t>城市</w:t>
            </w:r>
            <w:r>
              <w:rPr>
                <w:color w:val="auto"/>
                <w:sz w:val="24"/>
                <w:highlight w:val="none"/>
              </w:rPr>
              <w:t>杂用水水质》</w:t>
            </w:r>
            <w:r>
              <w:rPr>
                <w:rFonts w:hint="eastAsia"/>
                <w:color w:val="auto"/>
                <w:sz w:val="24"/>
                <w:highlight w:val="none"/>
              </w:rPr>
              <w:t>（</w:t>
            </w:r>
            <w:r>
              <w:rPr>
                <w:color w:val="auto"/>
                <w:sz w:val="24"/>
                <w:highlight w:val="none"/>
              </w:rPr>
              <w:t>GB/T1892</w:t>
            </w:r>
            <w:r>
              <w:rPr>
                <w:rFonts w:hint="eastAsia"/>
                <w:color w:val="auto"/>
                <w:sz w:val="24"/>
                <w:highlight w:val="none"/>
                <w:lang w:val="en-US" w:eastAsia="zh-CN"/>
              </w:rPr>
              <w:t>0-2020</w:t>
            </w:r>
            <w:r>
              <w:rPr>
                <w:rFonts w:hint="eastAsia"/>
                <w:color w:val="auto"/>
                <w:sz w:val="24"/>
                <w:highlight w:val="none"/>
              </w:rPr>
              <w:t>）</w:t>
            </w:r>
            <w:r>
              <w:rPr>
                <w:rFonts w:hint="default" w:hAnsi="Times New Roman"/>
                <w:color w:val="auto"/>
                <w:sz w:val="24"/>
                <w:szCs w:val="24"/>
                <w:highlight w:val="none"/>
              </w:rPr>
              <w:t>中</w:t>
            </w:r>
            <w:r>
              <w:rPr>
                <w:rFonts w:hint="eastAsia"/>
                <w:color w:val="auto"/>
                <w:sz w:val="24"/>
                <w:szCs w:val="24"/>
                <w:highlight w:val="none"/>
              </w:rPr>
              <w:t>城市绿化、</w:t>
            </w:r>
            <w:r>
              <w:rPr>
                <w:rFonts w:hint="eastAsia"/>
                <w:color w:val="auto"/>
                <w:sz w:val="24"/>
                <w:szCs w:val="24"/>
                <w:highlight w:val="none"/>
                <w:lang w:eastAsia="zh-CN"/>
              </w:rPr>
              <w:t>道路广场浇洒</w:t>
            </w:r>
            <w:r>
              <w:rPr>
                <w:rFonts w:hint="eastAsia"/>
                <w:color w:val="auto"/>
                <w:sz w:val="24"/>
                <w:szCs w:val="24"/>
                <w:highlight w:val="none"/>
              </w:rPr>
              <w:t>、消防、建筑施工标准</w:t>
            </w:r>
            <w:r>
              <w:rPr>
                <w:rFonts w:hint="eastAsia"/>
                <w:color w:val="auto"/>
                <w:sz w:val="24"/>
                <w:highlight w:val="none"/>
                <w:lang w:eastAsia="zh-CN"/>
              </w:rPr>
              <w:t>。</w:t>
            </w:r>
          </w:p>
          <w:p w14:paraId="73F1E7EF">
            <w:pPr>
              <w:autoSpaceDE w:val="0"/>
              <w:autoSpaceDN w:val="0"/>
              <w:adjustRightInd w:val="0"/>
              <w:snapToGrid w:val="0"/>
              <w:spacing w:line="360" w:lineRule="auto"/>
              <w:ind w:firstLine="480" w:firstLineChars="200"/>
              <w:textAlignment w:val="baseline"/>
              <w:rPr>
                <w:rFonts w:hint="eastAsia"/>
                <w:color w:val="auto"/>
                <w:sz w:val="24"/>
                <w:highlight w:val="none"/>
                <w:lang w:eastAsia="zh-CN"/>
              </w:rPr>
            </w:pPr>
            <w:r>
              <w:rPr>
                <w:rFonts w:hint="eastAsia" w:ascii="Times New Roman" w:hAnsi="Times New Roman" w:eastAsia="宋体" w:cs="Times New Roman"/>
                <w:color w:val="auto"/>
                <w:sz w:val="24"/>
                <w:highlight w:val="none"/>
                <w:lang w:val="en-US" w:eastAsia="zh-CN"/>
              </w:rPr>
              <w:t>因</w:t>
            </w:r>
            <w:r>
              <w:rPr>
                <w:rFonts w:hint="default" w:ascii="Times New Roman" w:hAnsi="Times New Roman" w:eastAsia="宋体" w:cs="Times New Roman"/>
                <w:color w:val="auto"/>
                <w:sz w:val="24"/>
                <w:highlight w:val="none"/>
                <w:lang w:val="en-US" w:eastAsia="zh-CN"/>
              </w:rPr>
              <w:t>生活污水中主要污染物为</w:t>
            </w:r>
            <w:r>
              <w:rPr>
                <w:rFonts w:hint="eastAsia" w:cs="Times New Roman"/>
                <w:color w:val="auto"/>
                <w:sz w:val="24"/>
                <w:highlight w:val="none"/>
                <w:lang w:val="en-US" w:eastAsia="zh-CN"/>
              </w:rPr>
              <w:t>pH</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COD、BOD</w:t>
            </w:r>
            <w:r>
              <w:rPr>
                <w:rFonts w:hint="default" w:ascii="Times New Roman" w:hAnsi="Times New Roman" w:eastAsia="宋体" w:cs="Times New Roman"/>
                <w:color w:val="auto"/>
                <w:sz w:val="24"/>
                <w:highlight w:val="none"/>
                <w:vertAlign w:val="subscript"/>
                <w:lang w:val="en-US" w:eastAsia="zh-CN"/>
              </w:rPr>
              <w:t>5</w:t>
            </w:r>
            <w:r>
              <w:rPr>
                <w:rFonts w:hint="default" w:ascii="Times New Roman" w:hAnsi="Times New Roman" w:eastAsia="宋体" w:cs="Times New Roman"/>
                <w:color w:val="auto"/>
                <w:sz w:val="24"/>
                <w:highlight w:val="none"/>
                <w:lang w:val="en-US" w:eastAsia="zh-CN"/>
              </w:rPr>
              <w:t>、SS、氨氮、总磷</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动植物油</w:t>
            </w:r>
            <w:r>
              <w:rPr>
                <w:rFonts w:hint="eastAsia" w:ascii="Times New Roman" w:hAnsi="Times New Roman" w:eastAsia="宋体" w:cs="Times New Roman"/>
                <w:color w:val="auto"/>
                <w:sz w:val="24"/>
                <w:highlight w:val="none"/>
                <w:lang w:val="en-US" w:eastAsia="zh-CN"/>
              </w:rPr>
              <w:t>，而原项目验收时仅对</w:t>
            </w:r>
            <w:r>
              <w:rPr>
                <w:color w:val="auto"/>
                <w:sz w:val="24"/>
                <w:highlight w:val="none"/>
              </w:rPr>
              <w:t>《城</w:t>
            </w:r>
            <w:r>
              <w:rPr>
                <w:rFonts w:hint="eastAsia"/>
                <w:color w:val="auto"/>
                <w:sz w:val="24"/>
                <w:highlight w:val="none"/>
                <w:lang w:eastAsia="zh-CN"/>
              </w:rPr>
              <w:t>市</w:t>
            </w:r>
            <w:r>
              <w:rPr>
                <w:color w:val="auto"/>
                <w:sz w:val="24"/>
                <w:highlight w:val="none"/>
              </w:rPr>
              <w:t xml:space="preserve">污水再生利用 </w:t>
            </w:r>
            <w:r>
              <w:rPr>
                <w:rFonts w:hint="eastAsia"/>
                <w:color w:val="auto"/>
                <w:sz w:val="24"/>
                <w:highlight w:val="none"/>
                <w:lang w:eastAsia="zh-CN"/>
              </w:rPr>
              <w:t>城市</w:t>
            </w:r>
            <w:r>
              <w:rPr>
                <w:color w:val="auto"/>
                <w:sz w:val="24"/>
                <w:highlight w:val="none"/>
              </w:rPr>
              <w:t>杂用水水质》</w:t>
            </w:r>
            <w:r>
              <w:rPr>
                <w:rFonts w:hint="eastAsia"/>
                <w:color w:val="auto"/>
                <w:sz w:val="24"/>
                <w:highlight w:val="none"/>
              </w:rPr>
              <w:t>（</w:t>
            </w:r>
            <w:r>
              <w:rPr>
                <w:color w:val="auto"/>
                <w:sz w:val="24"/>
                <w:highlight w:val="none"/>
              </w:rPr>
              <w:t>GB/T1892</w:t>
            </w:r>
            <w:r>
              <w:rPr>
                <w:rFonts w:hint="eastAsia"/>
                <w:color w:val="auto"/>
                <w:sz w:val="24"/>
                <w:highlight w:val="none"/>
                <w:lang w:val="en-US" w:eastAsia="zh-CN"/>
              </w:rPr>
              <w:t>0-2020</w:t>
            </w:r>
            <w:r>
              <w:rPr>
                <w:rFonts w:hint="eastAsia"/>
                <w:color w:val="auto"/>
                <w:sz w:val="24"/>
                <w:highlight w:val="none"/>
              </w:rPr>
              <w:t>）</w:t>
            </w:r>
            <w:r>
              <w:rPr>
                <w:rFonts w:hint="default" w:hAnsi="Times New Roman"/>
                <w:color w:val="auto"/>
                <w:sz w:val="24"/>
                <w:szCs w:val="24"/>
                <w:highlight w:val="none"/>
              </w:rPr>
              <w:t>中</w:t>
            </w:r>
            <w:r>
              <w:rPr>
                <w:rFonts w:hint="eastAsia"/>
                <w:color w:val="auto"/>
                <w:sz w:val="24"/>
                <w:szCs w:val="24"/>
                <w:highlight w:val="none"/>
              </w:rPr>
              <w:t>城市绿化、</w:t>
            </w:r>
            <w:r>
              <w:rPr>
                <w:rFonts w:hint="eastAsia"/>
                <w:color w:val="auto"/>
                <w:sz w:val="24"/>
                <w:szCs w:val="24"/>
                <w:highlight w:val="none"/>
                <w:lang w:eastAsia="zh-CN"/>
              </w:rPr>
              <w:t>道路广场浇洒</w:t>
            </w:r>
            <w:r>
              <w:rPr>
                <w:rFonts w:hint="eastAsia"/>
                <w:color w:val="auto"/>
                <w:sz w:val="24"/>
                <w:szCs w:val="24"/>
                <w:highlight w:val="none"/>
              </w:rPr>
              <w:t>、消防、建筑施工标准</w:t>
            </w:r>
            <w:r>
              <w:rPr>
                <w:rFonts w:hint="eastAsia"/>
                <w:color w:val="auto"/>
                <w:sz w:val="24"/>
                <w:szCs w:val="24"/>
                <w:highlight w:val="none"/>
                <w:lang w:eastAsia="zh-CN"/>
              </w:rPr>
              <w:t>中的污染物进行了监测，未对</w:t>
            </w:r>
            <w:r>
              <w:rPr>
                <w:rFonts w:hint="default" w:ascii="Times New Roman" w:hAnsi="Times New Roman" w:eastAsia="宋体" w:cs="Times New Roman"/>
                <w:color w:val="auto"/>
                <w:sz w:val="24"/>
                <w:highlight w:val="none"/>
                <w:lang w:val="en-US" w:eastAsia="zh-CN"/>
              </w:rPr>
              <w:t>COD、SS、总磷</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动植物油</w:t>
            </w:r>
            <w:r>
              <w:rPr>
                <w:rFonts w:hint="eastAsia" w:ascii="Times New Roman" w:hAnsi="Times New Roman" w:eastAsia="宋体" w:cs="Times New Roman"/>
                <w:color w:val="auto"/>
                <w:sz w:val="24"/>
                <w:highlight w:val="none"/>
                <w:lang w:val="en-US" w:eastAsia="zh-CN"/>
              </w:rPr>
              <w:t>进行监测，</w:t>
            </w:r>
            <w:r>
              <w:rPr>
                <w:rFonts w:hint="eastAsia"/>
                <w:color w:val="auto"/>
                <w:sz w:val="24"/>
                <w:highlight w:val="none"/>
                <w:lang w:eastAsia="zh-CN"/>
              </w:rPr>
              <w:t>且</w:t>
            </w:r>
            <w:r>
              <w:rPr>
                <w:rFonts w:hint="eastAsia" w:ascii="Times New Roman" w:hAnsi="Times New Roman" w:eastAsia="宋体" w:cs="Times New Roman"/>
                <w:color w:val="auto"/>
                <w:sz w:val="24"/>
                <w:szCs w:val="24"/>
                <w:highlight w:val="none"/>
                <w:u w:val="none"/>
                <w:lang w:val="en-US" w:eastAsia="zh-CN"/>
              </w:rPr>
              <w:t>本</w:t>
            </w:r>
            <w:r>
              <w:rPr>
                <w:rFonts w:hint="default" w:ascii="Times New Roman" w:hAnsi="Times New Roman" w:eastAsia="宋体" w:cs="Times New Roman"/>
                <w:color w:val="auto"/>
                <w:sz w:val="24"/>
                <w:szCs w:val="24"/>
                <w:highlight w:val="none"/>
                <w:u w:val="none"/>
                <w:lang w:val="en-US" w:eastAsia="zh-CN"/>
              </w:rPr>
              <w:t>项目生活污水水质与</w:t>
            </w:r>
            <w:r>
              <w:rPr>
                <w:rFonts w:hint="eastAsia"/>
                <w:color w:val="auto"/>
                <w:sz w:val="24"/>
                <w:highlight w:val="none"/>
              </w:rPr>
              <w:t>“</w:t>
            </w:r>
            <w:r>
              <w:rPr>
                <w:color w:val="auto"/>
                <w:sz w:val="24"/>
                <w:highlight w:val="none"/>
              </w:rPr>
              <w:t>昆明思柏雅定制木制品生产线建设项目</w:t>
            </w:r>
            <w:r>
              <w:rPr>
                <w:rFonts w:hint="eastAsia"/>
                <w:color w:val="auto"/>
                <w:sz w:val="24"/>
                <w:highlight w:val="none"/>
              </w:rPr>
              <w:t>”</w:t>
            </w:r>
            <w:r>
              <w:rPr>
                <w:rFonts w:hint="default" w:ascii="Times New Roman" w:hAnsi="Times New Roman" w:eastAsia="宋体" w:cs="Times New Roman"/>
                <w:color w:val="auto"/>
                <w:sz w:val="24"/>
                <w:szCs w:val="24"/>
                <w:highlight w:val="none"/>
                <w:lang w:val="en-US" w:eastAsia="zh-CN"/>
              </w:rPr>
              <w:t>生活污水</w:t>
            </w:r>
            <w:r>
              <w:rPr>
                <w:rFonts w:hint="eastAsia" w:ascii="Times New Roman" w:hAnsi="Times New Roman" w:eastAsia="宋体" w:cs="Times New Roman"/>
                <w:color w:val="auto"/>
                <w:sz w:val="24"/>
                <w:szCs w:val="24"/>
                <w:highlight w:val="none"/>
                <w:lang w:val="en-US" w:eastAsia="zh-CN"/>
              </w:rPr>
              <w:t>类似，</w:t>
            </w:r>
            <w:r>
              <w:rPr>
                <w:rFonts w:hint="eastAsia"/>
                <w:color w:val="auto"/>
                <w:sz w:val="24"/>
                <w:highlight w:val="none"/>
                <w:lang w:eastAsia="zh-CN"/>
              </w:rPr>
              <w:t>生活</w:t>
            </w:r>
            <w:r>
              <w:rPr>
                <w:rFonts w:hint="eastAsia"/>
                <w:color w:val="auto"/>
                <w:sz w:val="24"/>
                <w:highlight w:val="none"/>
              </w:rPr>
              <w:t>污水处理</w:t>
            </w:r>
            <w:r>
              <w:rPr>
                <w:rFonts w:hint="eastAsia"/>
                <w:color w:val="auto"/>
                <w:sz w:val="24"/>
                <w:highlight w:val="none"/>
                <w:lang w:eastAsia="zh-CN"/>
              </w:rPr>
              <w:t>设施</w:t>
            </w:r>
            <w:r>
              <w:rPr>
                <w:rFonts w:hint="eastAsia"/>
                <w:color w:val="auto"/>
                <w:sz w:val="24"/>
                <w:highlight w:val="none"/>
              </w:rPr>
              <w:t>采用的处理工艺</w:t>
            </w:r>
            <w:r>
              <w:rPr>
                <w:rFonts w:hint="eastAsia"/>
                <w:color w:val="auto"/>
                <w:sz w:val="24"/>
                <w:highlight w:val="none"/>
                <w:lang w:val="en-US" w:eastAsia="zh-CN"/>
              </w:rPr>
              <w:t>MBR膜生物反应</w:t>
            </w:r>
            <w:r>
              <w:rPr>
                <w:rFonts w:hint="default" w:ascii="Times New Roman" w:hAnsi="Times New Roman" w:eastAsia="宋体" w:cs="Times New Roman"/>
                <w:color w:val="auto"/>
                <w:sz w:val="24"/>
                <w:szCs w:val="24"/>
                <w:highlight w:val="none"/>
              </w:rPr>
              <w:t>”</w:t>
            </w:r>
            <w:r>
              <w:rPr>
                <w:rFonts w:hint="eastAsia"/>
                <w:color w:val="auto"/>
                <w:sz w:val="24"/>
                <w:highlight w:val="none"/>
              </w:rPr>
              <w:t>与“</w:t>
            </w:r>
            <w:r>
              <w:rPr>
                <w:color w:val="auto"/>
                <w:sz w:val="24"/>
                <w:highlight w:val="none"/>
              </w:rPr>
              <w:t>昆明思柏雅定制木制品生产线建设项目</w:t>
            </w:r>
            <w:r>
              <w:rPr>
                <w:rFonts w:hint="eastAsia"/>
                <w:color w:val="auto"/>
                <w:sz w:val="24"/>
                <w:highlight w:val="none"/>
              </w:rPr>
              <w:t>”内生活污水处理工艺一致</w:t>
            </w:r>
            <w:r>
              <w:rPr>
                <w:rFonts w:hint="eastAsia"/>
                <w:color w:val="auto"/>
                <w:sz w:val="24"/>
                <w:highlight w:val="none"/>
                <w:lang w:eastAsia="zh-CN"/>
              </w:rPr>
              <w:t>，</w:t>
            </w:r>
            <w:r>
              <w:rPr>
                <w:rFonts w:hint="eastAsia"/>
                <w:color w:val="auto"/>
                <w:sz w:val="24"/>
                <w:szCs w:val="24"/>
                <w:highlight w:val="none"/>
                <w:lang w:eastAsia="zh-CN"/>
              </w:rPr>
              <w:t>故本项目生活污水中</w:t>
            </w:r>
            <w:r>
              <w:rPr>
                <w:rFonts w:hint="default" w:ascii="Times New Roman" w:hAnsi="Times New Roman" w:eastAsia="宋体" w:cs="Times New Roman"/>
                <w:color w:val="auto"/>
                <w:sz w:val="24"/>
                <w:highlight w:val="none"/>
                <w:lang w:val="en-US" w:eastAsia="zh-CN"/>
              </w:rPr>
              <w:t>COD、SS、总磷</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动植物油</w:t>
            </w:r>
            <w:r>
              <w:rPr>
                <w:rFonts w:hint="eastAsia"/>
                <w:color w:val="auto"/>
                <w:sz w:val="24"/>
                <w:szCs w:val="24"/>
                <w:highlight w:val="none"/>
                <w:lang w:eastAsia="zh-CN"/>
              </w:rPr>
              <w:t>及其浓度类比《</w:t>
            </w:r>
            <w:r>
              <w:rPr>
                <w:color w:val="auto"/>
                <w:sz w:val="24"/>
                <w:highlight w:val="none"/>
              </w:rPr>
              <w:t>昆明思柏雅定制木制品生产线建设项目竣工环境保护验收监测报告表》中生活污水相关数据</w:t>
            </w:r>
            <w:r>
              <w:rPr>
                <w:rFonts w:hint="eastAsia"/>
                <w:color w:val="auto"/>
                <w:sz w:val="24"/>
                <w:highlight w:val="none"/>
              </w:rPr>
              <w:t>，详见表4-</w:t>
            </w:r>
            <w:r>
              <w:rPr>
                <w:rFonts w:hint="eastAsia"/>
                <w:color w:val="auto"/>
                <w:sz w:val="24"/>
                <w:highlight w:val="none"/>
                <w:lang w:val="en-US" w:eastAsia="zh-CN"/>
              </w:rPr>
              <w:t>8</w:t>
            </w:r>
            <w:r>
              <w:rPr>
                <w:rFonts w:hint="eastAsia"/>
                <w:color w:val="auto"/>
                <w:sz w:val="24"/>
                <w:highlight w:val="none"/>
              </w:rPr>
              <w:t>。</w:t>
            </w:r>
          </w:p>
          <w:p w14:paraId="41B16ED0">
            <w:pPr>
              <w:adjustRightInd w:val="0"/>
              <w:snapToGrid w:val="0"/>
              <w:jc w:val="center"/>
              <w:rPr>
                <w:b/>
                <w:bCs/>
                <w:color w:val="auto"/>
                <w:szCs w:val="21"/>
                <w:highlight w:val="none"/>
              </w:rPr>
            </w:pPr>
            <w:r>
              <w:rPr>
                <w:b/>
                <w:bCs/>
                <w:color w:val="auto"/>
                <w:szCs w:val="21"/>
                <w:highlight w:val="none"/>
              </w:rPr>
              <w:t>表4-</w:t>
            </w:r>
            <w:r>
              <w:rPr>
                <w:rFonts w:hint="eastAsia"/>
                <w:b/>
                <w:bCs/>
                <w:color w:val="auto"/>
                <w:szCs w:val="21"/>
                <w:highlight w:val="none"/>
                <w:lang w:val="en-US" w:eastAsia="zh-CN"/>
              </w:rPr>
              <w:t>8</w:t>
            </w:r>
            <w:r>
              <w:rPr>
                <w:b/>
                <w:bCs/>
                <w:color w:val="auto"/>
                <w:szCs w:val="21"/>
                <w:highlight w:val="none"/>
              </w:rPr>
              <w:t xml:space="preserve">  项目</w:t>
            </w:r>
            <w:r>
              <w:rPr>
                <w:rFonts w:hint="eastAsia"/>
                <w:b/>
                <w:bCs/>
                <w:color w:val="auto"/>
                <w:szCs w:val="21"/>
                <w:highlight w:val="none"/>
              </w:rPr>
              <w:t>生活污水</w:t>
            </w:r>
            <w:r>
              <w:rPr>
                <w:b/>
                <w:bCs/>
                <w:color w:val="auto"/>
                <w:szCs w:val="21"/>
                <w:highlight w:val="none"/>
              </w:rPr>
              <w:t>产排情况一览表</w:t>
            </w:r>
          </w:p>
          <w:tbl>
            <w:tblPr>
              <w:tblStyle w:val="25"/>
              <w:tblW w:w="8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19"/>
              <w:gridCol w:w="720"/>
              <w:gridCol w:w="810"/>
              <w:gridCol w:w="990"/>
              <w:gridCol w:w="688"/>
              <w:gridCol w:w="1097"/>
              <w:gridCol w:w="810"/>
              <w:gridCol w:w="837"/>
              <w:gridCol w:w="735"/>
              <w:gridCol w:w="660"/>
            </w:tblGrid>
            <w:tr w14:paraId="376D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 w:type="pct"/>
                  <w:vAlign w:val="center"/>
                </w:tcPr>
                <w:p w14:paraId="3BCF2E31">
                  <w:pPr>
                    <w:snapToGrid w:val="0"/>
                    <w:jc w:val="center"/>
                    <w:rPr>
                      <w:b/>
                      <w:bCs/>
                      <w:color w:val="auto"/>
                      <w:szCs w:val="21"/>
                      <w:highlight w:val="none"/>
                    </w:rPr>
                  </w:pPr>
                  <w:r>
                    <w:rPr>
                      <w:b/>
                      <w:bCs/>
                      <w:color w:val="auto"/>
                      <w:szCs w:val="21"/>
                      <w:highlight w:val="none"/>
                    </w:rPr>
                    <w:t>污染源</w:t>
                  </w:r>
                </w:p>
              </w:tc>
              <w:tc>
                <w:tcPr>
                  <w:tcW w:w="423" w:type="pct"/>
                  <w:vAlign w:val="center"/>
                </w:tcPr>
                <w:p w14:paraId="39CDE063">
                  <w:pPr>
                    <w:snapToGrid w:val="0"/>
                    <w:jc w:val="center"/>
                    <w:rPr>
                      <w:b/>
                      <w:bCs/>
                      <w:color w:val="auto"/>
                      <w:szCs w:val="21"/>
                      <w:highlight w:val="none"/>
                    </w:rPr>
                  </w:pPr>
                  <w:r>
                    <w:rPr>
                      <w:b/>
                      <w:bCs/>
                      <w:color w:val="auto"/>
                      <w:szCs w:val="21"/>
                      <w:highlight w:val="none"/>
                    </w:rPr>
                    <w:t>污染物</w:t>
                  </w:r>
                </w:p>
              </w:tc>
              <w:tc>
                <w:tcPr>
                  <w:tcW w:w="424" w:type="pct"/>
                  <w:vAlign w:val="center"/>
                </w:tcPr>
                <w:p w14:paraId="7A6E79C7">
                  <w:pPr>
                    <w:snapToGrid w:val="0"/>
                    <w:jc w:val="center"/>
                    <w:rPr>
                      <w:b/>
                      <w:bCs/>
                      <w:color w:val="auto"/>
                      <w:szCs w:val="21"/>
                      <w:highlight w:val="none"/>
                    </w:rPr>
                  </w:pPr>
                  <w:r>
                    <w:rPr>
                      <w:b/>
                      <w:bCs/>
                      <w:color w:val="auto"/>
                      <w:szCs w:val="21"/>
                      <w:highlight w:val="none"/>
                    </w:rPr>
                    <w:t>产生浓度mg/L</w:t>
                  </w:r>
                </w:p>
              </w:tc>
              <w:tc>
                <w:tcPr>
                  <w:tcW w:w="477" w:type="pct"/>
                  <w:vAlign w:val="center"/>
                </w:tcPr>
                <w:p w14:paraId="74199FD5">
                  <w:pPr>
                    <w:snapToGrid w:val="0"/>
                    <w:jc w:val="center"/>
                    <w:rPr>
                      <w:b/>
                      <w:bCs/>
                      <w:color w:val="auto"/>
                      <w:szCs w:val="21"/>
                      <w:highlight w:val="none"/>
                    </w:rPr>
                  </w:pPr>
                  <w:r>
                    <w:rPr>
                      <w:b/>
                      <w:bCs/>
                      <w:color w:val="auto"/>
                      <w:szCs w:val="21"/>
                      <w:highlight w:val="none"/>
                    </w:rPr>
                    <w:t>产生量</w:t>
                  </w:r>
                </w:p>
                <w:p w14:paraId="4F2E526D">
                  <w:pPr>
                    <w:snapToGrid w:val="0"/>
                    <w:jc w:val="center"/>
                    <w:rPr>
                      <w:b/>
                      <w:bCs/>
                      <w:color w:val="auto"/>
                      <w:szCs w:val="21"/>
                      <w:highlight w:val="none"/>
                    </w:rPr>
                  </w:pPr>
                  <w:r>
                    <w:rPr>
                      <w:b/>
                      <w:bCs/>
                      <w:color w:val="auto"/>
                      <w:szCs w:val="21"/>
                      <w:highlight w:val="none"/>
                    </w:rPr>
                    <w:t>t/a</w:t>
                  </w:r>
                </w:p>
              </w:tc>
              <w:tc>
                <w:tcPr>
                  <w:tcW w:w="583" w:type="pct"/>
                  <w:vAlign w:val="center"/>
                </w:tcPr>
                <w:p w14:paraId="5D08A1D1">
                  <w:pPr>
                    <w:snapToGrid w:val="0"/>
                    <w:jc w:val="center"/>
                    <w:rPr>
                      <w:b/>
                      <w:bCs/>
                      <w:color w:val="auto"/>
                      <w:szCs w:val="21"/>
                      <w:highlight w:val="none"/>
                    </w:rPr>
                  </w:pPr>
                  <w:r>
                    <w:rPr>
                      <w:b/>
                      <w:bCs/>
                      <w:color w:val="auto"/>
                      <w:szCs w:val="21"/>
                      <w:highlight w:val="none"/>
                    </w:rPr>
                    <w:t>处理方式</w:t>
                  </w:r>
                </w:p>
              </w:tc>
              <w:tc>
                <w:tcPr>
                  <w:tcW w:w="405" w:type="pct"/>
                  <w:vAlign w:val="center"/>
                </w:tcPr>
                <w:p w14:paraId="7C5FF306">
                  <w:pPr>
                    <w:snapToGrid w:val="0"/>
                    <w:jc w:val="center"/>
                    <w:rPr>
                      <w:b/>
                      <w:bCs/>
                      <w:color w:val="auto"/>
                      <w:szCs w:val="21"/>
                      <w:highlight w:val="none"/>
                    </w:rPr>
                  </w:pPr>
                  <w:r>
                    <w:rPr>
                      <w:b/>
                      <w:bCs/>
                      <w:color w:val="auto"/>
                      <w:szCs w:val="21"/>
                      <w:highlight w:val="none"/>
                    </w:rPr>
                    <w:t>去除效率%</w:t>
                  </w:r>
                </w:p>
              </w:tc>
              <w:tc>
                <w:tcPr>
                  <w:tcW w:w="646" w:type="pct"/>
                  <w:vAlign w:val="center"/>
                </w:tcPr>
                <w:p w14:paraId="597395B6">
                  <w:pPr>
                    <w:snapToGrid w:val="0"/>
                    <w:jc w:val="center"/>
                    <w:rPr>
                      <w:b/>
                      <w:bCs/>
                      <w:color w:val="auto"/>
                      <w:szCs w:val="21"/>
                      <w:highlight w:val="none"/>
                    </w:rPr>
                  </w:pPr>
                  <w:r>
                    <w:rPr>
                      <w:b/>
                      <w:bCs/>
                      <w:color w:val="auto"/>
                      <w:szCs w:val="21"/>
                      <w:highlight w:val="none"/>
                    </w:rPr>
                    <w:t>处理设施出口浓度mg/L</w:t>
                  </w:r>
                </w:p>
              </w:tc>
              <w:tc>
                <w:tcPr>
                  <w:tcW w:w="477" w:type="pct"/>
                  <w:vAlign w:val="center"/>
                </w:tcPr>
                <w:p w14:paraId="51C60DA6">
                  <w:pPr>
                    <w:snapToGrid w:val="0"/>
                    <w:jc w:val="center"/>
                    <w:rPr>
                      <w:b/>
                      <w:bCs/>
                      <w:color w:val="auto"/>
                      <w:szCs w:val="21"/>
                      <w:highlight w:val="none"/>
                    </w:rPr>
                  </w:pPr>
                  <w:r>
                    <w:rPr>
                      <w:b/>
                      <w:bCs/>
                      <w:color w:val="auto"/>
                      <w:szCs w:val="21"/>
                      <w:highlight w:val="none"/>
                    </w:rPr>
                    <w:t>去除量</w:t>
                  </w:r>
                </w:p>
                <w:p w14:paraId="1AC71CEE">
                  <w:pPr>
                    <w:snapToGrid w:val="0"/>
                    <w:jc w:val="center"/>
                    <w:rPr>
                      <w:b/>
                      <w:bCs/>
                      <w:color w:val="auto"/>
                      <w:szCs w:val="21"/>
                      <w:highlight w:val="none"/>
                    </w:rPr>
                  </w:pPr>
                  <w:r>
                    <w:rPr>
                      <w:b/>
                      <w:bCs/>
                      <w:color w:val="auto"/>
                      <w:szCs w:val="21"/>
                      <w:highlight w:val="none"/>
                    </w:rPr>
                    <w:t>t/a</w:t>
                  </w:r>
                </w:p>
              </w:tc>
              <w:tc>
                <w:tcPr>
                  <w:tcW w:w="493" w:type="pct"/>
                  <w:vAlign w:val="center"/>
                </w:tcPr>
                <w:p w14:paraId="515B4AFB">
                  <w:pPr>
                    <w:snapToGrid w:val="0"/>
                    <w:jc w:val="center"/>
                    <w:rPr>
                      <w:b/>
                      <w:bCs/>
                      <w:color w:val="auto"/>
                      <w:szCs w:val="21"/>
                      <w:highlight w:val="none"/>
                    </w:rPr>
                  </w:pPr>
                  <w:r>
                    <w:rPr>
                      <w:b/>
                      <w:bCs/>
                      <w:color w:val="auto"/>
                      <w:szCs w:val="21"/>
                      <w:highlight w:val="none"/>
                    </w:rPr>
                    <w:t>回用量t/a</w:t>
                  </w:r>
                </w:p>
              </w:tc>
              <w:tc>
                <w:tcPr>
                  <w:tcW w:w="433" w:type="pct"/>
                  <w:vAlign w:val="center"/>
                </w:tcPr>
                <w:p w14:paraId="4F49E8AF">
                  <w:pPr>
                    <w:snapToGrid w:val="0"/>
                    <w:jc w:val="center"/>
                    <w:rPr>
                      <w:b/>
                      <w:bCs/>
                      <w:color w:val="auto"/>
                      <w:szCs w:val="21"/>
                      <w:highlight w:val="none"/>
                    </w:rPr>
                  </w:pPr>
                  <w:r>
                    <w:rPr>
                      <w:rFonts w:hint="eastAsia"/>
                      <w:b/>
                      <w:bCs/>
                      <w:color w:val="auto"/>
                      <w:szCs w:val="21"/>
                      <w:highlight w:val="none"/>
                    </w:rPr>
                    <w:t>标准值</w:t>
                  </w:r>
                  <w:r>
                    <w:rPr>
                      <w:b/>
                      <w:bCs/>
                      <w:color w:val="auto"/>
                      <w:szCs w:val="21"/>
                      <w:highlight w:val="none"/>
                    </w:rPr>
                    <w:t>mg/L</w:t>
                  </w:r>
                </w:p>
              </w:tc>
              <w:tc>
                <w:tcPr>
                  <w:tcW w:w="388" w:type="pct"/>
                  <w:vAlign w:val="center"/>
                </w:tcPr>
                <w:p w14:paraId="0DA9A123">
                  <w:pPr>
                    <w:snapToGrid w:val="0"/>
                    <w:jc w:val="center"/>
                    <w:rPr>
                      <w:b/>
                      <w:bCs/>
                      <w:color w:val="auto"/>
                      <w:szCs w:val="21"/>
                      <w:highlight w:val="none"/>
                    </w:rPr>
                  </w:pPr>
                  <w:r>
                    <w:rPr>
                      <w:rFonts w:hint="eastAsia"/>
                      <w:b/>
                      <w:bCs/>
                      <w:color w:val="auto"/>
                      <w:szCs w:val="21"/>
                      <w:highlight w:val="none"/>
                    </w:rPr>
                    <w:t>达标情况</w:t>
                  </w:r>
                </w:p>
              </w:tc>
            </w:tr>
            <w:tr w14:paraId="6EE9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48" w:type="pct"/>
                  <w:vMerge w:val="restart"/>
                  <w:vAlign w:val="center"/>
                </w:tcPr>
                <w:p w14:paraId="43E01947">
                  <w:pPr>
                    <w:rPr>
                      <w:color w:val="auto"/>
                      <w:szCs w:val="21"/>
                      <w:highlight w:val="none"/>
                    </w:rPr>
                  </w:pPr>
                  <w:r>
                    <w:rPr>
                      <w:color w:val="auto"/>
                      <w:szCs w:val="21"/>
                      <w:highlight w:val="none"/>
                    </w:rPr>
                    <w:t>生活污水</w:t>
                  </w:r>
                </w:p>
              </w:tc>
              <w:tc>
                <w:tcPr>
                  <w:tcW w:w="423" w:type="pct"/>
                  <w:vAlign w:val="center"/>
                </w:tcPr>
                <w:p w14:paraId="24A00E2E">
                  <w:pPr>
                    <w:jc w:val="center"/>
                    <w:rPr>
                      <w:color w:val="auto"/>
                      <w:szCs w:val="21"/>
                      <w:highlight w:val="none"/>
                    </w:rPr>
                  </w:pPr>
                  <w:r>
                    <w:rPr>
                      <w:color w:val="auto"/>
                      <w:szCs w:val="21"/>
                      <w:highlight w:val="none"/>
                    </w:rPr>
                    <w:t>废水</w:t>
                  </w:r>
                </w:p>
              </w:tc>
              <w:tc>
                <w:tcPr>
                  <w:tcW w:w="424" w:type="pct"/>
                  <w:vAlign w:val="center"/>
                </w:tcPr>
                <w:p w14:paraId="5C3982DF">
                  <w:pPr>
                    <w:jc w:val="center"/>
                    <w:rPr>
                      <w:color w:val="auto"/>
                      <w:szCs w:val="21"/>
                      <w:highlight w:val="none"/>
                    </w:rPr>
                  </w:pPr>
                  <w:r>
                    <w:rPr>
                      <w:color w:val="auto"/>
                      <w:szCs w:val="21"/>
                      <w:highlight w:val="none"/>
                    </w:rPr>
                    <w:t>/</w:t>
                  </w:r>
                </w:p>
              </w:tc>
              <w:tc>
                <w:tcPr>
                  <w:tcW w:w="477" w:type="pct"/>
                  <w:vAlign w:val="center"/>
                </w:tcPr>
                <w:p w14:paraId="5FC780C1">
                  <w:pPr>
                    <w:jc w:val="center"/>
                    <w:rPr>
                      <w:color w:val="auto"/>
                      <w:szCs w:val="21"/>
                      <w:highlight w:val="none"/>
                    </w:rPr>
                  </w:pPr>
                  <w:r>
                    <w:rPr>
                      <w:rFonts w:hint="eastAsia"/>
                      <w:color w:val="auto"/>
                      <w:szCs w:val="21"/>
                      <w:highlight w:val="none"/>
                      <w:lang w:val="en-US" w:eastAsia="zh-CN"/>
                    </w:rPr>
                    <w:t>360</w:t>
                  </w:r>
                </w:p>
              </w:tc>
              <w:tc>
                <w:tcPr>
                  <w:tcW w:w="583" w:type="pct"/>
                  <w:vMerge w:val="restart"/>
                  <w:vAlign w:val="center"/>
                </w:tcPr>
                <w:p w14:paraId="0188D31C">
                  <w:pPr>
                    <w:widowControl/>
                    <w:jc w:val="center"/>
                    <w:textAlignment w:val="center"/>
                    <w:rPr>
                      <w:color w:val="auto"/>
                      <w:kern w:val="0"/>
                      <w:szCs w:val="21"/>
                      <w:highlight w:val="none"/>
                      <w:lang w:bidi="ar"/>
                    </w:rPr>
                  </w:pPr>
                  <w:r>
                    <w:rPr>
                      <w:color w:val="auto"/>
                      <w:szCs w:val="21"/>
                      <w:highlight w:val="none"/>
                    </w:rPr>
                    <w:t>隔油池+化粪池+</w:t>
                  </w:r>
                  <w:r>
                    <w:rPr>
                      <w:rFonts w:hint="eastAsia"/>
                      <w:color w:val="auto"/>
                      <w:szCs w:val="21"/>
                      <w:highlight w:val="none"/>
                      <w:lang w:eastAsia="zh-CN"/>
                    </w:rPr>
                    <w:t>一体化</w:t>
                  </w:r>
                  <w:r>
                    <w:rPr>
                      <w:rFonts w:hint="eastAsia" w:cs="Times New Roman"/>
                      <w:color w:val="auto"/>
                      <w:sz w:val="21"/>
                      <w:szCs w:val="21"/>
                      <w:highlight w:val="none"/>
                      <w:lang w:val="en-US" w:eastAsia="zh-CN"/>
                    </w:rPr>
                    <w:t>生活</w:t>
                  </w:r>
                  <w:r>
                    <w:rPr>
                      <w:rFonts w:hint="default" w:ascii="Times New Roman" w:hAnsi="Times New Roman" w:eastAsia="宋体" w:cs="Times New Roman"/>
                      <w:color w:val="auto"/>
                      <w:sz w:val="21"/>
                      <w:szCs w:val="21"/>
                      <w:highlight w:val="none"/>
                      <w:lang w:val="en-US" w:eastAsia="zh-CN"/>
                    </w:rPr>
                    <w:t>污水处理设备</w:t>
                  </w:r>
                </w:p>
              </w:tc>
              <w:tc>
                <w:tcPr>
                  <w:tcW w:w="405" w:type="pct"/>
                  <w:vAlign w:val="center"/>
                </w:tcPr>
                <w:p w14:paraId="7EF939DC">
                  <w:pPr>
                    <w:jc w:val="center"/>
                    <w:rPr>
                      <w:color w:val="auto"/>
                      <w:szCs w:val="21"/>
                      <w:highlight w:val="none"/>
                    </w:rPr>
                  </w:pPr>
                  <w:r>
                    <w:rPr>
                      <w:color w:val="auto"/>
                      <w:szCs w:val="21"/>
                      <w:highlight w:val="none"/>
                    </w:rPr>
                    <w:t>/</w:t>
                  </w:r>
                </w:p>
              </w:tc>
              <w:tc>
                <w:tcPr>
                  <w:tcW w:w="646" w:type="pct"/>
                  <w:vAlign w:val="center"/>
                </w:tcPr>
                <w:p w14:paraId="78A7CD30">
                  <w:pPr>
                    <w:jc w:val="center"/>
                    <w:rPr>
                      <w:color w:val="auto"/>
                      <w:szCs w:val="21"/>
                      <w:highlight w:val="none"/>
                    </w:rPr>
                  </w:pPr>
                  <w:r>
                    <w:rPr>
                      <w:color w:val="auto"/>
                      <w:szCs w:val="21"/>
                      <w:highlight w:val="none"/>
                    </w:rPr>
                    <w:t>/</w:t>
                  </w:r>
                </w:p>
              </w:tc>
              <w:tc>
                <w:tcPr>
                  <w:tcW w:w="477" w:type="pct"/>
                  <w:vAlign w:val="center"/>
                </w:tcPr>
                <w:p w14:paraId="3339E79D">
                  <w:pPr>
                    <w:jc w:val="center"/>
                    <w:rPr>
                      <w:color w:val="auto"/>
                      <w:szCs w:val="21"/>
                      <w:highlight w:val="none"/>
                    </w:rPr>
                  </w:pPr>
                  <w:r>
                    <w:rPr>
                      <w:color w:val="auto"/>
                      <w:szCs w:val="21"/>
                      <w:highlight w:val="none"/>
                    </w:rPr>
                    <w:t>0</w:t>
                  </w:r>
                </w:p>
              </w:tc>
              <w:tc>
                <w:tcPr>
                  <w:tcW w:w="493" w:type="pct"/>
                  <w:vAlign w:val="center"/>
                </w:tcPr>
                <w:p w14:paraId="61E9D098">
                  <w:pPr>
                    <w:jc w:val="center"/>
                    <w:rPr>
                      <w:color w:val="auto"/>
                      <w:szCs w:val="21"/>
                      <w:highlight w:val="none"/>
                    </w:rPr>
                  </w:pPr>
                  <w:r>
                    <w:rPr>
                      <w:rFonts w:hint="eastAsia"/>
                      <w:color w:val="auto"/>
                      <w:szCs w:val="21"/>
                      <w:highlight w:val="none"/>
                      <w:lang w:val="en-US" w:eastAsia="zh-CN"/>
                    </w:rPr>
                    <w:t>360</w:t>
                  </w:r>
                </w:p>
              </w:tc>
              <w:tc>
                <w:tcPr>
                  <w:tcW w:w="433" w:type="pct"/>
                  <w:vAlign w:val="center"/>
                </w:tcPr>
                <w:p w14:paraId="5C585F8E">
                  <w:pPr>
                    <w:jc w:val="center"/>
                    <w:rPr>
                      <w:color w:val="auto"/>
                      <w:szCs w:val="21"/>
                      <w:highlight w:val="none"/>
                    </w:rPr>
                  </w:pPr>
                  <w:r>
                    <w:rPr>
                      <w:rFonts w:hint="eastAsia"/>
                      <w:color w:val="auto"/>
                      <w:szCs w:val="21"/>
                      <w:highlight w:val="none"/>
                    </w:rPr>
                    <w:t>/</w:t>
                  </w:r>
                </w:p>
              </w:tc>
              <w:tc>
                <w:tcPr>
                  <w:tcW w:w="388" w:type="pct"/>
                  <w:vAlign w:val="center"/>
                </w:tcPr>
                <w:p w14:paraId="5B395DBD">
                  <w:pPr>
                    <w:jc w:val="center"/>
                    <w:rPr>
                      <w:color w:val="auto"/>
                      <w:szCs w:val="21"/>
                      <w:highlight w:val="none"/>
                    </w:rPr>
                  </w:pPr>
                  <w:r>
                    <w:rPr>
                      <w:rFonts w:hint="eastAsia"/>
                      <w:color w:val="auto"/>
                      <w:szCs w:val="21"/>
                      <w:highlight w:val="none"/>
                    </w:rPr>
                    <w:t>/</w:t>
                  </w:r>
                </w:p>
              </w:tc>
            </w:tr>
            <w:tr w14:paraId="6A42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48" w:type="pct"/>
                  <w:vMerge w:val="continue"/>
                  <w:vAlign w:val="center"/>
                </w:tcPr>
                <w:p w14:paraId="4B333E1E">
                  <w:pPr>
                    <w:jc w:val="center"/>
                    <w:rPr>
                      <w:color w:val="auto"/>
                      <w:szCs w:val="21"/>
                      <w:highlight w:val="none"/>
                    </w:rPr>
                  </w:pPr>
                </w:p>
              </w:tc>
              <w:tc>
                <w:tcPr>
                  <w:tcW w:w="423" w:type="pct"/>
                  <w:vAlign w:val="center"/>
                </w:tcPr>
                <w:p w14:paraId="0056A706">
                  <w:pPr>
                    <w:jc w:val="center"/>
                    <w:rPr>
                      <w:color w:val="auto"/>
                      <w:szCs w:val="21"/>
                      <w:highlight w:val="none"/>
                    </w:rPr>
                  </w:pPr>
                  <w:r>
                    <w:rPr>
                      <w:color w:val="auto"/>
                      <w:szCs w:val="21"/>
                      <w:highlight w:val="none"/>
                    </w:rPr>
                    <w:t>COD</w:t>
                  </w:r>
                </w:p>
              </w:tc>
              <w:tc>
                <w:tcPr>
                  <w:tcW w:w="424" w:type="pct"/>
                  <w:vAlign w:val="center"/>
                </w:tcPr>
                <w:p w14:paraId="2A370A94">
                  <w:pPr>
                    <w:jc w:val="center"/>
                    <w:rPr>
                      <w:color w:val="auto"/>
                      <w:szCs w:val="21"/>
                      <w:highlight w:val="none"/>
                    </w:rPr>
                  </w:pPr>
                  <w:r>
                    <w:rPr>
                      <w:rFonts w:ascii="Times New Roman" w:hAnsi="Times New Roman" w:eastAsia="宋体" w:cs="Times New Roman"/>
                      <w:color w:val="auto"/>
                      <w:szCs w:val="21"/>
                      <w:highlight w:val="none"/>
                    </w:rPr>
                    <w:t>400</w:t>
                  </w:r>
                </w:p>
              </w:tc>
              <w:tc>
                <w:tcPr>
                  <w:tcW w:w="477" w:type="pct"/>
                  <w:vAlign w:val="center"/>
                </w:tcPr>
                <w:p w14:paraId="43464150">
                  <w:pPr>
                    <w:jc w:val="center"/>
                    <w:rPr>
                      <w:color w:val="auto"/>
                      <w:szCs w:val="21"/>
                      <w:highlight w:val="none"/>
                    </w:rPr>
                  </w:pPr>
                  <w:r>
                    <w:rPr>
                      <w:rFonts w:hint="eastAsia"/>
                      <w:color w:val="auto"/>
                      <w:szCs w:val="21"/>
                      <w:highlight w:val="none"/>
                      <w:lang w:val="en-US" w:eastAsia="zh-CN"/>
                    </w:rPr>
                    <w:t>0.144</w:t>
                  </w:r>
                </w:p>
              </w:tc>
              <w:tc>
                <w:tcPr>
                  <w:tcW w:w="583" w:type="pct"/>
                  <w:vMerge w:val="continue"/>
                  <w:vAlign w:val="center"/>
                </w:tcPr>
                <w:p w14:paraId="72C9B915">
                  <w:pPr>
                    <w:widowControl/>
                    <w:jc w:val="center"/>
                    <w:textAlignment w:val="center"/>
                    <w:rPr>
                      <w:color w:val="auto"/>
                      <w:kern w:val="0"/>
                      <w:szCs w:val="21"/>
                      <w:highlight w:val="none"/>
                      <w:lang w:bidi="ar"/>
                    </w:rPr>
                  </w:pPr>
                </w:p>
              </w:tc>
              <w:tc>
                <w:tcPr>
                  <w:tcW w:w="405" w:type="pct"/>
                  <w:vAlign w:val="center"/>
                </w:tcPr>
                <w:p w14:paraId="23B455EA">
                  <w:pPr>
                    <w:jc w:val="center"/>
                    <w:rPr>
                      <w:color w:val="auto"/>
                      <w:szCs w:val="21"/>
                      <w:highlight w:val="none"/>
                    </w:rPr>
                  </w:pPr>
                  <w:r>
                    <w:rPr>
                      <w:color w:val="auto"/>
                      <w:szCs w:val="21"/>
                      <w:highlight w:val="none"/>
                    </w:rPr>
                    <w:t xml:space="preserve">92 </w:t>
                  </w:r>
                </w:p>
              </w:tc>
              <w:tc>
                <w:tcPr>
                  <w:tcW w:w="646" w:type="pct"/>
                  <w:vAlign w:val="center"/>
                </w:tcPr>
                <w:p w14:paraId="2118FD02">
                  <w:pPr>
                    <w:jc w:val="center"/>
                    <w:rPr>
                      <w:color w:val="auto"/>
                      <w:szCs w:val="21"/>
                      <w:highlight w:val="none"/>
                    </w:rPr>
                  </w:pPr>
                  <w:r>
                    <w:rPr>
                      <w:rFonts w:hint="eastAsia"/>
                      <w:color w:val="auto"/>
                      <w:szCs w:val="21"/>
                      <w:highlight w:val="none"/>
                    </w:rPr>
                    <w:t>32</w:t>
                  </w:r>
                </w:p>
              </w:tc>
              <w:tc>
                <w:tcPr>
                  <w:tcW w:w="477" w:type="pct"/>
                  <w:vAlign w:val="center"/>
                </w:tcPr>
                <w:p w14:paraId="75B029A8">
                  <w:pPr>
                    <w:jc w:val="center"/>
                    <w:rPr>
                      <w:color w:val="auto"/>
                      <w:szCs w:val="21"/>
                      <w:highlight w:val="none"/>
                    </w:rPr>
                  </w:pPr>
                  <w:r>
                    <w:rPr>
                      <w:rFonts w:hint="eastAsia"/>
                      <w:color w:val="auto"/>
                      <w:szCs w:val="21"/>
                      <w:highlight w:val="none"/>
                      <w:lang w:val="en-US" w:eastAsia="zh-CN"/>
                    </w:rPr>
                    <w:t>0.1325</w:t>
                  </w:r>
                </w:p>
              </w:tc>
              <w:tc>
                <w:tcPr>
                  <w:tcW w:w="493" w:type="pct"/>
                  <w:vAlign w:val="center"/>
                </w:tcPr>
                <w:p w14:paraId="504C6D31">
                  <w:pPr>
                    <w:jc w:val="center"/>
                    <w:rPr>
                      <w:color w:val="auto"/>
                      <w:szCs w:val="21"/>
                      <w:highlight w:val="none"/>
                    </w:rPr>
                  </w:pPr>
                  <w:r>
                    <w:rPr>
                      <w:rFonts w:hint="eastAsia"/>
                      <w:color w:val="auto"/>
                      <w:szCs w:val="21"/>
                      <w:highlight w:val="none"/>
                      <w:lang w:val="en-US" w:eastAsia="zh-CN"/>
                    </w:rPr>
                    <w:t>0.0115</w:t>
                  </w:r>
                </w:p>
              </w:tc>
              <w:tc>
                <w:tcPr>
                  <w:tcW w:w="433" w:type="pct"/>
                  <w:vAlign w:val="center"/>
                </w:tcPr>
                <w:p w14:paraId="7865AF2B">
                  <w:pPr>
                    <w:jc w:val="center"/>
                    <w:rPr>
                      <w:color w:val="auto"/>
                      <w:szCs w:val="21"/>
                      <w:highlight w:val="none"/>
                    </w:rPr>
                  </w:pPr>
                  <w:r>
                    <w:rPr>
                      <w:rFonts w:hint="eastAsia"/>
                      <w:color w:val="auto"/>
                      <w:szCs w:val="21"/>
                      <w:highlight w:val="none"/>
                    </w:rPr>
                    <w:t>/</w:t>
                  </w:r>
                </w:p>
              </w:tc>
              <w:tc>
                <w:tcPr>
                  <w:tcW w:w="388" w:type="pct"/>
                  <w:vAlign w:val="center"/>
                </w:tcPr>
                <w:p w14:paraId="019B9ED8">
                  <w:pPr>
                    <w:jc w:val="center"/>
                    <w:rPr>
                      <w:color w:val="auto"/>
                      <w:szCs w:val="21"/>
                      <w:highlight w:val="none"/>
                    </w:rPr>
                  </w:pPr>
                  <w:r>
                    <w:rPr>
                      <w:rFonts w:hint="eastAsia"/>
                      <w:color w:val="auto"/>
                      <w:szCs w:val="21"/>
                      <w:highlight w:val="none"/>
                    </w:rPr>
                    <w:t>/</w:t>
                  </w:r>
                </w:p>
              </w:tc>
            </w:tr>
            <w:tr w14:paraId="4C89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8" w:type="pct"/>
                  <w:vMerge w:val="continue"/>
                  <w:vAlign w:val="center"/>
                </w:tcPr>
                <w:p w14:paraId="3F91AD5E">
                  <w:pPr>
                    <w:jc w:val="center"/>
                    <w:rPr>
                      <w:color w:val="auto"/>
                      <w:szCs w:val="21"/>
                      <w:highlight w:val="none"/>
                    </w:rPr>
                  </w:pPr>
                </w:p>
              </w:tc>
              <w:tc>
                <w:tcPr>
                  <w:tcW w:w="423" w:type="pct"/>
                  <w:vAlign w:val="center"/>
                </w:tcPr>
                <w:p w14:paraId="53AA5527">
                  <w:pPr>
                    <w:jc w:val="center"/>
                    <w:rPr>
                      <w:color w:val="auto"/>
                      <w:szCs w:val="21"/>
                      <w:highlight w:val="none"/>
                    </w:rPr>
                  </w:pPr>
                  <w:r>
                    <w:rPr>
                      <w:color w:val="auto"/>
                      <w:szCs w:val="21"/>
                      <w:highlight w:val="none"/>
                    </w:rPr>
                    <w:t>SS</w:t>
                  </w:r>
                </w:p>
              </w:tc>
              <w:tc>
                <w:tcPr>
                  <w:tcW w:w="424" w:type="pct"/>
                  <w:vAlign w:val="center"/>
                </w:tcPr>
                <w:p w14:paraId="5B5FC352">
                  <w:pPr>
                    <w:jc w:val="center"/>
                    <w:rPr>
                      <w:color w:val="auto"/>
                      <w:szCs w:val="21"/>
                      <w:highlight w:val="none"/>
                    </w:rPr>
                  </w:pPr>
                  <w:r>
                    <w:rPr>
                      <w:color w:val="auto"/>
                      <w:szCs w:val="21"/>
                      <w:highlight w:val="none"/>
                    </w:rPr>
                    <w:t>150</w:t>
                  </w:r>
                </w:p>
              </w:tc>
              <w:tc>
                <w:tcPr>
                  <w:tcW w:w="477" w:type="pct"/>
                  <w:vAlign w:val="center"/>
                </w:tcPr>
                <w:p w14:paraId="3A7EED83">
                  <w:pPr>
                    <w:jc w:val="center"/>
                    <w:rPr>
                      <w:color w:val="auto"/>
                      <w:szCs w:val="21"/>
                      <w:highlight w:val="none"/>
                    </w:rPr>
                  </w:pPr>
                  <w:r>
                    <w:rPr>
                      <w:rFonts w:hint="eastAsia"/>
                      <w:color w:val="auto"/>
                      <w:szCs w:val="21"/>
                      <w:highlight w:val="none"/>
                      <w:lang w:val="en-US" w:eastAsia="zh-CN"/>
                    </w:rPr>
                    <w:t>0.054</w:t>
                  </w:r>
                </w:p>
              </w:tc>
              <w:tc>
                <w:tcPr>
                  <w:tcW w:w="583" w:type="pct"/>
                  <w:vMerge w:val="continue"/>
                  <w:vAlign w:val="center"/>
                </w:tcPr>
                <w:p w14:paraId="2B7C9877">
                  <w:pPr>
                    <w:widowControl/>
                    <w:jc w:val="center"/>
                    <w:textAlignment w:val="center"/>
                    <w:rPr>
                      <w:color w:val="auto"/>
                      <w:kern w:val="0"/>
                      <w:szCs w:val="21"/>
                      <w:highlight w:val="none"/>
                      <w:lang w:bidi="ar"/>
                    </w:rPr>
                  </w:pPr>
                </w:p>
              </w:tc>
              <w:tc>
                <w:tcPr>
                  <w:tcW w:w="405" w:type="pct"/>
                  <w:vAlign w:val="center"/>
                </w:tcPr>
                <w:p w14:paraId="7017B7BB">
                  <w:pPr>
                    <w:jc w:val="center"/>
                    <w:rPr>
                      <w:color w:val="auto"/>
                      <w:szCs w:val="21"/>
                      <w:highlight w:val="none"/>
                    </w:rPr>
                  </w:pPr>
                  <w:r>
                    <w:rPr>
                      <w:color w:val="auto"/>
                      <w:szCs w:val="21"/>
                      <w:highlight w:val="none"/>
                    </w:rPr>
                    <w:t xml:space="preserve">88 </w:t>
                  </w:r>
                </w:p>
              </w:tc>
              <w:tc>
                <w:tcPr>
                  <w:tcW w:w="646" w:type="pct"/>
                  <w:vAlign w:val="center"/>
                </w:tcPr>
                <w:p w14:paraId="53027E1D">
                  <w:pPr>
                    <w:jc w:val="center"/>
                    <w:rPr>
                      <w:color w:val="auto"/>
                      <w:szCs w:val="21"/>
                      <w:highlight w:val="none"/>
                    </w:rPr>
                  </w:pPr>
                  <w:r>
                    <w:rPr>
                      <w:rFonts w:hint="eastAsia"/>
                      <w:color w:val="auto"/>
                      <w:szCs w:val="21"/>
                      <w:highlight w:val="none"/>
                    </w:rPr>
                    <w:t>18</w:t>
                  </w:r>
                </w:p>
              </w:tc>
              <w:tc>
                <w:tcPr>
                  <w:tcW w:w="477" w:type="pct"/>
                  <w:vAlign w:val="center"/>
                </w:tcPr>
                <w:p w14:paraId="00B71972">
                  <w:pPr>
                    <w:jc w:val="center"/>
                    <w:rPr>
                      <w:color w:val="auto"/>
                      <w:szCs w:val="21"/>
                      <w:highlight w:val="none"/>
                    </w:rPr>
                  </w:pPr>
                  <w:r>
                    <w:rPr>
                      <w:rFonts w:hint="eastAsia"/>
                      <w:color w:val="auto"/>
                      <w:szCs w:val="21"/>
                      <w:highlight w:val="none"/>
                      <w:lang w:val="en-US" w:eastAsia="zh-CN"/>
                    </w:rPr>
                    <w:t>0.0475</w:t>
                  </w:r>
                </w:p>
              </w:tc>
              <w:tc>
                <w:tcPr>
                  <w:tcW w:w="493" w:type="pct"/>
                  <w:vAlign w:val="center"/>
                </w:tcPr>
                <w:p w14:paraId="6CA3D528">
                  <w:pPr>
                    <w:jc w:val="center"/>
                    <w:rPr>
                      <w:color w:val="auto"/>
                      <w:szCs w:val="21"/>
                      <w:highlight w:val="none"/>
                    </w:rPr>
                  </w:pPr>
                  <w:r>
                    <w:rPr>
                      <w:rFonts w:hint="eastAsia"/>
                      <w:color w:val="auto"/>
                      <w:szCs w:val="21"/>
                      <w:highlight w:val="none"/>
                      <w:lang w:val="en-US" w:eastAsia="zh-CN"/>
                    </w:rPr>
                    <w:t>0.0065</w:t>
                  </w:r>
                </w:p>
              </w:tc>
              <w:tc>
                <w:tcPr>
                  <w:tcW w:w="433" w:type="pct"/>
                  <w:vAlign w:val="center"/>
                </w:tcPr>
                <w:p w14:paraId="41C6C674">
                  <w:pPr>
                    <w:jc w:val="center"/>
                    <w:rPr>
                      <w:color w:val="auto"/>
                      <w:szCs w:val="21"/>
                      <w:highlight w:val="none"/>
                    </w:rPr>
                  </w:pPr>
                  <w:r>
                    <w:rPr>
                      <w:rFonts w:hint="eastAsia"/>
                      <w:color w:val="auto"/>
                      <w:szCs w:val="21"/>
                      <w:highlight w:val="none"/>
                    </w:rPr>
                    <w:t>/</w:t>
                  </w:r>
                </w:p>
              </w:tc>
              <w:tc>
                <w:tcPr>
                  <w:tcW w:w="388" w:type="pct"/>
                  <w:vAlign w:val="center"/>
                </w:tcPr>
                <w:p w14:paraId="61F1DA8A">
                  <w:pPr>
                    <w:jc w:val="center"/>
                    <w:rPr>
                      <w:color w:val="auto"/>
                      <w:szCs w:val="21"/>
                      <w:highlight w:val="none"/>
                    </w:rPr>
                  </w:pPr>
                  <w:r>
                    <w:rPr>
                      <w:rFonts w:hint="eastAsia"/>
                      <w:color w:val="auto"/>
                      <w:szCs w:val="21"/>
                      <w:highlight w:val="none"/>
                    </w:rPr>
                    <w:t>/</w:t>
                  </w:r>
                </w:p>
              </w:tc>
            </w:tr>
            <w:tr w14:paraId="5CC6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48" w:type="pct"/>
                  <w:vMerge w:val="continue"/>
                  <w:vAlign w:val="center"/>
                </w:tcPr>
                <w:p w14:paraId="2403098A">
                  <w:pPr>
                    <w:jc w:val="center"/>
                    <w:rPr>
                      <w:color w:val="auto"/>
                      <w:szCs w:val="21"/>
                      <w:highlight w:val="none"/>
                    </w:rPr>
                  </w:pPr>
                </w:p>
              </w:tc>
              <w:tc>
                <w:tcPr>
                  <w:tcW w:w="423" w:type="pct"/>
                  <w:vAlign w:val="center"/>
                </w:tcPr>
                <w:p w14:paraId="4A695787">
                  <w:pPr>
                    <w:jc w:val="center"/>
                    <w:rPr>
                      <w:color w:val="auto"/>
                      <w:szCs w:val="21"/>
                      <w:highlight w:val="none"/>
                    </w:rPr>
                  </w:pPr>
                  <w:r>
                    <w:rPr>
                      <w:color w:val="auto"/>
                      <w:szCs w:val="21"/>
                      <w:highlight w:val="none"/>
                    </w:rPr>
                    <w:t>总磷</w:t>
                  </w:r>
                </w:p>
              </w:tc>
              <w:tc>
                <w:tcPr>
                  <w:tcW w:w="424" w:type="pct"/>
                  <w:vAlign w:val="center"/>
                </w:tcPr>
                <w:p w14:paraId="50E723F8">
                  <w:pPr>
                    <w:jc w:val="center"/>
                    <w:rPr>
                      <w:color w:val="auto"/>
                      <w:szCs w:val="21"/>
                      <w:highlight w:val="none"/>
                    </w:rPr>
                  </w:pPr>
                  <w:r>
                    <w:rPr>
                      <w:rFonts w:hint="eastAsia"/>
                      <w:color w:val="auto"/>
                      <w:szCs w:val="21"/>
                      <w:highlight w:val="none"/>
                    </w:rPr>
                    <w:t>8</w:t>
                  </w:r>
                </w:p>
              </w:tc>
              <w:tc>
                <w:tcPr>
                  <w:tcW w:w="477" w:type="pct"/>
                  <w:vAlign w:val="center"/>
                </w:tcPr>
                <w:p w14:paraId="72544DDA">
                  <w:pPr>
                    <w:jc w:val="center"/>
                    <w:rPr>
                      <w:color w:val="auto"/>
                      <w:szCs w:val="21"/>
                      <w:highlight w:val="none"/>
                    </w:rPr>
                  </w:pPr>
                  <w:r>
                    <w:rPr>
                      <w:rFonts w:hint="eastAsia"/>
                      <w:color w:val="auto"/>
                      <w:szCs w:val="21"/>
                      <w:highlight w:val="none"/>
                      <w:lang w:val="en-US" w:eastAsia="zh-CN"/>
                    </w:rPr>
                    <w:t>0.0029</w:t>
                  </w:r>
                </w:p>
              </w:tc>
              <w:tc>
                <w:tcPr>
                  <w:tcW w:w="583" w:type="pct"/>
                  <w:vMerge w:val="continue"/>
                  <w:vAlign w:val="center"/>
                </w:tcPr>
                <w:p w14:paraId="5F81E9BF">
                  <w:pPr>
                    <w:widowControl/>
                    <w:jc w:val="center"/>
                    <w:textAlignment w:val="center"/>
                    <w:rPr>
                      <w:color w:val="auto"/>
                      <w:kern w:val="0"/>
                      <w:szCs w:val="21"/>
                      <w:highlight w:val="none"/>
                      <w:lang w:bidi="ar"/>
                    </w:rPr>
                  </w:pPr>
                </w:p>
              </w:tc>
              <w:tc>
                <w:tcPr>
                  <w:tcW w:w="405" w:type="pct"/>
                  <w:vAlign w:val="center"/>
                </w:tcPr>
                <w:p w14:paraId="66A6A079">
                  <w:pPr>
                    <w:jc w:val="center"/>
                    <w:rPr>
                      <w:color w:val="auto"/>
                      <w:szCs w:val="21"/>
                      <w:highlight w:val="none"/>
                    </w:rPr>
                  </w:pPr>
                  <w:r>
                    <w:rPr>
                      <w:color w:val="auto"/>
                      <w:szCs w:val="21"/>
                      <w:highlight w:val="none"/>
                    </w:rPr>
                    <w:t xml:space="preserve">50 </w:t>
                  </w:r>
                </w:p>
              </w:tc>
              <w:tc>
                <w:tcPr>
                  <w:tcW w:w="646" w:type="pct"/>
                  <w:vAlign w:val="center"/>
                </w:tcPr>
                <w:p w14:paraId="63F93FEC">
                  <w:pPr>
                    <w:jc w:val="center"/>
                    <w:rPr>
                      <w:color w:val="auto"/>
                      <w:szCs w:val="21"/>
                      <w:highlight w:val="none"/>
                    </w:rPr>
                  </w:pPr>
                  <w:r>
                    <w:rPr>
                      <w:rFonts w:hint="eastAsia"/>
                      <w:color w:val="auto"/>
                      <w:szCs w:val="21"/>
                      <w:highlight w:val="none"/>
                    </w:rPr>
                    <w:t>4</w:t>
                  </w:r>
                </w:p>
              </w:tc>
              <w:tc>
                <w:tcPr>
                  <w:tcW w:w="477" w:type="pct"/>
                  <w:vAlign w:val="center"/>
                </w:tcPr>
                <w:p w14:paraId="7160A2E3">
                  <w:pPr>
                    <w:jc w:val="center"/>
                    <w:rPr>
                      <w:color w:val="auto"/>
                      <w:szCs w:val="21"/>
                      <w:highlight w:val="none"/>
                    </w:rPr>
                  </w:pPr>
                  <w:r>
                    <w:rPr>
                      <w:rFonts w:hint="eastAsia"/>
                      <w:color w:val="auto"/>
                      <w:szCs w:val="21"/>
                      <w:highlight w:val="none"/>
                      <w:lang w:val="en-US" w:eastAsia="zh-CN"/>
                    </w:rPr>
                    <w:t>0.0015</w:t>
                  </w:r>
                </w:p>
              </w:tc>
              <w:tc>
                <w:tcPr>
                  <w:tcW w:w="493" w:type="pct"/>
                  <w:vAlign w:val="center"/>
                </w:tcPr>
                <w:p w14:paraId="4F9FD325">
                  <w:pPr>
                    <w:jc w:val="center"/>
                    <w:rPr>
                      <w:color w:val="auto"/>
                      <w:szCs w:val="21"/>
                      <w:highlight w:val="none"/>
                    </w:rPr>
                  </w:pPr>
                  <w:r>
                    <w:rPr>
                      <w:rFonts w:hint="eastAsia"/>
                      <w:color w:val="auto"/>
                      <w:szCs w:val="21"/>
                      <w:highlight w:val="none"/>
                      <w:lang w:val="en-US" w:eastAsia="zh-CN"/>
                    </w:rPr>
                    <w:t>0.0014</w:t>
                  </w:r>
                </w:p>
              </w:tc>
              <w:tc>
                <w:tcPr>
                  <w:tcW w:w="433" w:type="pct"/>
                  <w:vAlign w:val="center"/>
                </w:tcPr>
                <w:p w14:paraId="2B427CE0">
                  <w:pPr>
                    <w:jc w:val="center"/>
                    <w:rPr>
                      <w:color w:val="auto"/>
                      <w:szCs w:val="21"/>
                      <w:highlight w:val="none"/>
                    </w:rPr>
                  </w:pPr>
                  <w:r>
                    <w:rPr>
                      <w:rFonts w:hint="eastAsia"/>
                      <w:color w:val="auto"/>
                      <w:szCs w:val="21"/>
                      <w:highlight w:val="none"/>
                    </w:rPr>
                    <w:t>/</w:t>
                  </w:r>
                </w:p>
              </w:tc>
              <w:tc>
                <w:tcPr>
                  <w:tcW w:w="388" w:type="pct"/>
                  <w:vAlign w:val="center"/>
                </w:tcPr>
                <w:p w14:paraId="19CB5ACE">
                  <w:pPr>
                    <w:jc w:val="center"/>
                    <w:rPr>
                      <w:color w:val="auto"/>
                      <w:szCs w:val="21"/>
                      <w:highlight w:val="none"/>
                    </w:rPr>
                  </w:pPr>
                  <w:r>
                    <w:rPr>
                      <w:rFonts w:hint="eastAsia"/>
                      <w:color w:val="auto"/>
                      <w:szCs w:val="21"/>
                      <w:highlight w:val="none"/>
                    </w:rPr>
                    <w:t>/</w:t>
                  </w:r>
                </w:p>
              </w:tc>
            </w:tr>
            <w:tr w14:paraId="244E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48" w:type="pct"/>
                  <w:vMerge w:val="continue"/>
                  <w:vAlign w:val="center"/>
                </w:tcPr>
                <w:p w14:paraId="086CF618">
                  <w:pPr>
                    <w:jc w:val="center"/>
                    <w:rPr>
                      <w:color w:val="auto"/>
                      <w:szCs w:val="21"/>
                      <w:highlight w:val="none"/>
                    </w:rPr>
                  </w:pPr>
                </w:p>
              </w:tc>
              <w:tc>
                <w:tcPr>
                  <w:tcW w:w="423" w:type="pct"/>
                  <w:vAlign w:val="center"/>
                </w:tcPr>
                <w:p w14:paraId="1F749C02">
                  <w:pPr>
                    <w:jc w:val="center"/>
                    <w:rPr>
                      <w:color w:val="auto"/>
                      <w:szCs w:val="21"/>
                      <w:highlight w:val="none"/>
                    </w:rPr>
                  </w:pPr>
                  <w:r>
                    <w:rPr>
                      <w:color w:val="auto"/>
                      <w:szCs w:val="21"/>
                      <w:highlight w:val="none"/>
                    </w:rPr>
                    <w:t>动植物油</w:t>
                  </w:r>
                </w:p>
              </w:tc>
              <w:tc>
                <w:tcPr>
                  <w:tcW w:w="424" w:type="pct"/>
                  <w:vAlign w:val="center"/>
                </w:tcPr>
                <w:p w14:paraId="76255F99">
                  <w:pPr>
                    <w:jc w:val="center"/>
                    <w:rPr>
                      <w:color w:val="auto"/>
                      <w:szCs w:val="21"/>
                      <w:highlight w:val="none"/>
                    </w:rPr>
                  </w:pPr>
                  <w:r>
                    <w:rPr>
                      <w:color w:val="auto"/>
                      <w:szCs w:val="21"/>
                      <w:highlight w:val="none"/>
                    </w:rPr>
                    <w:t>30</w:t>
                  </w:r>
                </w:p>
              </w:tc>
              <w:tc>
                <w:tcPr>
                  <w:tcW w:w="477" w:type="pct"/>
                  <w:vAlign w:val="center"/>
                </w:tcPr>
                <w:p w14:paraId="6041AD3A">
                  <w:pPr>
                    <w:jc w:val="center"/>
                    <w:rPr>
                      <w:color w:val="auto"/>
                      <w:szCs w:val="21"/>
                      <w:highlight w:val="none"/>
                    </w:rPr>
                  </w:pPr>
                  <w:r>
                    <w:rPr>
                      <w:rFonts w:hint="eastAsia"/>
                      <w:color w:val="auto"/>
                      <w:szCs w:val="21"/>
                      <w:highlight w:val="none"/>
                      <w:lang w:val="en-US" w:eastAsia="zh-CN"/>
                    </w:rPr>
                    <w:t>0.0108</w:t>
                  </w:r>
                </w:p>
              </w:tc>
              <w:tc>
                <w:tcPr>
                  <w:tcW w:w="583" w:type="pct"/>
                  <w:vMerge w:val="continue"/>
                  <w:vAlign w:val="center"/>
                </w:tcPr>
                <w:p w14:paraId="09DD38BE">
                  <w:pPr>
                    <w:widowControl/>
                    <w:jc w:val="center"/>
                    <w:textAlignment w:val="center"/>
                    <w:rPr>
                      <w:color w:val="auto"/>
                      <w:kern w:val="0"/>
                      <w:szCs w:val="21"/>
                      <w:highlight w:val="none"/>
                      <w:lang w:bidi="ar"/>
                    </w:rPr>
                  </w:pPr>
                </w:p>
              </w:tc>
              <w:tc>
                <w:tcPr>
                  <w:tcW w:w="405" w:type="pct"/>
                  <w:vAlign w:val="center"/>
                </w:tcPr>
                <w:p w14:paraId="2F970236">
                  <w:pPr>
                    <w:jc w:val="center"/>
                    <w:rPr>
                      <w:color w:val="auto"/>
                      <w:szCs w:val="21"/>
                      <w:highlight w:val="none"/>
                    </w:rPr>
                  </w:pPr>
                  <w:r>
                    <w:rPr>
                      <w:color w:val="auto"/>
                      <w:szCs w:val="21"/>
                      <w:highlight w:val="none"/>
                    </w:rPr>
                    <w:t xml:space="preserve">80 </w:t>
                  </w:r>
                </w:p>
              </w:tc>
              <w:tc>
                <w:tcPr>
                  <w:tcW w:w="646" w:type="pct"/>
                  <w:vAlign w:val="center"/>
                </w:tcPr>
                <w:p w14:paraId="7D003454">
                  <w:pPr>
                    <w:jc w:val="center"/>
                    <w:rPr>
                      <w:color w:val="auto"/>
                      <w:szCs w:val="21"/>
                      <w:highlight w:val="none"/>
                    </w:rPr>
                  </w:pPr>
                  <w:r>
                    <w:rPr>
                      <w:rFonts w:hint="eastAsia"/>
                      <w:color w:val="auto"/>
                      <w:szCs w:val="21"/>
                      <w:highlight w:val="none"/>
                    </w:rPr>
                    <w:t>6</w:t>
                  </w:r>
                </w:p>
              </w:tc>
              <w:tc>
                <w:tcPr>
                  <w:tcW w:w="477" w:type="pct"/>
                  <w:vAlign w:val="center"/>
                </w:tcPr>
                <w:p w14:paraId="5D102AD6">
                  <w:pPr>
                    <w:jc w:val="center"/>
                    <w:rPr>
                      <w:color w:val="auto"/>
                      <w:szCs w:val="21"/>
                      <w:highlight w:val="none"/>
                    </w:rPr>
                  </w:pPr>
                  <w:r>
                    <w:rPr>
                      <w:rFonts w:hint="eastAsia"/>
                      <w:color w:val="auto"/>
                      <w:szCs w:val="21"/>
                      <w:highlight w:val="none"/>
                      <w:lang w:val="en-US" w:eastAsia="zh-CN"/>
                    </w:rPr>
                    <w:t>0.0086</w:t>
                  </w:r>
                </w:p>
              </w:tc>
              <w:tc>
                <w:tcPr>
                  <w:tcW w:w="493" w:type="pct"/>
                  <w:vAlign w:val="center"/>
                </w:tcPr>
                <w:p w14:paraId="3BE5D101">
                  <w:pPr>
                    <w:jc w:val="center"/>
                    <w:rPr>
                      <w:color w:val="auto"/>
                      <w:szCs w:val="21"/>
                      <w:highlight w:val="none"/>
                    </w:rPr>
                  </w:pPr>
                  <w:r>
                    <w:rPr>
                      <w:rFonts w:hint="eastAsia"/>
                      <w:color w:val="auto"/>
                      <w:szCs w:val="21"/>
                      <w:highlight w:val="none"/>
                      <w:lang w:val="en-US" w:eastAsia="zh-CN"/>
                    </w:rPr>
                    <w:t>0.0022</w:t>
                  </w:r>
                </w:p>
              </w:tc>
              <w:tc>
                <w:tcPr>
                  <w:tcW w:w="433" w:type="pct"/>
                  <w:vAlign w:val="center"/>
                </w:tcPr>
                <w:p w14:paraId="70B22E6F">
                  <w:pPr>
                    <w:jc w:val="center"/>
                    <w:rPr>
                      <w:color w:val="auto"/>
                      <w:szCs w:val="21"/>
                      <w:highlight w:val="none"/>
                    </w:rPr>
                  </w:pPr>
                  <w:r>
                    <w:rPr>
                      <w:rFonts w:hint="eastAsia"/>
                      <w:color w:val="auto"/>
                      <w:szCs w:val="21"/>
                      <w:highlight w:val="none"/>
                    </w:rPr>
                    <w:t>/</w:t>
                  </w:r>
                </w:p>
              </w:tc>
              <w:tc>
                <w:tcPr>
                  <w:tcW w:w="388" w:type="pct"/>
                  <w:vAlign w:val="center"/>
                </w:tcPr>
                <w:p w14:paraId="771BFC0F">
                  <w:pPr>
                    <w:jc w:val="center"/>
                    <w:rPr>
                      <w:color w:val="auto"/>
                      <w:szCs w:val="21"/>
                      <w:highlight w:val="none"/>
                    </w:rPr>
                  </w:pPr>
                  <w:r>
                    <w:rPr>
                      <w:rFonts w:hint="eastAsia"/>
                      <w:color w:val="auto"/>
                      <w:szCs w:val="21"/>
                      <w:highlight w:val="none"/>
                    </w:rPr>
                    <w:t>/</w:t>
                  </w:r>
                </w:p>
              </w:tc>
            </w:tr>
          </w:tbl>
          <w:p w14:paraId="13EC3C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eastAsia" w:ascii="Times New Roman" w:hAnsi="Times New Roman" w:eastAsia="宋体" w:cs="Times New Roman"/>
                <w:b w:val="0"/>
                <w:bCs w:val="0"/>
                <w:color w:val="auto"/>
                <w:sz w:val="24"/>
                <w:szCs w:val="24"/>
                <w:highlight w:val="none"/>
                <w:lang w:val="en-US" w:eastAsia="zh-CN"/>
              </w:rPr>
              <w:t>综上，本扩建项目生活污水中主要污染物产排情况见下表。</w:t>
            </w:r>
          </w:p>
          <w:p w14:paraId="672D37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eastAsia" w:ascii="Times New Roman" w:hAnsi="Times New Roman" w:eastAsia="宋体" w:cs="Times New Roman"/>
                <w:b/>
                <w:bCs/>
                <w:color w:val="auto"/>
                <w:sz w:val="21"/>
                <w:szCs w:val="21"/>
                <w:highlight w:val="none"/>
                <w:lang w:eastAsia="zh-CN"/>
              </w:rPr>
              <w:t>4</w:t>
            </w:r>
            <w:r>
              <w:rPr>
                <w:rFonts w:hint="default" w:ascii="Times New Roman" w:hAnsi="Times New Roman" w:eastAsia="宋体" w:cs="Times New Roman"/>
                <w:b/>
                <w:bCs/>
                <w:color w:val="auto"/>
                <w:sz w:val="21"/>
                <w:szCs w:val="21"/>
                <w:highlight w:val="none"/>
                <w:lang w:eastAsia="zh-CN"/>
              </w:rPr>
              <w:t>-</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eastAsia="zh-CN"/>
              </w:rPr>
              <w:t xml:space="preserve">  </w:t>
            </w:r>
            <w:r>
              <w:rPr>
                <w:rFonts w:hint="eastAsia" w:ascii="Times New Roman" w:hAnsi="Times New Roman" w:eastAsia="宋体" w:cs="Times New Roman"/>
                <w:b/>
                <w:bCs/>
                <w:color w:val="auto"/>
                <w:sz w:val="21"/>
                <w:szCs w:val="21"/>
                <w:highlight w:val="none"/>
                <w:lang w:val="en-US" w:eastAsia="zh-CN"/>
              </w:rPr>
              <w:t>本项目生活污水污染物产排情况</w:t>
            </w:r>
            <w:r>
              <w:rPr>
                <w:rFonts w:hint="default" w:ascii="Times New Roman" w:hAnsi="Times New Roman" w:eastAsia="宋体" w:cs="Times New Roman"/>
                <w:b/>
                <w:bCs/>
                <w:color w:val="auto"/>
                <w:sz w:val="21"/>
                <w:szCs w:val="21"/>
                <w:highlight w:val="none"/>
                <w:lang w:eastAsia="zh-CN"/>
              </w:rPr>
              <w:t>一览表</w:t>
            </w:r>
          </w:p>
          <w:tbl>
            <w:tblPr>
              <w:tblStyle w:val="25"/>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16"/>
              <w:gridCol w:w="645"/>
              <w:gridCol w:w="810"/>
              <w:gridCol w:w="765"/>
              <w:gridCol w:w="735"/>
              <w:gridCol w:w="990"/>
              <w:gridCol w:w="915"/>
              <w:gridCol w:w="810"/>
              <w:gridCol w:w="750"/>
              <w:gridCol w:w="675"/>
            </w:tblGrid>
            <w:tr w14:paraId="3B0A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dxa"/>
                  <w:vAlign w:val="center"/>
                </w:tcPr>
                <w:p w14:paraId="37920DE4">
                  <w:pPr>
                    <w:snapToGrid w:val="0"/>
                    <w:jc w:val="center"/>
                    <w:rPr>
                      <w:b/>
                      <w:bCs/>
                      <w:color w:val="auto"/>
                      <w:szCs w:val="21"/>
                      <w:highlight w:val="none"/>
                    </w:rPr>
                  </w:pPr>
                  <w:r>
                    <w:rPr>
                      <w:b/>
                      <w:bCs/>
                      <w:color w:val="auto"/>
                      <w:szCs w:val="21"/>
                      <w:highlight w:val="none"/>
                    </w:rPr>
                    <w:t>污染源</w:t>
                  </w:r>
                </w:p>
              </w:tc>
              <w:tc>
                <w:tcPr>
                  <w:tcW w:w="816" w:type="dxa"/>
                  <w:vAlign w:val="center"/>
                </w:tcPr>
                <w:p w14:paraId="7F376380">
                  <w:pPr>
                    <w:snapToGrid w:val="0"/>
                    <w:jc w:val="center"/>
                    <w:rPr>
                      <w:b/>
                      <w:bCs/>
                      <w:color w:val="auto"/>
                      <w:szCs w:val="21"/>
                      <w:highlight w:val="none"/>
                    </w:rPr>
                  </w:pPr>
                  <w:r>
                    <w:rPr>
                      <w:b/>
                      <w:bCs/>
                      <w:color w:val="auto"/>
                      <w:szCs w:val="21"/>
                      <w:highlight w:val="none"/>
                    </w:rPr>
                    <w:t>污染物</w:t>
                  </w:r>
                </w:p>
              </w:tc>
              <w:tc>
                <w:tcPr>
                  <w:tcW w:w="645" w:type="dxa"/>
                  <w:vAlign w:val="center"/>
                </w:tcPr>
                <w:p w14:paraId="64B2FD13">
                  <w:pPr>
                    <w:snapToGrid w:val="0"/>
                    <w:jc w:val="center"/>
                    <w:rPr>
                      <w:b/>
                      <w:bCs/>
                      <w:color w:val="auto"/>
                      <w:szCs w:val="21"/>
                      <w:highlight w:val="none"/>
                    </w:rPr>
                  </w:pPr>
                  <w:r>
                    <w:rPr>
                      <w:b/>
                      <w:bCs/>
                      <w:color w:val="auto"/>
                      <w:szCs w:val="21"/>
                      <w:highlight w:val="none"/>
                    </w:rPr>
                    <w:t>产生浓</w:t>
                  </w:r>
                  <w:r>
                    <w:rPr>
                      <w:rFonts w:hint="eastAsia"/>
                      <w:b/>
                      <w:bCs/>
                      <w:color w:val="auto"/>
                      <w:szCs w:val="21"/>
                      <w:highlight w:val="none"/>
                      <w:lang w:eastAsia="zh-CN"/>
                    </w:rPr>
                    <w:t>度</w:t>
                  </w:r>
                  <w:r>
                    <w:rPr>
                      <w:b/>
                      <w:bCs/>
                      <w:color w:val="auto"/>
                      <w:szCs w:val="21"/>
                      <w:highlight w:val="none"/>
                    </w:rPr>
                    <w:t>（mg/L）</w:t>
                  </w:r>
                </w:p>
              </w:tc>
              <w:tc>
                <w:tcPr>
                  <w:tcW w:w="810" w:type="dxa"/>
                  <w:vAlign w:val="center"/>
                </w:tcPr>
                <w:p w14:paraId="1CE44A6B">
                  <w:pPr>
                    <w:snapToGrid w:val="0"/>
                    <w:jc w:val="center"/>
                    <w:rPr>
                      <w:b/>
                      <w:bCs/>
                      <w:color w:val="auto"/>
                      <w:szCs w:val="21"/>
                      <w:highlight w:val="none"/>
                    </w:rPr>
                  </w:pPr>
                  <w:r>
                    <w:rPr>
                      <w:b/>
                      <w:bCs/>
                      <w:color w:val="auto"/>
                      <w:szCs w:val="21"/>
                      <w:highlight w:val="none"/>
                    </w:rPr>
                    <w:t>产生量</w:t>
                  </w:r>
                </w:p>
                <w:p w14:paraId="61949BF1">
                  <w:pPr>
                    <w:snapToGrid w:val="0"/>
                    <w:jc w:val="center"/>
                    <w:rPr>
                      <w:b/>
                      <w:bCs/>
                      <w:color w:val="auto"/>
                      <w:szCs w:val="21"/>
                      <w:highlight w:val="none"/>
                    </w:rPr>
                  </w:pPr>
                  <w:r>
                    <w:rPr>
                      <w:b/>
                      <w:bCs/>
                      <w:color w:val="auto"/>
                      <w:szCs w:val="21"/>
                      <w:highlight w:val="none"/>
                    </w:rPr>
                    <w:t>（t/a）</w:t>
                  </w:r>
                </w:p>
              </w:tc>
              <w:tc>
                <w:tcPr>
                  <w:tcW w:w="765" w:type="dxa"/>
                  <w:vAlign w:val="center"/>
                </w:tcPr>
                <w:p w14:paraId="23FCC2AF">
                  <w:pPr>
                    <w:snapToGrid w:val="0"/>
                    <w:jc w:val="center"/>
                    <w:rPr>
                      <w:b/>
                      <w:bCs/>
                      <w:color w:val="auto"/>
                      <w:szCs w:val="21"/>
                      <w:highlight w:val="none"/>
                    </w:rPr>
                  </w:pPr>
                  <w:r>
                    <w:rPr>
                      <w:b/>
                      <w:bCs/>
                      <w:color w:val="auto"/>
                      <w:szCs w:val="21"/>
                      <w:highlight w:val="none"/>
                    </w:rPr>
                    <w:t>处理方式</w:t>
                  </w:r>
                </w:p>
              </w:tc>
              <w:tc>
                <w:tcPr>
                  <w:tcW w:w="735" w:type="dxa"/>
                  <w:vAlign w:val="center"/>
                </w:tcPr>
                <w:p w14:paraId="3C005E61">
                  <w:pPr>
                    <w:snapToGrid w:val="0"/>
                    <w:jc w:val="center"/>
                    <w:rPr>
                      <w:rFonts w:hint="eastAsia"/>
                      <w:b/>
                      <w:bCs/>
                      <w:color w:val="auto"/>
                      <w:szCs w:val="21"/>
                      <w:highlight w:val="none"/>
                    </w:rPr>
                  </w:pPr>
                  <w:r>
                    <w:rPr>
                      <w:b/>
                      <w:bCs/>
                      <w:color w:val="auto"/>
                      <w:szCs w:val="21"/>
                      <w:highlight w:val="none"/>
                    </w:rPr>
                    <w:t>去除效率</w:t>
                  </w:r>
                  <w:r>
                    <w:rPr>
                      <w:rFonts w:hint="eastAsia"/>
                      <w:b/>
                      <w:bCs/>
                      <w:color w:val="auto"/>
                      <w:szCs w:val="21"/>
                      <w:highlight w:val="none"/>
                    </w:rPr>
                    <w:t>（%）</w:t>
                  </w:r>
                </w:p>
              </w:tc>
              <w:tc>
                <w:tcPr>
                  <w:tcW w:w="990" w:type="dxa"/>
                  <w:vAlign w:val="center"/>
                </w:tcPr>
                <w:p w14:paraId="3334FB90">
                  <w:pPr>
                    <w:snapToGrid w:val="0"/>
                    <w:jc w:val="center"/>
                    <w:rPr>
                      <w:b/>
                      <w:bCs/>
                      <w:color w:val="auto"/>
                      <w:szCs w:val="21"/>
                      <w:highlight w:val="none"/>
                    </w:rPr>
                  </w:pPr>
                  <w:r>
                    <w:rPr>
                      <w:rFonts w:hint="eastAsia"/>
                      <w:b/>
                      <w:bCs/>
                      <w:color w:val="auto"/>
                      <w:szCs w:val="21"/>
                      <w:highlight w:val="none"/>
                      <w:lang w:val="en-US" w:eastAsia="zh-CN"/>
                    </w:rPr>
                    <w:t>处理设施出口浓度</w:t>
                  </w:r>
                  <w:r>
                    <w:rPr>
                      <w:b/>
                      <w:bCs/>
                      <w:color w:val="auto"/>
                      <w:szCs w:val="21"/>
                      <w:highlight w:val="none"/>
                    </w:rPr>
                    <w:t>（mg/L）</w:t>
                  </w:r>
                </w:p>
              </w:tc>
              <w:tc>
                <w:tcPr>
                  <w:tcW w:w="915" w:type="dxa"/>
                  <w:vAlign w:val="center"/>
                </w:tcPr>
                <w:p w14:paraId="2844D760">
                  <w:pPr>
                    <w:snapToGrid w:val="0"/>
                    <w:jc w:val="center"/>
                    <w:rPr>
                      <w:b/>
                      <w:bCs/>
                      <w:color w:val="auto"/>
                      <w:szCs w:val="21"/>
                      <w:highlight w:val="none"/>
                    </w:rPr>
                  </w:pPr>
                  <w:r>
                    <w:rPr>
                      <w:rFonts w:hint="eastAsia"/>
                      <w:b/>
                      <w:bCs/>
                      <w:color w:val="auto"/>
                      <w:szCs w:val="21"/>
                      <w:highlight w:val="none"/>
                    </w:rPr>
                    <w:t>去除</w:t>
                  </w:r>
                  <w:r>
                    <w:rPr>
                      <w:b/>
                      <w:bCs/>
                      <w:color w:val="auto"/>
                      <w:szCs w:val="21"/>
                      <w:highlight w:val="none"/>
                    </w:rPr>
                    <w:t>量</w:t>
                  </w:r>
                </w:p>
                <w:p w14:paraId="12C48C52">
                  <w:pPr>
                    <w:snapToGrid w:val="0"/>
                    <w:jc w:val="center"/>
                    <w:rPr>
                      <w:b/>
                      <w:bCs/>
                      <w:color w:val="auto"/>
                      <w:szCs w:val="21"/>
                      <w:highlight w:val="none"/>
                    </w:rPr>
                  </w:pPr>
                  <w:r>
                    <w:rPr>
                      <w:b/>
                      <w:bCs/>
                      <w:color w:val="auto"/>
                      <w:szCs w:val="21"/>
                      <w:highlight w:val="none"/>
                    </w:rPr>
                    <w:t>（t/a）</w:t>
                  </w:r>
                </w:p>
              </w:tc>
              <w:tc>
                <w:tcPr>
                  <w:tcW w:w="810" w:type="dxa"/>
                  <w:vAlign w:val="center"/>
                </w:tcPr>
                <w:p w14:paraId="5AD77984">
                  <w:pPr>
                    <w:snapToGrid w:val="0"/>
                    <w:jc w:val="center"/>
                    <w:rPr>
                      <w:b/>
                      <w:bCs/>
                      <w:color w:val="auto"/>
                      <w:szCs w:val="21"/>
                      <w:highlight w:val="none"/>
                    </w:rPr>
                  </w:pPr>
                  <w:r>
                    <w:rPr>
                      <w:rFonts w:hint="eastAsia"/>
                      <w:b/>
                      <w:bCs/>
                      <w:color w:val="auto"/>
                      <w:szCs w:val="21"/>
                      <w:highlight w:val="none"/>
                      <w:lang w:eastAsia="zh-CN"/>
                    </w:rPr>
                    <w:t>回用</w:t>
                  </w:r>
                  <w:r>
                    <w:rPr>
                      <w:b/>
                      <w:bCs/>
                      <w:color w:val="auto"/>
                      <w:szCs w:val="21"/>
                      <w:highlight w:val="none"/>
                    </w:rPr>
                    <w:t>量（t/a）</w:t>
                  </w:r>
                </w:p>
              </w:tc>
              <w:tc>
                <w:tcPr>
                  <w:tcW w:w="750" w:type="dxa"/>
                  <w:vAlign w:val="center"/>
                </w:tcPr>
                <w:p w14:paraId="70F1FF75">
                  <w:pPr>
                    <w:snapToGrid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标准值</w:t>
                  </w:r>
                  <w:r>
                    <w:rPr>
                      <w:b/>
                      <w:bCs/>
                      <w:color w:val="auto"/>
                      <w:szCs w:val="21"/>
                      <w:highlight w:val="none"/>
                    </w:rPr>
                    <w:t>mg/L</w:t>
                  </w:r>
                </w:p>
              </w:tc>
              <w:tc>
                <w:tcPr>
                  <w:tcW w:w="675" w:type="dxa"/>
                  <w:vAlign w:val="center"/>
                </w:tcPr>
                <w:p w14:paraId="6C41A44F">
                  <w:pPr>
                    <w:snapToGrid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达标情况</w:t>
                  </w:r>
                </w:p>
              </w:tc>
            </w:tr>
            <w:tr w14:paraId="0CD0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83" w:type="dxa"/>
                  <w:vMerge w:val="restart"/>
                  <w:vAlign w:val="center"/>
                </w:tcPr>
                <w:p w14:paraId="7499F4FA">
                  <w:pPr>
                    <w:rPr>
                      <w:color w:val="auto"/>
                      <w:szCs w:val="21"/>
                      <w:highlight w:val="none"/>
                    </w:rPr>
                  </w:pPr>
                  <w:r>
                    <w:rPr>
                      <w:rFonts w:hint="eastAsia"/>
                      <w:color w:val="auto"/>
                      <w:szCs w:val="21"/>
                      <w:highlight w:val="none"/>
                    </w:rPr>
                    <w:t>生活污水</w:t>
                  </w:r>
                </w:p>
              </w:tc>
              <w:tc>
                <w:tcPr>
                  <w:tcW w:w="816" w:type="dxa"/>
                  <w:vAlign w:val="center"/>
                </w:tcPr>
                <w:p w14:paraId="6E0D52E2">
                  <w:pPr>
                    <w:jc w:val="center"/>
                    <w:rPr>
                      <w:color w:val="auto"/>
                      <w:szCs w:val="21"/>
                      <w:highlight w:val="none"/>
                    </w:rPr>
                  </w:pPr>
                  <w:r>
                    <w:rPr>
                      <w:color w:val="auto"/>
                      <w:szCs w:val="21"/>
                      <w:highlight w:val="none"/>
                    </w:rPr>
                    <w:t>废水</w:t>
                  </w:r>
                </w:p>
              </w:tc>
              <w:tc>
                <w:tcPr>
                  <w:tcW w:w="645" w:type="dxa"/>
                  <w:vAlign w:val="center"/>
                </w:tcPr>
                <w:p w14:paraId="2DAD88DD">
                  <w:pPr>
                    <w:widowControl/>
                    <w:jc w:val="center"/>
                    <w:textAlignment w:val="center"/>
                    <w:rPr>
                      <w:color w:val="auto"/>
                      <w:kern w:val="0"/>
                      <w:szCs w:val="21"/>
                      <w:highlight w:val="none"/>
                      <w:lang w:bidi="ar"/>
                    </w:rPr>
                  </w:pPr>
                  <w:r>
                    <w:rPr>
                      <w:color w:val="auto"/>
                      <w:kern w:val="0"/>
                      <w:szCs w:val="21"/>
                      <w:highlight w:val="none"/>
                      <w:lang w:bidi="ar"/>
                    </w:rPr>
                    <w:t>/</w:t>
                  </w:r>
                </w:p>
              </w:tc>
              <w:tc>
                <w:tcPr>
                  <w:tcW w:w="810" w:type="dxa"/>
                  <w:vAlign w:val="center"/>
                </w:tcPr>
                <w:p w14:paraId="15F608D8">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360</w:t>
                  </w:r>
                </w:p>
              </w:tc>
              <w:tc>
                <w:tcPr>
                  <w:tcW w:w="765" w:type="dxa"/>
                  <w:vMerge w:val="restart"/>
                  <w:vAlign w:val="center"/>
                </w:tcPr>
                <w:p w14:paraId="6A9BA510">
                  <w:pPr>
                    <w:widowControl/>
                    <w:jc w:val="center"/>
                    <w:textAlignment w:val="center"/>
                    <w:rPr>
                      <w:color w:val="auto"/>
                      <w:kern w:val="0"/>
                      <w:szCs w:val="21"/>
                      <w:highlight w:val="none"/>
                      <w:lang w:bidi="ar"/>
                    </w:rPr>
                  </w:pPr>
                  <w:r>
                    <w:rPr>
                      <w:color w:val="auto"/>
                      <w:szCs w:val="21"/>
                      <w:highlight w:val="none"/>
                    </w:rPr>
                    <w:t>隔油池+化粪池+</w:t>
                  </w:r>
                  <w:r>
                    <w:rPr>
                      <w:rFonts w:hint="eastAsia"/>
                      <w:color w:val="auto"/>
                      <w:szCs w:val="21"/>
                      <w:highlight w:val="none"/>
                      <w:lang w:eastAsia="zh-CN"/>
                    </w:rPr>
                    <w:t>一体化</w:t>
                  </w:r>
                  <w:r>
                    <w:rPr>
                      <w:rFonts w:hint="eastAsia" w:cs="Times New Roman"/>
                      <w:color w:val="auto"/>
                      <w:sz w:val="21"/>
                      <w:szCs w:val="21"/>
                      <w:highlight w:val="none"/>
                      <w:lang w:val="en-US" w:eastAsia="zh-CN"/>
                    </w:rPr>
                    <w:t>生活</w:t>
                  </w:r>
                  <w:r>
                    <w:rPr>
                      <w:rFonts w:hint="default" w:ascii="Times New Roman" w:hAnsi="Times New Roman" w:eastAsia="宋体" w:cs="Times New Roman"/>
                      <w:color w:val="auto"/>
                      <w:sz w:val="21"/>
                      <w:szCs w:val="21"/>
                      <w:highlight w:val="none"/>
                      <w:lang w:val="en-US" w:eastAsia="zh-CN"/>
                    </w:rPr>
                    <w:t>污水处理设备</w:t>
                  </w:r>
                </w:p>
              </w:tc>
              <w:tc>
                <w:tcPr>
                  <w:tcW w:w="735" w:type="dxa"/>
                  <w:vAlign w:val="center"/>
                </w:tcPr>
                <w:p w14:paraId="5CEEC7BF">
                  <w:pPr>
                    <w:widowControl/>
                    <w:jc w:val="center"/>
                    <w:textAlignment w:val="center"/>
                    <w:rPr>
                      <w:color w:val="auto"/>
                      <w:kern w:val="0"/>
                      <w:szCs w:val="21"/>
                      <w:highlight w:val="none"/>
                      <w:lang w:bidi="ar"/>
                    </w:rPr>
                  </w:pPr>
                  <w:r>
                    <w:rPr>
                      <w:rFonts w:hint="eastAsia"/>
                      <w:color w:val="auto"/>
                      <w:kern w:val="0"/>
                      <w:szCs w:val="21"/>
                      <w:highlight w:val="none"/>
                      <w:lang w:bidi="ar"/>
                    </w:rPr>
                    <w:t>/</w:t>
                  </w:r>
                </w:p>
              </w:tc>
              <w:tc>
                <w:tcPr>
                  <w:tcW w:w="990" w:type="dxa"/>
                  <w:vAlign w:val="center"/>
                </w:tcPr>
                <w:p w14:paraId="7CC2364B">
                  <w:pPr>
                    <w:widowControl/>
                    <w:jc w:val="center"/>
                    <w:textAlignment w:val="center"/>
                    <w:rPr>
                      <w:color w:val="auto"/>
                      <w:kern w:val="0"/>
                      <w:szCs w:val="21"/>
                      <w:highlight w:val="none"/>
                      <w:lang w:bidi="ar"/>
                    </w:rPr>
                  </w:pPr>
                  <w:r>
                    <w:rPr>
                      <w:rFonts w:hint="eastAsia"/>
                      <w:color w:val="auto"/>
                      <w:kern w:val="0"/>
                      <w:sz w:val="22"/>
                      <w:szCs w:val="22"/>
                      <w:highlight w:val="none"/>
                      <w:lang w:bidi="ar"/>
                    </w:rPr>
                    <w:t>/</w:t>
                  </w:r>
                </w:p>
              </w:tc>
              <w:tc>
                <w:tcPr>
                  <w:tcW w:w="915" w:type="dxa"/>
                  <w:vAlign w:val="center"/>
                </w:tcPr>
                <w:p w14:paraId="706E9576">
                  <w:pPr>
                    <w:widowControl/>
                    <w:jc w:val="center"/>
                    <w:textAlignment w:val="center"/>
                    <w:rPr>
                      <w:color w:val="auto"/>
                      <w:kern w:val="0"/>
                      <w:szCs w:val="21"/>
                      <w:highlight w:val="none"/>
                      <w:lang w:bidi="ar"/>
                    </w:rPr>
                  </w:pPr>
                  <w:r>
                    <w:rPr>
                      <w:rFonts w:hint="eastAsia"/>
                      <w:color w:val="auto"/>
                      <w:kern w:val="0"/>
                      <w:szCs w:val="21"/>
                      <w:highlight w:val="none"/>
                      <w:lang w:bidi="ar"/>
                    </w:rPr>
                    <w:t>0</w:t>
                  </w:r>
                </w:p>
              </w:tc>
              <w:tc>
                <w:tcPr>
                  <w:tcW w:w="810" w:type="dxa"/>
                  <w:vAlign w:val="center"/>
                </w:tcPr>
                <w:p w14:paraId="27478A23">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360</w:t>
                  </w:r>
                </w:p>
              </w:tc>
              <w:tc>
                <w:tcPr>
                  <w:tcW w:w="750" w:type="dxa"/>
                  <w:vAlign w:val="center"/>
                </w:tcPr>
                <w:p w14:paraId="53FADD48">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w:t>
                  </w:r>
                </w:p>
              </w:tc>
              <w:tc>
                <w:tcPr>
                  <w:tcW w:w="675" w:type="dxa"/>
                  <w:vAlign w:val="center"/>
                </w:tcPr>
                <w:p w14:paraId="3D5EA207">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bidi="ar"/>
                    </w:rPr>
                    <w:t>/</w:t>
                  </w:r>
                </w:p>
              </w:tc>
            </w:tr>
            <w:tr w14:paraId="61EE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83" w:type="dxa"/>
                  <w:vMerge w:val="continue"/>
                  <w:vAlign w:val="center"/>
                </w:tcPr>
                <w:p w14:paraId="28BF3253">
                  <w:pPr>
                    <w:rPr>
                      <w:rFonts w:hint="eastAsia"/>
                      <w:color w:val="auto"/>
                      <w:szCs w:val="21"/>
                      <w:highlight w:val="none"/>
                    </w:rPr>
                  </w:pPr>
                </w:p>
              </w:tc>
              <w:tc>
                <w:tcPr>
                  <w:tcW w:w="816" w:type="dxa"/>
                  <w:vAlign w:val="center"/>
                </w:tcPr>
                <w:p w14:paraId="2588BEDC">
                  <w:pPr>
                    <w:jc w:val="center"/>
                    <w:rPr>
                      <w:rFonts w:hint="eastAsia" w:eastAsia="宋体"/>
                      <w:color w:val="auto"/>
                      <w:szCs w:val="21"/>
                      <w:highlight w:val="none"/>
                      <w:lang w:val="en-US" w:eastAsia="zh-CN"/>
                    </w:rPr>
                  </w:pPr>
                  <w:r>
                    <w:rPr>
                      <w:rFonts w:hint="eastAsia"/>
                      <w:color w:val="auto"/>
                      <w:szCs w:val="21"/>
                      <w:highlight w:val="none"/>
                      <w:lang w:val="en-US" w:eastAsia="zh-CN"/>
                    </w:rPr>
                    <w:t>pH</w:t>
                  </w:r>
                </w:p>
              </w:tc>
              <w:tc>
                <w:tcPr>
                  <w:tcW w:w="645" w:type="dxa"/>
                  <w:vAlign w:val="center"/>
                </w:tcPr>
                <w:p w14:paraId="2CA6F462">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6~9</w:t>
                  </w:r>
                </w:p>
              </w:tc>
              <w:tc>
                <w:tcPr>
                  <w:tcW w:w="810" w:type="dxa"/>
                  <w:vAlign w:val="center"/>
                </w:tcPr>
                <w:p w14:paraId="46C7FC2F">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w:t>
                  </w:r>
                </w:p>
              </w:tc>
              <w:tc>
                <w:tcPr>
                  <w:tcW w:w="765" w:type="dxa"/>
                  <w:vMerge w:val="continue"/>
                  <w:vAlign w:val="center"/>
                </w:tcPr>
                <w:p w14:paraId="260A3416">
                  <w:pPr>
                    <w:widowControl/>
                    <w:jc w:val="center"/>
                    <w:textAlignment w:val="center"/>
                    <w:rPr>
                      <w:rFonts w:hint="eastAsia"/>
                      <w:color w:val="auto"/>
                      <w:szCs w:val="21"/>
                      <w:highlight w:val="none"/>
                    </w:rPr>
                  </w:pPr>
                </w:p>
              </w:tc>
              <w:tc>
                <w:tcPr>
                  <w:tcW w:w="735" w:type="dxa"/>
                  <w:vAlign w:val="center"/>
                </w:tcPr>
                <w:p w14:paraId="7D96EFD4">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990" w:type="dxa"/>
                  <w:vAlign w:val="center"/>
                </w:tcPr>
                <w:p w14:paraId="31678039">
                  <w:pPr>
                    <w:widowControl/>
                    <w:jc w:val="center"/>
                    <w:textAlignment w:val="center"/>
                    <w:rPr>
                      <w:rFonts w:hint="eastAsia" w:eastAsia="宋体"/>
                      <w:color w:val="auto"/>
                      <w:kern w:val="0"/>
                      <w:sz w:val="22"/>
                      <w:szCs w:val="22"/>
                      <w:highlight w:val="none"/>
                      <w:lang w:val="en-US" w:eastAsia="zh-CN" w:bidi="ar"/>
                    </w:rPr>
                  </w:pPr>
                  <w:r>
                    <w:rPr>
                      <w:rFonts w:hint="eastAsia"/>
                      <w:color w:val="auto"/>
                      <w:kern w:val="0"/>
                      <w:sz w:val="22"/>
                      <w:szCs w:val="22"/>
                      <w:highlight w:val="none"/>
                      <w:lang w:val="en-US" w:eastAsia="zh-CN" w:bidi="ar"/>
                    </w:rPr>
                    <w:t>6-9</w:t>
                  </w:r>
                </w:p>
              </w:tc>
              <w:tc>
                <w:tcPr>
                  <w:tcW w:w="915" w:type="dxa"/>
                  <w:vAlign w:val="center"/>
                </w:tcPr>
                <w:p w14:paraId="50902D2F">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810" w:type="dxa"/>
                  <w:vAlign w:val="center"/>
                </w:tcPr>
                <w:p w14:paraId="79AD9ABF">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w:t>
                  </w:r>
                </w:p>
              </w:tc>
              <w:tc>
                <w:tcPr>
                  <w:tcW w:w="750" w:type="dxa"/>
                  <w:vAlign w:val="center"/>
                </w:tcPr>
                <w:p w14:paraId="2FBBF006">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w:t>
                  </w:r>
                </w:p>
              </w:tc>
              <w:tc>
                <w:tcPr>
                  <w:tcW w:w="675" w:type="dxa"/>
                  <w:vAlign w:val="center"/>
                </w:tcPr>
                <w:p w14:paraId="5D058813">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13F3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83" w:type="dxa"/>
                  <w:vMerge w:val="continue"/>
                  <w:vAlign w:val="center"/>
                </w:tcPr>
                <w:p w14:paraId="62C68511">
                  <w:pPr>
                    <w:jc w:val="center"/>
                    <w:rPr>
                      <w:color w:val="auto"/>
                      <w:szCs w:val="21"/>
                      <w:highlight w:val="none"/>
                    </w:rPr>
                  </w:pPr>
                </w:p>
              </w:tc>
              <w:tc>
                <w:tcPr>
                  <w:tcW w:w="816" w:type="dxa"/>
                  <w:vAlign w:val="center"/>
                </w:tcPr>
                <w:p w14:paraId="364B2FD1">
                  <w:pPr>
                    <w:jc w:val="center"/>
                    <w:rPr>
                      <w:color w:val="auto"/>
                      <w:szCs w:val="21"/>
                      <w:highlight w:val="none"/>
                    </w:rPr>
                  </w:pPr>
                  <w:r>
                    <w:rPr>
                      <w:color w:val="auto"/>
                      <w:szCs w:val="21"/>
                      <w:highlight w:val="none"/>
                    </w:rPr>
                    <w:t>COD</w:t>
                  </w:r>
                </w:p>
              </w:tc>
              <w:tc>
                <w:tcPr>
                  <w:tcW w:w="645" w:type="dxa"/>
                  <w:vAlign w:val="center"/>
                </w:tcPr>
                <w:p w14:paraId="4097A32C">
                  <w:pPr>
                    <w:jc w:val="center"/>
                    <w:rPr>
                      <w:rFonts w:hint="default" w:ascii="Times New Roman" w:hAnsi="Times New Roman" w:eastAsia="宋体"/>
                      <w:color w:val="auto"/>
                      <w:kern w:val="0"/>
                      <w:szCs w:val="21"/>
                      <w:highlight w:val="none"/>
                      <w:lang w:val="en-US" w:eastAsia="zh-CN" w:bidi="ar"/>
                    </w:rPr>
                  </w:pPr>
                  <w:r>
                    <w:rPr>
                      <w:rFonts w:ascii="Times New Roman" w:hAnsi="Times New Roman" w:eastAsia="宋体" w:cs="Times New Roman"/>
                      <w:color w:val="auto"/>
                      <w:szCs w:val="21"/>
                      <w:highlight w:val="none"/>
                    </w:rPr>
                    <w:t>400</w:t>
                  </w:r>
                </w:p>
              </w:tc>
              <w:tc>
                <w:tcPr>
                  <w:tcW w:w="810" w:type="dxa"/>
                  <w:vAlign w:val="center"/>
                </w:tcPr>
                <w:p w14:paraId="786A1F8D">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0.144</w:t>
                  </w:r>
                </w:p>
              </w:tc>
              <w:tc>
                <w:tcPr>
                  <w:tcW w:w="765" w:type="dxa"/>
                  <w:vMerge w:val="continue"/>
                  <w:vAlign w:val="center"/>
                </w:tcPr>
                <w:p w14:paraId="3B1A232F">
                  <w:pPr>
                    <w:widowControl/>
                    <w:jc w:val="center"/>
                    <w:textAlignment w:val="center"/>
                    <w:rPr>
                      <w:color w:val="auto"/>
                      <w:kern w:val="0"/>
                      <w:szCs w:val="21"/>
                      <w:highlight w:val="none"/>
                      <w:lang w:bidi="ar"/>
                    </w:rPr>
                  </w:pPr>
                </w:p>
              </w:tc>
              <w:tc>
                <w:tcPr>
                  <w:tcW w:w="735" w:type="dxa"/>
                  <w:vAlign w:val="center"/>
                </w:tcPr>
                <w:p w14:paraId="3EE546ED">
                  <w:pPr>
                    <w:jc w:val="center"/>
                    <w:rPr>
                      <w:rFonts w:hint="default" w:eastAsia="宋体"/>
                      <w:color w:val="auto"/>
                      <w:kern w:val="0"/>
                      <w:szCs w:val="21"/>
                      <w:highlight w:val="none"/>
                      <w:lang w:val="en-US" w:eastAsia="zh-CN" w:bidi="ar"/>
                    </w:rPr>
                  </w:pPr>
                  <w:r>
                    <w:rPr>
                      <w:color w:val="auto"/>
                      <w:szCs w:val="21"/>
                      <w:highlight w:val="none"/>
                    </w:rPr>
                    <w:t xml:space="preserve">92 </w:t>
                  </w:r>
                </w:p>
              </w:tc>
              <w:tc>
                <w:tcPr>
                  <w:tcW w:w="990" w:type="dxa"/>
                  <w:vAlign w:val="center"/>
                </w:tcPr>
                <w:p w14:paraId="47CCA2AA">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rPr>
                    <w:t>32</w:t>
                  </w:r>
                </w:p>
              </w:tc>
              <w:tc>
                <w:tcPr>
                  <w:tcW w:w="915" w:type="dxa"/>
                  <w:vAlign w:val="center"/>
                </w:tcPr>
                <w:p w14:paraId="34D6AA3B">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0.1325</w:t>
                  </w:r>
                </w:p>
              </w:tc>
              <w:tc>
                <w:tcPr>
                  <w:tcW w:w="810" w:type="dxa"/>
                  <w:vAlign w:val="center"/>
                </w:tcPr>
                <w:p w14:paraId="4A05A6FF">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0.0115</w:t>
                  </w:r>
                </w:p>
              </w:tc>
              <w:tc>
                <w:tcPr>
                  <w:tcW w:w="750" w:type="dxa"/>
                  <w:vAlign w:val="center"/>
                </w:tcPr>
                <w:p w14:paraId="1DA05500">
                  <w:pPr>
                    <w:jc w:val="center"/>
                    <w:rPr>
                      <w:rFonts w:hint="eastAsia"/>
                      <w:color w:val="auto"/>
                      <w:szCs w:val="21"/>
                      <w:highlight w:val="none"/>
                      <w:lang w:val="en-US" w:eastAsia="zh-CN"/>
                    </w:rPr>
                  </w:pPr>
                  <w:r>
                    <w:rPr>
                      <w:rFonts w:hint="eastAsia"/>
                      <w:color w:val="auto"/>
                      <w:kern w:val="0"/>
                      <w:szCs w:val="21"/>
                      <w:highlight w:val="none"/>
                      <w:lang w:bidi="ar"/>
                    </w:rPr>
                    <w:t>/</w:t>
                  </w:r>
                </w:p>
              </w:tc>
              <w:tc>
                <w:tcPr>
                  <w:tcW w:w="675" w:type="dxa"/>
                  <w:vAlign w:val="center"/>
                </w:tcPr>
                <w:p w14:paraId="7952191A">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2B31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83" w:type="dxa"/>
                  <w:vMerge w:val="continue"/>
                  <w:vAlign w:val="center"/>
                </w:tcPr>
                <w:p w14:paraId="316DFBCD">
                  <w:pPr>
                    <w:jc w:val="center"/>
                    <w:rPr>
                      <w:color w:val="auto"/>
                      <w:szCs w:val="21"/>
                      <w:highlight w:val="none"/>
                    </w:rPr>
                  </w:pPr>
                </w:p>
              </w:tc>
              <w:tc>
                <w:tcPr>
                  <w:tcW w:w="816" w:type="dxa"/>
                  <w:vAlign w:val="center"/>
                </w:tcPr>
                <w:p w14:paraId="130231A9">
                  <w:pPr>
                    <w:jc w:val="center"/>
                    <w:rPr>
                      <w:color w:val="auto"/>
                      <w:szCs w:val="21"/>
                      <w:highlight w:val="none"/>
                    </w:rPr>
                  </w:pPr>
                  <w:r>
                    <w:rPr>
                      <w:color w:val="auto"/>
                      <w:szCs w:val="21"/>
                      <w:highlight w:val="none"/>
                    </w:rPr>
                    <w:t>BOD</w:t>
                  </w:r>
                  <w:r>
                    <w:rPr>
                      <w:color w:val="auto"/>
                      <w:szCs w:val="21"/>
                      <w:highlight w:val="none"/>
                      <w:vertAlign w:val="subscript"/>
                    </w:rPr>
                    <w:t>5</w:t>
                  </w:r>
                </w:p>
              </w:tc>
              <w:tc>
                <w:tcPr>
                  <w:tcW w:w="645" w:type="dxa"/>
                  <w:vAlign w:val="center"/>
                </w:tcPr>
                <w:p w14:paraId="7AD9C1C5">
                  <w:pPr>
                    <w:pStyle w:val="15"/>
                    <w:jc w:val="center"/>
                    <w:rPr>
                      <w:rFonts w:hint="default" w:ascii="Times New Roman" w:hAnsi="Times New Roman" w:eastAsia="宋体"/>
                      <w:color w:val="auto"/>
                      <w:kern w:val="0"/>
                      <w:szCs w:val="21"/>
                      <w:highlight w:val="none"/>
                      <w:lang w:val="en-US" w:eastAsia="zh-CN" w:bidi="ar"/>
                    </w:rPr>
                  </w:pPr>
                  <w:r>
                    <w:rPr>
                      <w:rFonts w:hint="eastAsia" w:ascii="Times New Roman" w:hAnsi="Times New Roman"/>
                      <w:color w:val="auto"/>
                      <w:kern w:val="0"/>
                      <w:szCs w:val="21"/>
                      <w:highlight w:val="none"/>
                      <w:lang w:val="en-US" w:eastAsia="zh-CN" w:bidi="ar"/>
                    </w:rPr>
                    <w:t>161</w:t>
                  </w:r>
                </w:p>
              </w:tc>
              <w:tc>
                <w:tcPr>
                  <w:tcW w:w="810" w:type="dxa"/>
                  <w:vAlign w:val="center"/>
                </w:tcPr>
                <w:p w14:paraId="529062C9">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0.0580</w:t>
                  </w:r>
                  <w:r>
                    <w:rPr>
                      <w:rFonts w:hint="default" w:ascii="Times New Roman" w:hAnsi="Times New Roman" w:eastAsia="宋体" w:cs="Times New Roman"/>
                      <w:color w:val="auto"/>
                      <w:kern w:val="0"/>
                      <w:szCs w:val="21"/>
                      <w:highlight w:val="none"/>
                      <w:lang w:val="en-US" w:eastAsia="zh-CN" w:bidi="ar"/>
                    </w:rPr>
                    <w:t xml:space="preserve"> </w:t>
                  </w:r>
                </w:p>
              </w:tc>
              <w:tc>
                <w:tcPr>
                  <w:tcW w:w="765" w:type="dxa"/>
                  <w:vMerge w:val="continue"/>
                  <w:vAlign w:val="center"/>
                </w:tcPr>
                <w:p w14:paraId="194D3A21">
                  <w:pPr>
                    <w:widowControl/>
                    <w:jc w:val="center"/>
                    <w:textAlignment w:val="center"/>
                    <w:rPr>
                      <w:color w:val="auto"/>
                      <w:kern w:val="0"/>
                      <w:szCs w:val="21"/>
                      <w:highlight w:val="none"/>
                      <w:lang w:bidi="ar"/>
                    </w:rPr>
                  </w:pPr>
                </w:p>
              </w:tc>
              <w:tc>
                <w:tcPr>
                  <w:tcW w:w="735" w:type="dxa"/>
                  <w:vAlign w:val="center"/>
                </w:tcPr>
                <w:p w14:paraId="59E72D86">
                  <w:pPr>
                    <w:autoSpaceDN w:val="0"/>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94.2</w:t>
                  </w:r>
                </w:p>
              </w:tc>
              <w:tc>
                <w:tcPr>
                  <w:tcW w:w="990" w:type="dxa"/>
                  <w:vAlign w:val="center"/>
                </w:tcPr>
                <w:p w14:paraId="4AAC5AD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9.4</w:t>
                  </w:r>
                </w:p>
              </w:tc>
              <w:tc>
                <w:tcPr>
                  <w:tcW w:w="915" w:type="dxa"/>
                  <w:vAlign w:val="center"/>
                </w:tcPr>
                <w:p w14:paraId="436746E1">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0.0546</w:t>
                  </w:r>
                </w:p>
              </w:tc>
              <w:tc>
                <w:tcPr>
                  <w:tcW w:w="810" w:type="dxa"/>
                  <w:vAlign w:val="center"/>
                </w:tcPr>
                <w:p w14:paraId="099796F1">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0.0034</w:t>
                  </w:r>
                  <w:r>
                    <w:rPr>
                      <w:rFonts w:hint="default" w:ascii="Times New Roman" w:hAnsi="Times New Roman" w:eastAsia="宋体" w:cs="Times New Roman"/>
                      <w:color w:val="auto"/>
                      <w:kern w:val="0"/>
                      <w:szCs w:val="21"/>
                      <w:highlight w:val="none"/>
                      <w:lang w:val="en-US" w:eastAsia="zh-CN" w:bidi="ar"/>
                    </w:rPr>
                    <w:t xml:space="preserve"> </w:t>
                  </w:r>
                </w:p>
              </w:tc>
              <w:tc>
                <w:tcPr>
                  <w:tcW w:w="750" w:type="dxa"/>
                  <w:vAlign w:val="center"/>
                </w:tcPr>
                <w:p w14:paraId="4F2E20D0">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10</w:t>
                  </w:r>
                </w:p>
              </w:tc>
              <w:tc>
                <w:tcPr>
                  <w:tcW w:w="675" w:type="dxa"/>
                  <w:vAlign w:val="center"/>
                </w:tcPr>
                <w:p w14:paraId="3F6808CA">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34A7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83" w:type="dxa"/>
                  <w:vMerge w:val="continue"/>
                  <w:vAlign w:val="center"/>
                </w:tcPr>
                <w:p w14:paraId="35984F65">
                  <w:pPr>
                    <w:jc w:val="center"/>
                    <w:rPr>
                      <w:color w:val="auto"/>
                      <w:szCs w:val="21"/>
                      <w:highlight w:val="none"/>
                    </w:rPr>
                  </w:pPr>
                </w:p>
              </w:tc>
              <w:tc>
                <w:tcPr>
                  <w:tcW w:w="816" w:type="dxa"/>
                  <w:vAlign w:val="center"/>
                </w:tcPr>
                <w:p w14:paraId="580EDB57">
                  <w:pPr>
                    <w:jc w:val="center"/>
                    <w:rPr>
                      <w:color w:val="auto"/>
                      <w:szCs w:val="21"/>
                      <w:highlight w:val="none"/>
                    </w:rPr>
                  </w:pPr>
                  <w:r>
                    <w:rPr>
                      <w:color w:val="auto"/>
                      <w:szCs w:val="21"/>
                      <w:highlight w:val="none"/>
                    </w:rPr>
                    <w:t>SS</w:t>
                  </w:r>
                </w:p>
              </w:tc>
              <w:tc>
                <w:tcPr>
                  <w:tcW w:w="645" w:type="dxa"/>
                  <w:vAlign w:val="center"/>
                </w:tcPr>
                <w:p w14:paraId="08FA4618">
                  <w:pPr>
                    <w:jc w:val="center"/>
                    <w:rPr>
                      <w:rFonts w:hint="default" w:eastAsia="宋体"/>
                      <w:color w:val="auto"/>
                      <w:kern w:val="0"/>
                      <w:szCs w:val="21"/>
                      <w:highlight w:val="none"/>
                      <w:lang w:val="en-US" w:eastAsia="zh-CN" w:bidi="ar"/>
                    </w:rPr>
                  </w:pPr>
                  <w:r>
                    <w:rPr>
                      <w:color w:val="auto"/>
                      <w:szCs w:val="21"/>
                      <w:highlight w:val="none"/>
                    </w:rPr>
                    <w:t>150</w:t>
                  </w:r>
                </w:p>
              </w:tc>
              <w:tc>
                <w:tcPr>
                  <w:tcW w:w="810" w:type="dxa"/>
                  <w:vAlign w:val="center"/>
                </w:tcPr>
                <w:p w14:paraId="5AC27179">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0.054</w:t>
                  </w:r>
                </w:p>
              </w:tc>
              <w:tc>
                <w:tcPr>
                  <w:tcW w:w="765" w:type="dxa"/>
                  <w:vMerge w:val="continue"/>
                  <w:vAlign w:val="center"/>
                </w:tcPr>
                <w:p w14:paraId="1C6C0C89">
                  <w:pPr>
                    <w:widowControl/>
                    <w:jc w:val="center"/>
                    <w:textAlignment w:val="center"/>
                    <w:rPr>
                      <w:color w:val="auto"/>
                      <w:kern w:val="0"/>
                      <w:szCs w:val="21"/>
                      <w:highlight w:val="none"/>
                      <w:lang w:bidi="ar"/>
                    </w:rPr>
                  </w:pPr>
                </w:p>
              </w:tc>
              <w:tc>
                <w:tcPr>
                  <w:tcW w:w="735" w:type="dxa"/>
                  <w:vAlign w:val="center"/>
                </w:tcPr>
                <w:p w14:paraId="52EC699A">
                  <w:pPr>
                    <w:jc w:val="center"/>
                    <w:rPr>
                      <w:rFonts w:hint="default" w:eastAsia="宋体"/>
                      <w:color w:val="auto"/>
                      <w:kern w:val="0"/>
                      <w:szCs w:val="21"/>
                      <w:highlight w:val="none"/>
                      <w:lang w:val="en-US" w:eastAsia="zh-CN" w:bidi="ar"/>
                    </w:rPr>
                  </w:pPr>
                  <w:r>
                    <w:rPr>
                      <w:color w:val="auto"/>
                      <w:szCs w:val="21"/>
                      <w:highlight w:val="none"/>
                    </w:rPr>
                    <w:t xml:space="preserve">88 </w:t>
                  </w:r>
                </w:p>
              </w:tc>
              <w:tc>
                <w:tcPr>
                  <w:tcW w:w="990" w:type="dxa"/>
                  <w:vAlign w:val="center"/>
                </w:tcPr>
                <w:p w14:paraId="029DA08A">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rPr>
                    <w:t>18</w:t>
                  </w:r>
                </w:p>
              </w:tc>
              <w:tc>
                <w:tcPr>
                  <w:tcW w:w="915" w:type="dxa"/>
                  <w:vAlign w:val="center"/>
                </w:tcPr>
                <w:p w14:paraId="685A0259">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0.0475</w:t>
                  </w:r>
                </w:p>
              </w:tc>
              <w:tc>
                <w:tcPr>
                  <w:tcW w:w="810" w:type="dxa"/>
                  <w:vAlign w:val="center"/>
                </w:tcPr>
                <w:p w14:paraId="32AE6B8D">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0.0065</w:t>
                  </w:r>
                </w:p>
              </w:tc>
              <w:tc>
                <w:tcPr>
                  <w:tcW w:w="750" w:type="dxa"/>
                  <w:vAlign w:val="center"/>
                </w:tcPr>
                <w:p w14:paraId="2414C27E">
                  <w:pPr>
                    <w:jc w:val="center"/>
                    <w:rPr>
                      <w:rFonts w:hint="eastAsia"/>
                      <w:color w:val="auto"/>
                      <w:szCs w:val="21"/>
                      <w:highlight w:val="none"/>
                      <w:lang w:val="en-US" w:eastAsia="zh-CN"/>
                    </w:rPr>
                  </w:pPr>
                  <w:r>
                    <w:rPr>
                      <w:rFonts w:hint="eastAsia"/>
                      <w:color w:val="auto"/>
                      <w:kern w:val="0"/>
                      <w:szCs w:val="21"/>
                      <w:highlight w:val="none"/>
                      <w:lang w:bidi="ar"/>
                    </w:rPr>
                    <w:t>/</w:t>
                  </w:r>
                </w:p>
              </w:tc>
              <w:tc>
                <w:tcPr>
                  <w:tcW w:w="675" w:type="dxa"/>
                  <w:vAlign w:val="center"/>
                </w:tcPr>
                <w:p w14:paraId="3B97EED4">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3A8D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83" w:type="dxa"/>
                  <w:vMerge w:val="continue"/>
                  <w:vAlign w:val="center"/>
                </w:tcPr>
                <w:p w14:paraId="1C4998F6">
                  <w:pPr>
                    <w:jc w:val="center"/>
                    <w:rPr>
                      <w:color w:val="auto"/>
                      <w:szCs w:val="21"/>
                      <w:highlight w:val="none"/>
                    </w:rPr>
                  </w:pPr>
                </w:p>
              </w:tc>
              <w:tc>
                <w:tcPr>
                  <w:tcW w:w="816" w:type="dxa"/>
                  <w:vAlign w:val="center"/>
                </w:tcPr>
                <w:p w14:paraId="78E3149D">
                  <w:pPr>
                    <w:jc w:val="center"/>
                    <w:rPr>
                      <w:color w:val="auto"/>
                      <w:szCs w:val="21"/>
                      <w:highlight w:val="none"/>
                    </w:rPr>
                  </w:pPr>
                  <w:r>
                    <w:rPr>
                      <w:color w:val="auto"/>
                      <w:szCs w:val="21"/>
                      <w:highlight w:val="none"/>
                    </w:rPr>
                    <w:t>氨氮</w:t>
                  </w:r>
                </w:p>
              </w:tc>
              <w:tc>
                <w:tcPr>
                  <w:tcW w:w="645" w:type="dxa"/>
                  <w:vAlign w:val="center"/>
                </w:tcPr>
                <w:p w14:paraId="2459F190">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109</w:t>
                  </w:r>
                </w:p>
              </w:tc>
              <w:tc>
                <w:tcPr>
                  <w:tcW w:w="810" w:type="dxa"/>
                  <w:vAlign w:val="center"/>
                </w:tcPr>
                <w:p w14:paraId="0CC3D307">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0.0392</w:t>
                  </w:r>
                  <w:r>
                    <w:rPr>
                      <w:rFonts w:hint="default" w:ascii="Times New Roman" w:hAnsi="Times New Roman" w:eastAsia="宋体" w:cs="Times New Roman"/>
                      <w:color w:val="auto"/>
                      <w:kern w:val="0"/>
                      <w:szCs w:val="21"/>
                      <w:highlight w:val="none"/>
                      <w:lang w:val="en-US" w:eastAsia="zh-CN" w:bidi="ar"/>
                    </w:rPr>
                    <w:t xml:space="preserve"> </w:t>
                  </w:r>
                </w:p>
              </w:tc>
              <w:tc>
                <w:tcPr>
                  <w:tcW w:w="765" w:type="dxa"/>
                  <w:vMerge w:val="continue"/>
                  <w:vAlign w:val="center"/>
                </w:tcPr>
                <w:p w14:paraId="4341B4F4">
                  <w:pPr>
                    <w:widowControl/>
                    <w:jc w:val="center"/>
                    <w:textAlignment w:val="center"/>
                    <w:rPr>
                      <w:color w:val="auto"/>
                      <w:kern w:val="0"/>
                      <w:szCs w:val="21"/>
                      <w:highlight w:val="none"/>
                      <w:lang w:bidi="ar"/>
                    </w:rPr>
                  </w:pPr>
                </w:p>
              </w:tc>
              <w:tc>
                <w:tcPr>
                  <w:tcW w:w="735" w:type="dxa"/>
                  <w:vAlign w:val="center"/>
                </w:tcPr>
                <w:p w14:paraId="70763CE2">
                  <w:pPr>
                    <w:keepNext w:val="0"/>
                    <w:keepLines w:val="0"/>
                    <w:suppressLineNumbers w:val="0"/>
                    <w:spacing w:before="0" w:beforeAutospacing="0" w:after="0" w:afterAutospacing="0"/>
                    <w:ind w:left="0" w:leftChars="0" w:right="0" w:rightChars="0"/>
                    <w:jc w:val="center"/>
                    <w:rPr>
                      <w:rFonts w:hint="default" w:eastAsia="宋体"/>
                      <w:color w:val="auto"/>
                      <w:kern w:val="0"/>
                      <w:szCs w:val="21"/>
                      <w:highlight w:val="none"/>
                      <w:lang w:val="en-US" w:eastAsia="zh-CN" w:bidi="ar"/>
                    </w:rPr>
                  </w:pPr>
                  <w:r>
                    <w:rPr>
                      <w:rFonts w:hint="eastAsia" w:cs="Times New Roman"/>
                      <w:color w:val="auto"/>
                      <w:sz w:val="21"/>
                      <w:szCs w:val="21"/>
                      <w:highlight w:val="none"/>
                      <w:lang w:val="en-US" w:eastAsia="zh-CN"/>
                    </w:rPr>
                    <w:t>93.2</w:t>
                  </w:r>
                </w:p>
              </w:tc>
              <w:tc>
                <w:tcPr>
                  <w:tcW w:w="990" w:type="dxa"/>
                  <w:vAlign w:val="center"/>
                </w:tcPr>
                <w:p w14:paraId="3BDBF95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sz w:val="21"/>
                      <w:szCs w:val="21"/>
                      <w:highlight w:val="none"/>
                      <w:lang w:val="en-US" w:eastAsia="zh-CN"/>
                    </w:rPr>
                    <w:t>7.38</w:t>
                  </w:r>
                </w:p>
              </w:tc>
              <w:tc>
                <w:tcPr>
                  <w:tcW w:w="915" w:type="dxa"/>
                  <w:vAlign w:val="center"/>
                </w:tcPr>
                <w:p w14:paraId="4CE74191">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0.0365</w:t>
                  </w:r>
                </w:p>
              </w:tc>
              <w:tc>
                <w:tcPr>
                  <w:tcW w:w="810" w:type="dxa"/>
                  <w:vAlign w:val="center"/>
                </w:tcPr>
                <w:p w14:paraId="5F137768">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0.0027</w:t>
                  </w:r>
                  <w:r>
                    <w:rPr>
                      <w:rFonts w:hint="default" w:ascii="Times New Roman" w:hAnsi="Times New Roman" w:eastAsia="宋体" w:cs="Times New Roman"/>
                      <w:color w:val="auto"/>
                      <w:kern w:val="0"/>
                      <w:szCs w:val="21"/>
                      <w:highlight w:val="none"/>
                      <w:lang w:val="en-US" w:eastAsia="zh-CN" w:bidi="ar"/>
                    </w:rPr>
                    <w:t xml:space="preserve"> </w:t>
                  </w:r>
                </w:p>
              </w:tc>
              <w:tc>
                <w:tcPr>
                  <w:tcW w:w="750" w:type="dxa"/>
                  <w:vAlign w:val="center"/>
                </w:tcPr>
                <w:p w14:paraId="0736B9F8">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8</w:t>
                  </w:r>
                </w:p>
              </w:tc>
              <w:tc>
                <w:tcPr>
                  <w:tcW w:w="675" w:type="dxa"/>
                  <w:vAlign w:val="center"/>
                </w:tcPr>
                <w:p w14:paraId="13D5B305">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75B8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83" w:type="dxa"/>
                  <w:vMerge w:val="continue"/>
                  <w:vAlign w:val="center"/>
                </w:tcPr>
                <w:p w14:paraId="00E4F6D2">
                  <w:pPr>
                    <w:jc w:val="center"/>
                    <w:rPr>
                      <w:color w:val="auto"/>
                      <w:szCs w:val="21"/>
                      <w:highlight w:val="none"/>
                    </w:rPr>
                  </w:pPr>
                </w:p>
              </w:tc>
              <w:tc>
                <w:tcPr>
                  <w:tcW w:w="816" w:type="dxa"/>
                  <w:vAlign w:val="center"/>
                </w:tcPr>
                <w:p w14:paraId="23B9A307">
                  <w:pPr>
                    <w:jc w:val="center"/>
                    <w:rPr>
                      <w:color w:val="auto"/>
                      <w:szCs w:val="21"/>
                      <w:highlight w:val="none"/>
                    </w:rPr>
                  </w:pPr>
                  <w:r>
                    <w:rPr>
                      <w:rFonts w:hint="eastAsia"/>
                      <w:color w:val="auto"/>
                      <w:szCs w:val="21"/>
                      <w:highlight w:val="none"/>
                    </w:rPr>
                    <w:t>总磷</w:t>
                  </w:r>
                </w:p>
              </w:tc>
              <w:tc>
                <w:tcPr>
                  <w:tcW w:w="645" w:type="dxa"/>
                  <w:vAlign w:val="center"/>
                </w:tcPr>
                <w:p w14:paraId="2C55AB8F">
                  <w:pPr>
                    <w:jc w:val="center"/>
                    <w:rPr>
                      <w:rFonts w:hint="default" w:eastAsia="宋体"/>
                      <w:color w:val="auto"/>
                      <w:kern w:val="0"/>
                      <w:szCs w:val="21"/>
                      <w:highlight w:val="none"/>
                      <w:lang w:val="en-US" w:eastAsia="zh-CN" w:bidi="ar"/>
                    </w:rPr>
                  </w:pPr>
                  <w:r>
                    <w:rPr>
                      <w:rFonts w:hint="eastAsia"/>
                      <w:color w:val="auto"/>
                      <w:szCs w:val="21"/>
                      <w:highlight w:val="none"/>
                    </w:rPr>
                    <w:t>8</w:t>
                  </w:r>
                </w:p>
              </w:tc>
              <w:tc>
                <w:tcPr>
                  <w:tcW w:w="810" w:type="dxa"/>
                  <w:vAlign w:val="center"/>
                </w:tcPr>
                <w:p w14:paraId="15C80B07">
                  <w:pPr>
                    <w:jc w:val="center"/>
                    <w:rPr>
                      <w:rFonts w:hint="eastAsia"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0.0029</w:t>
                  </w:r>
                </w:p>
              </w:tc>
              <w:tc>
                <w:tcPr>
                  <w:tcW w:w="765" w:type="dxa"/>
                  <w:vMerge w:val="continue"/>
                  <w:vAlign w:val="center"/>
                </w:tcPr>
                <w:p w14:paraId="4076431E">
                  <w:pPr>
                    <w:widowControl/>
                    <w:jc w:val="center"/>
                    <w:textAlignment w:val="center"/>
                    <w:rPr>
                      <w:color w:val="auto"/>
                      <w:kern w:val="0"/>
                      <w:szCs w:val="21"/>
                      <w:highlight w:val="none"/>
                      <w:lang w:bidi="ar"/>
                    </w:rPr>
                  </w:pPr>
                </w:p>
              </w:tc>
              <w:tc>
                <w:tcPr>
                  <w:tcW w:w="735" w:type="dxa"/>
                  <w:vAlign w:val="center"/>
                </w:tcPr>
                <w:p w14:paraId="262D39FB">
                  <w:pPr>
                    <w:jc w:val="center"/>
                    <w:rPr>
                      <w:rFonts w:hint="default" w:eastAsia="宋体"/>
                      <w:color w:val="auto"/>
                      <w:kern w:val="0"/>
                      <w:szCs w:val="21"/>
                      <w:highlight w:val="none"/>
                      <w:lang w:val="en-US" w:eastAsia="zh-CN" w:bidi="ar"/>
                    </w:rPr>
                  </w:pPr>
                  <w:r>
                    <w:rPr>
                      <w:color w:val="auto"/>
                      <w:szCs w:val="21"/>
                      <w:highlight w:val="none"/>
                    </w:rPr>
                    <w:t xml:space="preserve">50 </w:t>
                  </w:r>
                </w:p>
              </w:tc>
              <w:tc>
                <w:tcPr>
                  <w:tcW w:w="990" w:type="dxa"/>
                  <w:vAlign w:val="center"/>
                </w:tcPr>
                <w:p w14:paraId="3E86B01D">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rPr>
                    <w:t>4</w:t>
                  </w:r>
                </w:p>
              </w:tc>
              <w:tc>
                <w:tcPr>
                  <w:tcW w:w="915" w:type="dxa"/>
                  <w:vAlign w:val="center"/>
                </w:tcPr>
                <w:p w14:paraId="1ACF7DE7">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0.0015</w:t>
                  </w:r>
                </w:p>
              </w:tc>
              <w:tc>
                <w:tcPr>
                  <w:tcW w:w="810" w:type="dxa"/>
                  <w:vAlign w:val="center"/>
                </w:tcPr>
                <w:p w14:paraId="074E0F81">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0.0014</w:t>
                  </w:r>
                </w:p>
              </w:tc>
              <w:tc>
                <w:tcPr>
                  <w:tcW w:w="750" w:type="dxa"/>
                  <w:vAlign w:val="center"/>
                </w:tcPr>
                <w:p w14:paraId="673E59BB">
                  <w:pPr>
                    <w:jc w:val="center"/>
                    <w:rPr>
                      <w:rFonts w:hint="eastAsia"/>
                      <w:color w:val="auto"/>
                      <w:szCs w:val="21"/>
                      <w:highlight w:val="none"/>
                      <w:lang w:val="en-US" w:eastAsia="zh-CN"/>
                    </w:rPr>
                  </w:pPr>
                  <w:r>
                    <w:rPr>
                      <w:rFonts w:hint="eastAsia"/>
                      <w:color w:val="auto"/>
                      <w:kern w:val="0"/>
                      <w:szCs w:val="21"/>
                      <w:highlight w:val="none"/>
                      <w:lang w:bidi="ar"/>
                    </w:rPr>
                    <w:t>/</w:t>
                  </w:r>
                </w:p>
              </w:tc>
              <w:tc>
                <w:tcPr>
                  <w:tcW w:w="675" w:type="dxa"/>
                  <w:vAlign w:val="center"/>
                </w:tcPr>
                <w:p w14:paraId="79332F0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1B73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dxa"/>
                  <w:vMerge w:val="continue"/>
                  <w:vAlign w:val="center"/>
                </w:tcPr>
                <w:p w14:paraId="346E7B42">
                  <w:pPr>
                    <w:jc w:val="center"/>
                    <w:rPr>
                      <w:color w:val="auto"/>
                      <w:szCs w:val="21"/>
                      <w:highlight w:val="none"/>
                    </w:rPr>
                  </w:pPr>
                </w:p>
              </w:tc>
              <w:tc>
                <w:tcPr>
                  <w:tcW w:w="816" w:type="dxa"/>
                  <w:vAlign w:val="center"/>
                </w:tcPr>
                <w:p w14:paraId="124E5E44">
                  <w:pPr>
                    <w:jc w:val="center"/>
                    <w:rPr>
                      <w:rFonts w:hint="eastAsia"/>
                      <w:color w:val="auto"/>
                      <w:szCs w:val="21"/>
                      <w:highlight w:val="none"/>
                    </w:rPr>
                  </w:pPr>
                  <w:r>
                    <w:rPr>
                      <w:rFonts w:hint="eastAsia"/>
                      <w:color w:val="auto"/>
                      <w:szCs w:val="21"/>
                      <w:highlight w:val="none"/>
                    </w:rPr>
                    <w:t>动植物油</w:t>
                  </w:r>
                </w:p>
              </w:tc>
              <w:tc>
                <w:tcPr>
                  <w:tcW w:w="645" w:type="dxa"/>
                  <w:vAlign w:val="center"/>
                </w:tcPr>
                <w:p w14:paraId="45D55AED">
                  <w:pPr>
                    <w:jc w:val="center"/>
                    <w:rPr>
                      <w:rFonts w:hint="eastAsia"/>
                      <w:color w:val="auto"/>
                      <w:kern w:val="0"/>
                      <w:szCs w:val="21"/>
                      <w:highlight w:val="none"/>
                      <w:lang w:val="en-US" w:eastAsia="zh-CN" w:bidi="ar"/>
                    </w:rPr>
                  </w:pPr>
                  <w:r>
                    <w:rPr>
                      <w:color w:val="auto"/>
                      <w:szCs w:val="21"/>
                      <w:highlight w:val="none"/>
                    </w:rPr>
                    <w:t>30</w:t>
                  </w:r>
                </w:p>
              </w:tc>
              <w:tc>
                <w:tcPr>
                  <w:tcW w:w="810" w:type="dxa"/>
                  <w:vAlign w:val="center"/>
                </w:tcPr>
                <w:p w14:paraId="293501B1">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0.0108</w:t>
                  </w:r>
                </w:p>
              </w:tc>
              <w:tc>
                <w:tcPr>
                  <w:tcW w:w="765" w:type="dxa"/>
                  <w:vMerge w:val="continue"/>
                  <w:vAlign w:val="center"/>
                </w:tcPr>
                <w:p w14:paraId="3F0B1E60">
                  <w:pPr>
                    <w:widowControl/>
                    <w:jc w:val="center"/>
                    <w:textAlignment w:val="center"/>
                    <w:rPr>
                      <w:color w:val="auto"/>
                      <w:kern w:val="0"/>
                      <w:szCs w:val="21"/>
                      <w:highlight w:val="none"/>
                      <w:lang w:bidi="ar"/>
                    </w:rPr>
                  </w:pPr>
                </w:p>
              </w:tc>
              <w:tc>
                <w:tcPr>
                  <w:tcW w:w="735" w:type="dxa"/>
                  <w:vAlign w:val="center"/>
                </w:tcPr>
                <w:p w14:paraId="15DD2035">
                  <w:pPr>
                    <w:jc w:val="center"/>
                    <w:rPr>
                      <w:rFonts w:hint="eastAsia"/>
                      <w:color w:val="auto"/>
                      <w:szCs w:val="21"/>
                      <w:highlight w:val="none"/>
                      <w:lang w:val="en-US" w:eastAsia="zh-CN"/>
                    </w:rPr>
                  </w:pPr>
                  <w:r>
                    <w:rPr>
                      <w:color w:val="auto"/>
                      <w:szCs w:val="21"/>
                      <w:highlight w:val="none"/>
                    </w:rPr>
                    <w:t xml:space="preserve">80 </w:t>
                  </w:r>
                </w:p>
              </w:tc>
              <w:tc>
                <w:tcPr>
                  <w:tcW w:w="990" w:type="dxa"/>
                  <w:vAlign w:val="center"/>
                </w:tcPr>
                <w:p w14:paraId="051452CC">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rPr>
                    <w:t>6</w:t>
                  </w:r>
                </w:p>
              </w:tc>
              <w:tc>
                <w:tcPr>
                  <w:tcW w:w="915" w:type="dxa"/>
                  <w:vAlign w:val="center"/>
                </w:tcPr>
                <w:p w14:paraId="03760538">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0.0086</w:t>
                  </w:r>
                </w:p>
              </w:tc>
              <w:tc>
                <w:tcPr>
                  <w:tcW w:w="810" w:type="dxa"/>
                  <w:vAlign w:val="center"/>
                </w:tcPr>
                <w:p w14:paraId="31B4D1AA">
                  <w:pPr>
                    <w:jc w:val="center"/>
                    <w:rPr>
                      <w:rFonts w:hint="default"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0.0022</w:t>
                  </w:r>
                </w:p>
              </w:tc>
              <w:tc>
                <w:tcPr>
                  <w:tcW w:w="750" w:type="dxa"/>
                  <w:vAlign w:val="center"/>
                </w:tcPr>
                <w:p w14:paraId="5132C197">
                  <w:pPr>
                    <w:jc w:val="center"/>
                    <w:rPr>
                      <w:rFonts w:hint="eastAsia"/>
                      <w:color w:val="auto"/>
                      <w:szCs w:val="21"/>
                      <w:highlight w:val="none"/>
                      <w:lang w:val="en-US" w:eastAsia="zh-CN"/>
                    </w:rPr>
                  </w:pPr>
                  <w:r>
                    <w:rPr>
                      <w:rFonts w:hint="eastAsia"/>
                      <w:color w:val="auto"/>
                      <w:kern w:val="0"/>
                      <w:szCs w:val="21"/>
                      <w:highlight w:val="none"/>
                      <w:lang w:bidi="ar"/>
                    </w:rPr>
                    <w:t>/</w:t>
                  </w:r>
                </w:p>
              </w:tc>
              <w:tc>
                <w:tcPr>
                  <w:tcW w:w="675" w:type="dxa"/>
                  <w:vAlign w:val="center"/>
                </w:tcPr>
                <w:p w14:paraId="259846E9">
                  <w:pPr>
                    <w:jc w:val="center"/>
                    <w:rPr>
                      <w:rFonts w:hint="eastAsia"/>
                      <w:color w:val="auto"/>
                      <w:szCs w:val="21"/>
                      <w:highlight w:val="none"/>
                      <w:lang w:val="en-US" w:eastAsia="zh-CN"/>
                    </w:rPr>
                  </w:pPr>
                  <w:r>
                    <w:rPr>
                      <w:rFonts w:hint="eastAsia"/>
                      <w:color w:val="auto"/>
                      <w:szCs w:val="21"/>
                      <w:highlight w:val="none"/>
                      <w:lang w:val="en-US" w:eastAsia="zh-CN"/>
                    </w:rPr>
                    <w:t>达标</w:t>
                  </w:r>
                </w:p>
              </w:tc>
            </w:tr>
            <w:tr w14:paraId="71E5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dxa"/>
                  <w:vAlign w:val="center"/>
                </w:tcPr>
                <w:p w14:paraId="30428175">
                  <w:pPr>
                    <w:jc w:val="center"/>
                    <w:rPr>
                      <w:rFonts w:hint="eastAsia" w:eastAsia="宋体"/>
                      <w:color w:val="auto"/>
                      <w:szCs w:val="21"/>
                      <w:highlight w:val="none"/>
                      <w:lang w:eastAsia="zh-CN"/>
                    </w:rPr>
                  </w:pPr>
                  <w:r>
                    <w:rPr>
                      <w:rFonts w:hint="eastAsia"/>
                      <w:color w:val="auto"/>
                      <w:szCs w:val="21"/>
                      <w:highlight w:val="none"/>
                      <w:lang w:eastAsia="zh-CN"/>
                    </w:rPr>
                    <w:t>废水去向</w:t>
                  </w:r>
                </w:p>
              </w:tc>
              <w:tc>
                <w:tcPr>
                  <w:tcW w:w="7911" w:type="dxa"/>
                  <w:gridSpan w:val="10"/>
                  <w:vAlign w:val="center"/>
                </w:tcPr>
                <w:p w14:paraId="137EDB71">
                  <w:pPr>
                    <w:widowControl/>
                    <w:jc w:val="left"/>
                    <w:textAlignment w:val="center"/>
                    <w:rPr>
                      <w:rFonts w:hint="eastAsia"/>
                      <w:color w:val="auto"/>
                      <w:kern w:val="0"/>
                      <w:szCs w:val="21"/>
                      <w:highlight w:val="none"/>
                      <w:lang w:bidi="ar"/>
                    </w:rPr>
                  </w:pPr>
                  <w:r>
                    <w:rPr>
                      <w:rFonts w:hint="eastAsia"/>
                      <w:color w:val="auto"/>
                      <w:kern w:val="0"/>
                      <w:szCs w:val="21"/>
                      <w:highlight w:val="none"/>
                      <w:lang w:val="en-US" w:eastAsia="zh-CN" w:bidi="ar"/>
                    </w:rPr>
                    <w:t>食堂含油废水经隔油池处理后与其他生活污水一并进入化粪池预处理后，再进入一体化生活污水处理设施处理达《城市污水再生利用 城市杂用水水质》（GB/T18920-2020）中城市绿化、道路广场浇洒、消防、建筑施工标准后，回用于项目区绿化和道路广场浇洒，不外排。</w:t>
                  </w:r>
                </w:p>
              </w:tc>
            </w:tr>
          </w:tbl>
          <w:p w14:paraId="0A162A3A">
            <w:pPr>
              <w:pStyle w:val="24"/>
              <w:rPr>
                <w:rFonts w:hint="default"/>
                <w:color w:val="auto"/>
                <w:highlight w:val="none"/>
                <w:lang w:val="en-US" w:eastAsia="zh-CN"/>
              </w:rPr>
            </w:pPr>
          </w:p>
          <w:p w14:paraId="2EF6D6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0"/>
                <w:sz w:val="24"/>
                <w:szCs w:val="24"/>
                <w:highlight w:val="none"/>
                <w:lang w:val="en-US" w:eastAsia="zh-CN" w:bidi="ar-SA"/>
              </w:rPr>
              <w:t>②生产废水</w:t>
            </w:r>
          </w:p>
          <w:p w14:paraId="78583E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snapToGrid w:val="0"/>
                <w:color w:val="auto"/>
                <w:kern w:val="0"/>
                <w:sz w:val="24"/>
                <w:highlight w:val="none"/>
                <w:lang w:val="en-US" w:eastAsia="zh-CN"/>
              </w:rPr>
              <w:t>根据项目水平衡，本扩建项目</w:t>
            </w:r>
            <w:r>
              <w:rPr>
                <w:rFonts w:hint="eastAsia" w:ascii="Times New Roman" w:hAnsi="Times New Roman" w:cs="Times New Roman"/>
                <w:color w:val="auto"/>
                <w:sz w:val="24"/>
                <w:szCs w:val="24"/>
                <w:highlight w:val="none"/>
                <w:lang w:eastAsia="zh-CN" w:bidi="ar"/>
              </w:rPr>
              <w:t>生产废</w:t>
            </w:r>
            <w:r>
              <w:rPr>
                <w:rFonts w:hint="default" w:ascii="Times New Roman" w:hAnsi="Times New Roman" w:eastAsia="宋体" w:cs="Times New Roman"/>
                <w:b w:val="0"/>
                <w:bCs w:val="0"/>
                <w:color w:val="auto"/>
                <w:sz w:val="24"/>
                <w:szCs w:val="24"/>
                <w:highlight w:val="none"/>
                <w:lang w:eastAsia="zh-CN"/>
              </w:rPr>
              <w:t>水产生量为</w:t>
            </w:r>
            <w:r>
              <w:rPr>
                <w:rFonts w:hint="eastAsia" w:cs="Times New Roman"/>
                <w:color w:val="auto"/>
                <w:sz w:val="24"/>
                <w:szCs w:val="24"/>
                <w:highlight w:val="none"/>
                <w:lang w:val="en-US" w:eastAsia="zh-CN" w:bidi="ar"/>
              </w:rPr>
              <w:t>69.6</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生</w:t>
            </w:r>
            <w:r>
              <w:rPr>
                <w:rFonts w:hint="eastAsia" w:ascii="Times New Roman" w:hAnsi="Times New Roman" w:cs="Times New Roman"/>
                <w:color w:val="auto"/>
                <w:sz w:val="24"/>
                <w:szCs w:val="24"/>
                <w:highlight w:val="none"/>
                <w:lang w:val="en-US" w:eastAsia="zh-CN"/>
              </w:rPr>
              <w:t>产废</w:t>
            </w:r>
            <w:r>
              <w:rPr>
                <w:rFonts w:hint="default" w:ascii="Times New Roman" w:hAnsi="Times New Roman" w:eastAsia="宋体" w:cs="Times New Roman"/>
                <w:color w:val="auto"/>
                <w:sz w:val="24"/>
                <w:szCs w:val="24"/>
                <w:highlight w:val="none"/>
                <w:lang w:val="en-US" w:eastAsia="zh-CN"/>
              </w:rPr>
              <w:t>水中主要污染</w:t>
            </w:r>
            <w:r>
              <w:rPr>
                <w:rFonts w:hint="eastAsia" w:cs="Times New Roman"/>
                <w:color w:val="auto"/>
                <w:sz w:val="24"/>
                <w:szCs w:val="24"/>
                <w:highlight w:val="none"/>
                <w:lang w:val="en-US" w:eastAsia="zh-CN"/>
              </w:rPr>
              <w:t>因子</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lang w:val="en-US" w:eastAsia="zh-CN"/>
              </w:rPr>
              <w:t>H、COD、SS、</w:t>
            </w:r>
            <w:r>
              <w:rPr>
                <w:rFonts w:hint="eastAsia" w:cs="Times New Roman"/>
                <w:color w:val="auto"/>
                <w:sz w:val="24"/>
                <w:szCs w:val="24"/>
                <w:highlight w:val="none"/>
                <w:lang w:val="en-US" w:eastAsia="zh-CN"/>
              </w:rPr>
              <w:t>氟化物</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氯化物等。</w:t>
            </w:r>
          </w:p>
          <w:p w14:paraId="508E5D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根据调查</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本项目与</w:t>
            </w:r>
            <w:r>
              <w:rPr>
                <w:rFonts w:hint="eastAsia" w:ascii="Times New Roman" w:hAnsi="Times New Roman" w:eastAsia="宋体" w:cs="Times New Roman"/>
                <w:color w:val="auto"/>
                <w:sz w:val="24"/>
                <w:highlight w:val="none"/>
                <w:lang w:eastAsia="zh-CN"/>
              </w:rPr>
              <w:t>“青岛鑫龙新都工贸有限公司玻璃蒙砂项目”生产产品均为蒙砂玻璃</w:t>
            </w:r>
            <w:r>
              <w:rPr>
                <w:rFonts w:hint="default" w:ascii="Times New Roman" w:hAnsi="Times New Roman" w:eastAsia="宋体" w:cs="Times New Roman"/>
                <w:color w:val="auto"/>
                <w:sz w:val="24"/>
                <w:szCs w:val="24"/>
                <w:highlight w:val="none"/>
                <w:lang w:val="en-US" w:eastAsia="zh-CN"/>
              </w:rPr>
              <w:t>，生产废水</w:t>
            </w:r>
            <w:r>
              <w:rPr>
                <w:rFonts w:hint="eastAsia" w:ascii="Times New Roman" w:hAnsi="Times New Roman" w:eastAsia="宋体" w:cs="Times New Roman"/>
                <w:color w:val="auto"/>
                <w:sz w:val="24"/>
                <w:szCs w:val="24"/>
                <w:highlight w:val="none"/>
                <w:lang w:val="en-US" w:eastAsia="zh-CN"/>
              </w:rPr>
              <w:t>水质及</w:t>
            </w:r>
            <w:r>
              <w:rPr>
                <w:rFonts w:hint="default" w:ascii="Times New Roman" w:hAnsi="Times New Roman" w:eastAsia="宋体" w:cs="Times New Roman"/>
                <w:color w:val="auto"/>
                <w:sz w:val="24"/>
                <w:szCs w:val="24"/>
                <w:highlight w:val="none"/>
                <w:lang w:val="en-US" w:eastAsia="zh-CN"/>
              </w:rPr>
              <w:t>污染物</w:t>
            </w:r>
            <w:r>
              <w:rPr>
                <w:rFonts w:hint="default" w:ascii="Times New Roman" w:hAnsi="Times New Roman" w:eastAsia="宋体" w:cs="Times New Roman"/>
                <w:color w:val="auto"/>
                <w:sz w:val="24"/>
                <w:highlight w:val="none"/>
                <w:lang w:eastAsia="zh-CN"/>
              </w:rPr>
              <w:t>类似，</w:t>
            </w:r>
            <w:r>
              <w:rPr>
                <w:rFonts w:hint="default" w:ascii="Times New Roman" w:hAnsi="Times New Roman" w:eastAsia="宋体" w:cs="Times New Roman"/>
                <w:color w:val="auto"/>
                <w:sz w:val="24"/>
                <w:highlight w:val="none"/>
                <w:lang w:val="en-US" w:eastAsia="zh-CN"/>
              </w:rPr>
              <w:t>具有可类比性</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青岛鑫龙新都工贸有限公司玻璃蒙砂项目</w:t>
            </w:r>
            <w:r>
              <w:rPr>
                <w:rFonts w:hint="default" w:ascii="Times New Roman" w:hAnsi="Times New Roman" w:eastAsia="宋体" w:cs="Times New Roman"/>
                <w:color w:val="auto"/>
                <w:sz w:val="24"/>
                <w:szCs w:val="24"/>
                <w:highlight w:val="none"/>
                <w:lang w:val="en-US" w:eastAsia="zh-CN"/>
              </w:rPr>
              <w:t>已建成投产且完成了竣工环境保护验收，</w:t>
            </w:r>
            <w:r>
              <w:rPr>
                <w:rFonts w:hint="eastAsia" w:cs="Times New Roman"/>
                <w:color w:val="auto"/>
                <w:sz w:val="24"/>
                <w:szCs w:val="24"/>
                <w:highlight w:val="none"/>
                <w:lang w:val="en-US" w:eastAsia="zh-CN"/>
              </w:rPr>
              <w:t>生产废水</w:t>
            </w:r>
            <w:r>
              <w:rPr>
                <w:rFonts w:hint="default" w:ascii="Times New Roman" w:hAnsi="Times New Roman" w:eastAsia="宋体" w:cs="Times New Roman"/>
                <w:color w:val="auto"/>
                <w:sz w:val="24"/>
                <w:szCs w:val="24"/>
                <w:highlight w:val="none"/>
                <w:lang w:val="en-US" w:eastAsia="zh-CN"/>
              </w:rPr>
              <w:t>处理设施运行效果较好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因此，本项目生产废水各污染物源强类比</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eastAsia="zh-CN"/>
              </w:rPr>
              <w:t>青岛鑫龙新都工贸有限公司玻璃蒙砂项目</w:t>
            </w:r>
            <w:r>
              <w:rPr>
                <w:rFonts w:hint="eastAsia" w:ascii="Times New Roman" w:hAnsi="Times New Roman" w:eastAsia="宋体" w:cs="Times New Roman"/>
                <w:color w:val="auto"/>
                <w:sz w:val="24"/>
                <w:highlight w:val="none"/>
                <w:lang w:val="en-US" w:eastAsia="zh-CN"/>
              </w:rPr>
              <w:t>”，生产废水中各污染物产生浓度为</w:t>
            </w:r>
            <w:r>
              <w:rPr>
                <w:rFonts w:hint="eastAsia" w:ascii="Times New Roman" w:hAnsi="Times New Roman"/>
                <w:color w:val="auto"/>
                <w:sz w:val="24"/>
                <w:highlight w:val="none"/>
              </w:rPr>
              <w:t>pH</w:t>
            </w:r>
            <w:r>
              <w:rPr>
                <w:rFonts w:hint="eastAsia" w:ascii="Arial" w:hAnsi="Arial" w:cs="Arial"/>
                <w:color w:val="auto"/>
                <w:sz w:val="24"/>
                <w:highlight w:val="none"/>
                <w:lang w:eastAsia="zh-CN"/>
              </w:rPr>
              <w:t>：</w:t>
            </w:r>
            <w:r>
              <w:rPr>
                <w:rFonts w:hint="eastAsia" w:ascii="Times New Roman" w:hAnsi="Times New Roman"/>
                <w:color w:val="auto"/>
                <w:sz w:val="24"/>
                <w:highlight w:val="none"/>
                <w:lang w:val="en-US" w:eastAsia="zh-CN"/>
              </w:rPr>
              <w:t>6</w:t>
            </w:r>
            <w:r>
              <w:rPr>
                <w:rFonts w:hint="eastAsia" w:ascii="Times New Roman" w:hAnsi="Times New Roman"/>
                <w:color w:val="auto"/>
                <w:sz w:val="24"/>
                <w:highlight w:val="none"/>
              </w:rPr>
              <w:t>、</w:t>
            </w:r>
            <w:r>
              <w:rPr>
                <w:rFonts w:ascii="Times New Roman" w:hAnsi="Times New Roman"/>
                <w:color w:val="auto"/>
                <w:sz w:val="24"/>
                <w:highlight w:val="none"/>
              </w:rPr>
              <w:t>COD</w:t>
            </w:r>
            <w:r>
              <w:rPr>
                <w:rFonts w:hint="eastAsia" w:ascii="Arial" w:hAnsi="Arial" w:cs="Arial"/>
                <w:color w:val="auto"/>
                <w:sz w:val="24"/>
                <w:highlight w:val="none"/>
                <w:lang w:eastAsia="zh-CN"/>
              </w:rPr>
              <w:t>：</w:t>
            </w:r>
            <w:r>
              <w:rPr>
                <w:rFonts w:hint="eastAsia" w:ascii="Times New Roman" w:hAnsi="Times New Roman"/>
                <w:color w:val="auto"/>
                <w:sz w:val="24"/>
                <w:highlight w:val="none"/>
                <w:lang w:val="en-US" w:eastAsia="zh-CN"/>
              </w:rPr>
              <w:t>400</w:t>
            </w:r>
            <w:r>
              <w:rPr>
                <w:rFonts w:ascii="Times New Roman" w:hAnsi="Times New Roman"/>
                <w:color w:val="auto"/>
                <w:sz w:val="24"/>
                <w:highlight w:val="none"/>
              </w:rPr>
              <w:t>mg/L</w:t>
            </w:r>
            <w:r>
              <w:rPr>
                <w:rFonts w:hint="eastAsia" w:ascii="Times New Roman" w:hAnsi="Times New Roman"/>
                <w:color w:val="auto"/>
                <w:sz w:val="24"/>
                <w:highlight w:val="none"/>
                <w:lang w:eastAsia="zh-CN"/>
              </w:rPr>
              <w:t>、</w:t>
            </w:r>
            <w:r>
              <w:rPr>
                <w:rFonts w:ascii="Times New Roman" w:hAnsi="Times New Roman"/>
                <w:color w:val="auto"/>
                <w:sz w:val="24"/>
                <w:highlight w:val="none"/>
              </w:rPr>
              <w:t>SS</w:t>
            </w:r>
            <w:r>
              <w:rPr>
                <w:rFonts w:hint="eastAsia" w:ascii="Arial" w:hAnsi="Arial" w:cs="Arial"/>
                <w:color w:val="auto"/>
                <w:sz w:val="24"/>
                <w:highlight w:val="none"/>
                <w:lang w:eastAsia="zh-CN"/>
              </w:rPr>
              <w:t>：</w:t>
            </w:r>
            <w:r>
              <w:rPr>
                <w:rFonts w:hint="eastAsia" w:ascii="Times New Roman" w:hAnsi="Times New Roman"/>
                <w:color w:val="auto"/>
                <w:sz w:val="24"/>
                <w:highlight w:val="none"/>
                <w:lang w:val="en-US" w:eastAsia="zh-CN"/>
              </w:rPr>
              <w:t>500</w:t>
            </w:r>
            <w:r>
              <w:rPr>
                <w:rFonts w:ascii="Times New Roman" w:hAnsi="Times New Roman"/>
                <w:color w:val="auto"/>
                <w:sz w:val="24"/>
                <w:highlight w:val="none"/>
              </w:rPr>
              <w:t>mg/L</w:t>
            </w:r>
            <w:r>
              <w:rPr>
                <w:rFonts w:hint="eastAsia" w:ascii="Times New Roman" w:hAnsi="Times New Roman"/>
                <w:color w:val="auto"/>
                <w:sz w:val="24"/>
                <w:highlight w:val="none"/>
                <w:lang w:eastAsia="zh-CN"/>
              </w:rPr>
              <w:t>、</w:t>
            </w:r>
            <w:r>
              <w:rPr>
                <w:rFonts w:hint="eastAsia" w:cs="Times New Roman"/>
                <w:color w:val="auto"/>
                <w:sz w:val="24"/>
                <w:szCs w:val="24"/>
                <w:highlight w:val="none"/>
                <w:lang w:val="en-US" w:eastAsia="zh-CN"/>
              </w:rPr>
              <w:t>氟化物</w:t>
            </w:r>
            <w:r>
              <w:rPr>
                <w:rFonts w:hint="eastAsia" w:ascii="Arial" w:hAnsi="Arial" w:cs="Arial"/>
                <w:color w:val="auto"/>
                <w:sz w:val="24"/>
                <w:highlight w:val="none"/>
                <w:lang w:eastAsia="zh-CN"/>
              </w:rPr>
              <w:t>：</w:t>
            </w:r>
            <w:r>
              <w:rPr>
                <w:rFonts w:hint="eastAsia" w:ascii="Times New Roman" w:hAnsi="Times New Roman"/>
                <w:color w:val="auto"/>
                <w:sz w:val="24"/>
                <w:highlight w:val="none"/>
                <w:lang w:val="en-US" w:eastAsia="zh-CN"/>
              </w:rPr>
              <w:t>100</w:t>
            </w:r>
            <w:r>
              <w:rPr>
                <w:rFonts w:ascii="Times New Roman" w:hAnsi="Times New Roman"/>
                <w:color w:val="auto"/>
                <w:sz w:val="24"/>
                <w:highlight w:val="none"/>
              </w:rPr>
              <w:t>mg/L</w:t>
            </w:r>
            <w:r>
              <w:rPr>
                <w:rFonts w:hint="eastAsia" w:ascii="Times New Roman" w:hAnsi="Times New Roman"/>
                <w:color w:val="auto"/>
                <w:sz w:val="24"/>
                <w:highlight w:val="none"/>
                <w:lang w:eastAsia="zh-CN"/>
              </w:rPr>
              <w:t>、</w:t>
            </w:r>
            <w:r>
              <w:rPr>
                <w:rFonts w:hint="eastAsia" w:cs="Times New Roman"/>
                <w:color w:val="auto"/>
                <w:sz w:val="24"/>
                <w:szCs w:val="24"/>
                <w:highlight w:val="none"/>
                <w:lang w:val="en-US" w:eastAsia="zh-CN"/>
              </w:rPr>
              <w:t>氯化物</w:t>
            </w:r>
            <w:r>
              <w:rPr>
                <w:rFonts w:hint="eastAsia" w:ascii="Arial" w:hAnsi="Arial" w:cs="Arial"/>
                <w:color w:val="auto"/>
                <w:sz w:val="24"/>
                <w:highlight w:val="none"/>
                <w:lang w:eastAsia="zh-CN"/>
              </w:rPr>
              <w:t>：</w:t>
            </w:r>
            <w:r>
              <w:rPr>
                <w:rFonts w:hint="eastAsia" w:ascii="Times New Roman" w:hAnsi="Times New Roman"/>
                <w:color w:val="auto"/>
                <w:sz w:val="24"/>
                <w:highlight w:val="none"/>
                <w:lang w:val="en-US" w:eastAsia="zh-CN"/>
              </w:rPr>
              <w:t>493</w:t>
            </w:r>
            <w:r>
              <w:rPr>
                <w:rFonts w:ascii="Times New Roman" w:hAnsi="Times New Roman"/>
                <w:color w:val="auto"/>
                <w:sz w:val="24"/>
                <w:highlight w:val="none"/>
              </w:rPr>
              <w:t>mg/L</w:t>
            </w:r>
            <w:r>
              <w:rPr>
                <w:rFonts w:hint="eastAsia" w:ascii="Times New Roman" w:hAnsi="Times New Roman"/>
                <w:color w:val="auto"/>
                <w:sz w:val="24"/>
                <w:highlight w:val="none"/>
                <w:lang w:eastAsia="zh-CN"/>
              </w:rPr>
              <w:t>。</w:t>
            </w:r>
          </w:p>
          <w:p w14:paraId="6B6502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color w:val="auto"/>
                <w:kern w:val="0"/>
                <w:sz w:val="24"/>
                <w:szCs w:val="20"/>
                <w:highlight w:val="none"/>
                <w:lang w:val="en-US" w:eastAsia="zh-CN"/>
              </w:rPr>
              <w:t>本次环评提出</w:t>
            </w:r>
            <w:r>
              <w:rPr>
                <w:rFonts w:hint="default" w:ascii="Times New Roman" w:hAnsi="Times New Roman" w:eastAsia="宋体" w:cs="Times New Roman"/>
                <w:color w:val="auto"/>
                <w:sz w:val="24"/>
                <w:szCs w:val="24"/>
                <w:highlight w:val="none"/>
              </w:rPr>
              <w:t>在</w:t>
            </w:r>
            <w:r>
              <w:rPr>
                <w:rFonts w:hint="eastAsia" w:ascii="Times New Roman" w:hAnsi="Times New Roman" w:eastAsia="宋体" w:cs="Times New Roman"/>
                <w:color w:val="auto"/>
                <w:sz w:val="24"/>
                <w:szCs w:val="24"/>
                <w:highlight w:val="none"/>
                <w:lang w:eastAsia="zh-CN"/>
              </w:rPr>
              <w:t>玉砂玻璃生产线旁</w:t>
            </w:r>
            <w:r>
              <w:rPr>
                <w:rFonts w:hint="default" w:ascii="Times New Roman" w:hAnsi="Times New Roman" w:eastAsia="宋体" w:cs="Times New Roman"/>
                <w:color w:val="auto"/>
                <w:sz w:val="24"/>
                <w:szCs w:val="24"/>
                <w:highlight w:val="none"/>
              </w:rPr>
              <w:t>设置</w:t>
            </w:r>
            <w:r>
              <w:rPr>
                <w:rFonts w:hint="default" w:ascii="Times New Roman" w:hAnsi="Times New Roman" w:eastAsia="宋体" w:cs="Times New Roman"/>
                <w:color w:val="auto"/>
                <w:sz w:val="24"/>
                <w:szCs w:val="24"/>
                <w:highlight w:val="none"/>
                <w:lang w:val="en-US" w:eastAsia="zh-CN"/>
              </w:rPr>
              <w:t>1套处理规模为</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/d的生产废水处理设施（</w:t>
            </w:r>
            <w:r>
              <w:rPr>
                <w:rFonts w:hint="eastAsia" w:cs="Times New Roman"/>
                <w:color w:val="auto"/>
                <w:sz w:val="24"/>
                <w:szCs w:val="24"/>
                <w:highlight w:val="none"/>
                <w:lang w:val="en-US" w:eastAsia="zh-CN"/>
              </w:rPr>
              <w:t>处理工艺：</w:t>
            </w:r>
            <w:r>
              <w:rPr>
                <w:rFonts w:hint="default" w:ascii="Times New Roman" w:hAnsi="Times New Roman" w:eastAsia="宋体" w:cs="Times New Roman"/>
                <w:color w:val="auto"/>
                <w:sz w:val="24"/>
                <w:szCs w:val="24"/>
                <w:highlight w:val="none"/>
                <w:lang w:val="en-US" w:eastAsia="zh-CN"/>
              </w:rPr>
              <w:t>调节池+混凝沉淀+过滤）</w:t>
            </w:r>
            <w:r>
              <w:rPr>
                <w:rFonts w:hint="default" w:ascii="Times New Roman" w:hAnsi="Times New Roman" w:eastAsia="宋体" w:cs="Times New Roman"/>
                <w:color w:val="auto"/>
                <w:sz w:val="24"/>
                <w:szCs w:val="24"/>
                <w:highlight w:val="none"/>
              </w:rPr>
              <w:t>对</w:t>
            </w:r>
            <w:r>
              <w:rPr>
                <w:rFonts w:hint="eastAsia" w:ascii="Times New Roman" w:hAnsi="Times New Roman" w:eastAsia="宋体" w:cs="Times New Roman"/>
                <w:color w:val="auto"/>
                <w:sz w:val="24"/>
                <w:szCs w:val="24"/>
                <w:highlight w:val="none"/>
                <w:lang w:eastAsia="zh-CN"/>
              </w:rPr>
              <w:t>生产</w:t>
            </w:r>
            <w:r>
              <w:rPr>
                <w:rFonts w:hint="default" w:ascii="Times New Roman" w:hAnsi="Times New Roman" w:eastAsia="宋体" w:cs="Times New Roman"/>
                <w:color w:val="auto"/>
                <w:sz w:val="24"/>
                <w:szCs w:val="24"/>
                <w:highlight w:val="none"/>
              </w:rPr>
              <w:t>废水进行处理，</w:t>
            </w:r>
            <w:r>
              <w:rPr>
                <w:rFonts w:hint="default" w:ascii="Times New Roman" w:hAnsi="Times New Roman" w:eastAsia="宋体" w:cs="Times New Roman"/>
                <w:color w:val="auto"/>
                <w:sz w:val="24"/>
                <w:szCs w:val="24"/>
                <w:highlight w:val="none"/>
                <w:lang w:val="en-US" w:eastAsia="zh-CN"/>
              </w:rPr>
              <w:t>废水经</w:t>
            </w:r>
            <w:r>
              <w:rPr>
                <w:rFonts w:hint="default" w:ascii="Times New Roman" w:hAnsi="Times New Roman" w:eastAsia="宋体" w:cs="Times New Roman"/>
                <w:color w:val="auto"/>
                <w:sz w:val="24"/>
                <w:highlight w:val="none"/>
              </w:rPr>
              <w:t>处理</w:t>
            </w:r>
            <w:r>
              <w:rPr>
                <w:rFonts w:hint="eastAsia" w:cs="Times New Roman"/>
                <w:color w:val="auto"/>
                <w:sz w:val="24"/>
                <w:highlight w:val="none"/>
                <w:lang w:eastAsia="zh-CN"/>
              </w:rPr>
              <w:t>达到</w:t>
            </w:r>
            <w:r>
              <w:rPr>
                <w:rFonts w:hint="default" w:ascii="Times New Roman" w:hAnsi="Times New Roman" w:eastAsia="宋体" w:cs="Times New Roman"/>
                <w:color w:val="auto"/>
                <w:sz w:val="24"/>
                <w:highlight w:val="none"/>
                <w:lang w:val="en-US" w:eastAsia="zh-CN"/>
              </w:rPr>
              <w:t>《城市污水再生利用 工业用水水质》（GB/T 19923-2005）</w:t>
            </w:r>
            <w:r>
              <w:rPr>
                <w:rFonts w:hint="eastAsia" w:ascii="Times New Roman" w:hAnsi="Times New Roman" w:cs="Times New Roman"/>
                <w:color w:val="auto"/>
                <w:sz w:val="24"/>
                <w:highlight w:val="none"/>
                <w:lang w:val="en-US" w:eastAsia="zh-CN"/>
              </w:rPr>
              <w:t>中的洗涤用水标准</w:t>
            </w:r>
            <w:r>
              <w:rPr>
                <w:rFonts w:hint="default" w:ascii="Times New Roman" w:hAnsi="Times New Roman" w:eastAsia="宋体" w:cs="Times New Roman"/>
                <w:color w:val="auto"/>
                <w:sz w:val="24"/>
                <w:highlight w:val="none"/>
              </w:rPr>
              <w:t>后回用</w:t>
            </w:r>
            <w:r>
              <w:rPr>
                <w:rFonts w:hint="eastAsia" w:ascii="Times New Roman" w:hAnsi="Times New Roman" w:cs="Times New Roman"/>
                <w:color w:val="auto"/>
                <w:sz w:val="24"/>
                <w:highlight w:val="none"/>
                <w:lang w:eastAsia="zh-CN"/>
              </w:rPr>
              <w:t>于</w:t>
            </w:r>
            <w:r>
              <w:rPr>
                <w:rFonts w:hint="eastAsia" w:ascii="Times New Roman" w:hAnsi="Times New Roman" w:cs="Times New Roman"/>
                <w:color w:val="auto"/>
                <w:sz w:val="24"/>
                <w:highlight w:val="none"/>
                <w:lang w:val="en-US" w:eastAsia="zh-CN"/>
              </w:rPr>
              <w:t>水洗</w:t>
            </w:r>
            <w:r>
              <w:rPr>
                <w:rFonts w:hint="eastAsia" w:ascii="Times New Roman" w:hAnsi="Times New Roman" w:cs="Times New Roman"/>
                <w:color w:val="auto"/>
                <w:sz w:val="24"/>
                <w:highlight w:val="none"/>
                <w:lang w:eastAsia="zh-CN"/>
              </w:rPr>
              <w:t>补水</w:t>
            </w:r>
            <w:r>
              <w:rPr>
                <w:rFonts w:hint="default" w:ascii="Times New Roman" w:hAnsi="Times New Roman" w:eastAsia="宋体" w:cs="Times New Roman"/>
                <w:color w:val="auto"/>
                <w:sz w:val="24"/>
                <w:highlight w:val="none"/>
              </w:rPr>
              <w:t>，不外排</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根据建设单位提</w:t>
            </w:r>
            <w:r>
              <w:rPr>
                <w:rFonts w:hint="eastAsia" w:cs="Times New Roman"/>
                <w:b w:val="0"/>
                <w:bCs w:val="0"/>
                <w:color w:val="auto"/>
                <w:sz w:val="24"/>
                <w:szCs w:val="24"/>
                <w:highlight w:val="none"/>
                <w:lang w:val="en-US" w:eastAsia="zh-CN"/>
              </w:rPr>
              <w:t>供的</w:t>
            </w:r>
            <w:r>
              <w:rPr>
                <w:rFonts w:hint="default" w:ascii="Times New Roman" w:hAnsi="Times New Roman" w:eastAsia="宋体" w:cs="Times New Roman"/>
                <w:b w:val="0"/>
                <w:bCs w:val="0"/>
                <w:color w:val="auto"/>
                <w:sz w:val="24"/>
                <w:szCs w:val="24"/>
                <w:highlight w:val="none"/>
                <w:lang w:val="en-US" w:eastAsia="zh-CN"/>
              </w:rPr>
              <w:t>设计资料，</w:t>
            </w:r>
            <w:r>
              <w:rPr>
                <w:rFonts w:hint="eastAsia" w:ascii="Times New Roman" w:hAnsi="Times New Roman" w:eastAsia="宋体" w:cs="Times New Roman"/>
                <w:b w:val="0"/>
                <w:bCs w:val="0"/>
                <w:color w:val="auto"/>
                <w:sz w:val="24"/>
                <w:szCs w:val="24"/>
                <w:highlight w:val="none"/>
                <w:lang w:val="en-US" w:eastAsia="zh-CN"/>
              </w:rPr>
              <w:t>本项目</w:t>
            </w:r>
            <w:r>
              <w:rPr>
                <w:rFonts w:hint="default" w:ascii="Times New Roman" w:hAnsi="Times New Roman" w:eastAsia="宋体" w:cs="Times New Roman"/>
                <w:color w:val="auto"/>
                <w:sz w:val="24"/>
                <w:highlight w:val="none"/>
              </w:rPr>
              <w:t>生产废水处理设施</w:t>
            </w:r>
            <w:r>
              <w:rPr>
                <w:rFonts w:hint="default" w:ascii="Times New Roman" w:hAnsi="Times New Roman" w:eastAsia="宋体" w:cs="Times New Roman"/>
                <w:color w:val="auto"/>
                <w:sz w:val="24"/>
                <w:highlight w:val="none"/>
                <w:lang w:val="en-US" w:eastAsia="zh-CN"/>
              </w:rPr>
              <w:t>处理工艺为：</w:t>
            </w:r>
            <w:r>
              <w:rPr>
                <w:rFonts w:hint="eastAsia" w:eastAsia="宋体" w:cs="Times New Roman"/>
                <w:color w:val="auto"/>
                <w:sz w:val="24"/>
                <w:szCs w:val="24"/>
                <w:highlight w:val="none"/>
                <w:lang w:val="en-US" w:eastAsia="zh-CN" w:bidi="ar"/>
              </w:rPr>
              <w:t>调节池+混凝沉淀+过滤</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与</w:t>
            </w:r>
            <w:r>
              <w:rPr>
                <w:rFonts w:hint="eastAsia"/>
                <w:color w:val="auto"/>
                <w:sz w:val="24"/>
                <w:highlight w:val="none"/>
              </w:rPr>
              <w:t>“</w:t>
            </w:r>
            <w:r>
              <w:rPr>
                <w:rFonts w:hint="eastAsia" w:ascii="Times New Roman" w:hAnsi="Times New Roman" w:eastAsia="宋体" w:cs="Times New Roman"/>
                <w:color w:val="auto"/>
                <w:sz w:val="24"/>
                <w:highlight w:val="none"/>
                <w:lang w:eastAsia="zh-CN"/>
              </w:rPr>
              <w:t>青岛鑫龙新都工贸有限公司玻璃蒙砂项目</w:t>
            </w:r>
            <w:r>
              <w:rPr>
                <w:rFonts w:hint="eastAsia"/>
                <w:color w:val="auto"/>
                <w:sz w:val="24"/>
                <w:highlight w:val="none"/>
              </w:rPr>
              <w:t>”内</w:t>
            </w:r>
            <w:r>
              <w:rPr>
                <w:rFonts w:hint="eastAsia"/>
                <w:color w:val="auto"/>
                <w:sz w:val="24"/>
                <w:highlight w:val="none"/>
                <w:lang w:eastAsia="zh-CN"/>
              </w:rPr>
              <w:t>生产废水</w:t>
            </w:r>
            <w:r>
              <w:rPr>
                <w:rFonts w:hint="eastAsia"/>
                <w:color w:val="auto"/>
                <w:sz w:val="24"/>
                <w:highlight w:val="none"/>
              </w:rPr>
              <w:t>处理工艺一致</w:t>
            </w:r>
            <w:r>
              <w:rPr>
                <w:rFonts w:hint="eastAsia"/>
                <w:color w:val="auto"/>
                <w:sz w:val="24"/>
                <w:highlight w:val="none"/>
                <w:lang w:eastAsia="zh-CN"/>
              </w:rPr>
              <w:t>，</w:t>
            </w:r>
            <w:r>
              <w:rPr>
                <w:rFonts w:hint="default" w:ascii="Times New Roman" w:hAnsi="Times New Roman" w:eastAsia="宋体" w:cs="Times New Roman"/>
                <w:color w:val="auto"/>
                <w:spacing w:val="0"/>
                <w:w w:val="100"/>
                <w:position w:val="0"/>
                <w:sz w:val="24"/>
                <w:szCs w:val="24"/>
                <w:highlight w:val="none"/>
                <w:lang w:val="en-US" w:eastAsia="zh-CN"/>
              </w:rPr>
              <w:t>且该项目已建成投产且完成了竣工环境保护验收，</w:t>
            </w:r>
            <w:r>
              <w:rPr>
                <w:rFonts w:hint="eastAsia" w:ascii="Times New Roman" w:hAnsi="Times New Roman" w:eastAsia="宋体" w:cs="Times New Roman"/>
                <w:color w:val="auto"/>
                <w:spacing w:val="0"/>
                <w:w w:val="100"/>
                <w:position w:val="0"/>
                <w:sz w:val="24"/>
                <w:szCs w:val="24"/>
                <w:highlight w:val="none"/>
                <w:lang w:val="en-US" w:eastAsia="zh-CN"/>
              </w:rPr>
              <w:t>生产废</w:t>
            </w:r>
            <w:r>
              <w:rPr>
                <w:rFonts w:hint="default" w:ascii="Times New Roman" w:hAnsi="Times New Roman" w:eastAsia="宋体" w:cs="Times New Roman"/>
                <w:color w:val="auto"/>
                <w:spacing w:val="0"/>
                <w:w w:val="100"/>
                <w:position w:val="0"/>
                <w:sz w:val="24"/>
                <w:szCs w:val="24"/>
                <w:highlight w:val="none"/>
                <w:lang w:val="en-US" w:eastAsia="zh-CN"/>
              </w:rPr>
              <w:t>水处理设施运行效果较好，</w:t>
            </w:r>
            <w:r>
              <w:rPr>
                <w:rFonts w:hint="eastAsia" w:ascii="Times New Roman" w:hAnsi="Times New Roman" w:eastAsia="宋体" w:cs="Times New Roman"/>
                <w:color w:val="auto"/>
                <w:sz w:val="24"/>
                <w:highlight w:val="none"/>
                <w:lang w:eastAsia="zh-CN"/>
              </w:rPr>
              <w:t>因此本项目生产</w:t>
            </w:r>
            <w:r>
              <w:rPr>
                <w:rFonts w:hint="eastAsia" w:ascii="Times New Roman" w:hAnsi="Times New Roman" w:eastAsia="宋体" w:cs="Times New Roman"/>
                <w:bCs/>
                <w:color w:val="auto"/>
                <w:sz w:val="24"/>
                <w:highlight w:val="none"/>
                <w:lang w:eastAsia="zh-CN"/>
              </w:rPr>
              <w:t>废</w:t>
            </w:r>
            <w:r>
              <w:rPr>
                <w:rFonts w:hint="default" w:ascii="Times New Roman" w:hAnsi="Times New Roman" w:eastAsia="宋体" w:cs="Times New Roman"/>
                <w:bCs/>
                <w:color w:val="auto"/>
                <w:sz w:val="24"/>
                <w:highlight w:val="none"/>
              </w:rPr>
              <w:t>水处理</w:t>
            </w:r>
            <w:r>
              <w:rPr>
                <w:rFonts w:hint="eastAsia" w:ascii="Times New Roman" w:hAnsi="Times New Roman" w:eastAsia="宋体" w:cs="Times New Roman"/>
                <w:bCs/>
                <w:color w:val="auto"/>
                <w:sz w:val="24"/>
                <w:highlight w:val="none"/>
                <w:lang w:eastAsia="zh-CN"/>
              </w:rPr>
              <w:t>设施</w:t>
            </w:r>
            <w:r>
              <w:rPr>
                <w:rFonts w:hint="default" w:ascii="Times New Roman" w:hAnsi="Times New Roman" w:eastAsia="宋体" w:cs="Times New Roman"/>
                <w:bCs/>
                <w:color w:val="auto"/>
                <w:sz w:val="24"/>
                <w:highlight w:val="none"/>
              </w:rPr>
              <w:t>出水水质类比</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青岛鑫龙新都工贸有限公司玻璃蒙砂项目</w:t>
            </w:r>
            <w:r>
              <w:rPr>
                <w:rFonts w:hint="default" w:ascii="Times New Roman" w:hAnsi="Times New Roman" w:eastAsia="宋体" w:cs="Times New Roman"/>
                <w:color w:val="auto"/>
                <w:sz w:val="24"/>
                <w:highlight w:val="none"/>
              </w:rPr>
              <w:t>竣工环境保护验收监测报告表》中</w:t>
            </w:r>
            <w:r>
              <w:rPr>
                <w:rFonts w:hint="eastAsia" w:cs="Times New Roman"/>
                <w:color w:val="auto"/>
                <w:sz w:val="24"/>
                <w:highlight w:val="none"/>
                <w:lang w:val="en-US" w:eastAsia="zh-CN"/>
              </w:rPr>
              <w:t>生产废水</w:t>
            </w:r>
            <w:r>
              <w:rPr>
                <w:rFonts w:hint="default" w:ascii="Times New Roman" w:hAnsi="Times New Roman" w:eastAsia="宋体" w:cs="Times New Roman"/>
                <w:color w:val="auto"/>
                <w:sz w:val="24"/>
                <w:highlight w:val="none"/>
              </w:rPr>
              <w:t>处理站出水水质数据。</w:t>
            </w:r>
            <w:r>
              <w:rPr>
                <w:rFonts w:hint="default" w:ascii="Times New Roman" w:hAnsi="Times New Roman" w:eastAsia="宋体" w:cs="Times New Roman"/>
                <w:color w:val="auto"/>
                <w:sz w:val="24"/>
                <w:szCs w:val="24"/>
                <w:highlight w:val="none"/>
                <w:lang w:val="en-US" w:eastAsia="zh-CN"/>
              </w:rPr>
              <w:t>本项目生产废水中各</w:t>
            </w:r>
            <w:r>
              <w:rPr>
                <w:rFonts w:hint="default" w:ascii="Times New Roman" w:hAnsi="Times New Roman" w:eastAsia="宋体" w:cs="Times New Roman"/>
                <w:color w:val="auto"/>
                <w:sz w:val="24"/>
                <w:szCs w:val="24"/>
                <w:highlight w:val="none"/>
              </w:rPr>
              <w:t>污染物</w:t>
            </w:r>
            <w:r>
              <w:rPr>
                <w:rFonts w:hint="default" w:ascii="Times New Roman" w:hAnsi="Times New Roman" w:eastAsia="宋体" w:cs="Times New Roman"/>
                <w:color w:val="auto"/>
                <w:sz w:val="24"/>
                <w:szCs w:val="24"/>
                <w:highlight w:val="none"/>
                <w:lang w:val="en-US" w:eastAsia="zh-CN"/>
              </w:rPr>
              <w:t>产排</w:t>
            </w:r>
            <w:r>
              <w:rPr>
                <w:rFonts w:hint="default" w:ascii="Times New Roman" w:hAnsi="Times New Roman" w:eastAsia="宋体" w:cs="Times New Roman"/>
                <w:color w:val="auto"/>
                <w:sz w:val="24"/>
                <w:szCs w:val="24"/>
                <w:highlight w:val="none"/>
              </w:rPr>
              <w:t>情况见表</w:t>
            </w:r>
            <w:r>
              <w:rPr>
                <w:rFonts w:hint="default" w:ascii="Times New Roman" w:hAnsi="Times New Roman" w:eastAsia="宋体" w:cs="Times New Roman"/>
                <w:color w:val="auto"/>
                <w:sz w:val="24"/>
                <w:szCs w:val="24"/>
                <w:highlight w:val="none"/>
                <w:lang w:val="en-US" w:eastAsia="zh-CN"/>
              </w:rPr>
              <w:t>4-1</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p>
          <w:p w14:paraId="6857A57A">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4-1</w:t>
            </w:r>
            <w:r>
              <w:rPr>
                <w:rFonts w:hint="eastAsia" w:cs="Times New Roman"/>
                <w:b/>
                <w:caps w:val="0"/>
                <w:snapToGrid w:val="0"/>
                <w:color w:val="auto"/>
                <w:spacing w:val="0"/>
                <w:w w:val="100"/>
                <w:position w:val="0"/>
                <w:sz w:val="21"/>
                <w:szCs w:val="21"/>
                <w:highlight w:val="none"/>
                <w:lang w:val="en-US" w:eastAsia="zh-CN"/>
              </w:rPr>
              <w:t>0</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03"/>
              <w:gridCol w:w="819"/>
              <w:gridCol w:w="947"/>
              <w:gridCol w:w="848"/>
              <w:gridCol w:w="819"/>
              <w:gridCol w:w="863"/>
              <w:gridCol w:w="887"/>
              <w:gridCol w:w="899"/>
              <w:gridCol w:w="742"/>
            </w:tblGrid>
            <w:tr w14:paraId="787B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56" w:type="pct"/>
                  <w:vMerge w:val="restart"/>
                  <w:noWrap w:val="0"/>
                  <w:vAlign w:val="center"/>
                </w:tcPr>
                <w:p w14:paraId="3219B32F">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w:t>
                  </w:r>
                </w:p>
              </w:tc>
              <w:tc>
                <w:tcPr>
                  <w:tcW w:w="478" w:type="pct"/>
                  <w:vMerge w:val="restart"/>
                  <w:noWrap w:val="0"/>
                  <w:vAlign w:val="center"/>
                </w:tcPr>
                <w:p w14:paraId="1E50ECDA">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1051" w:type="pct"/>
                  <w:gridSpan w:val="2"/>
                  <w:noWrap w:val="0"/>
                  <w:vAlign w:val="center"/>
                </w:tcPr>
                <w:p w14:paraId="03F7766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处理前</w:t>
                  </w:r>
                </w:p>
              </w:tc>
              <w:tc>
                <w:tcPr>
                  <w:tcW w:w="505" w:type="pct"/>
                  <w:vMerge w:val="restart"/>
                  <w:noWrap w:val="0"/>
                  <w:vAlign w:val="center"/>
                </w:tcPr>
                <w:p w14:paraId="705F774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去除效率（%）</w:t>
                  </w:r>
                </w:p>
              </w:tc>
              <w:tc>
                <w:tcPr>
                  <w:tcW w:w="1001" w:type="pct"/>
                  <w:gridSpan w:val="2"/>
                  <w:noWrap w:val="0"/>
                  <w:vAlign w:val="center"/>
                </w:tcPr>
                <w:p w14:paraId="49517F1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处理后</w:t>
                  </w:r>
                </w:p>
              </w:tc>
              <w:tc>
                <w:tcPr>
                  <w:tcW w:w="528" w:type="pct"/>
                  <w:vMerge w:val="restart"/>
                  <w:noWrap w:val="0"/>
                  <w:vAlign w:val="center"/>
                </w:tcPr>
                <w:p w14:paraId="6CA84E5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削减量（t/a）</w:t>
                  </w:r>
                </w:p>
              </w:tc>
              <w:tc>
                <w:tcPr>
                  <w:tcW w:w="535" w:type="pct"/>
                  <w:vMerge w:val="restart"/>
                  <w:noWrap w:val="0"/>
                  <w:vAlign w:val="center"/>
                </w:tcPr>
                <w:p w14:paraId="4192C6B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tc>
              <w:tc>
                <w:tcPr>
                  <w:tcW w:w="441" w:type="pct"/>
                  <w:vMerge w:val="restart"/>
                  <w:noWrap w:val="0"/>
                  <w:vAlign w:val="center"/>
                </w:tcPr>
                <w:p w14:paraId="7B11CCCB">
                  <w:pPr>
                    <w:keepNext w:val="0"/>
                    <w:keepLines w:val="0"/>
                    <w:widowControl/>
                    <w:suppressLineNumbers w:val="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达标情况</w:t>
                  </w:r>
                </w:p>
              </w:tc>
            </w:tr>
            <w:tr w14:paraId="44A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56" w:type="pct"/>
                  <w:vMerge w:val="continue"/>
                  <w:noWrap w:val="0"/>
                  <w:vAlign w:val="center"/>
                </w:tcPr>
                <w:p w14:paraId="466DE13A">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p>
              </w:tc>
              <w:tc>
                <w:tcPr>
                  <w:tcW w:w="478" w:type="pct"/>
                  <w:vMerge w:val="continue"/>
                  <w:noWrap w:val="0"/>
                  <w:vAlign w:val="center"/>
                </w:tcPr>
                <w:p w14:paraId="78D143A4">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p>
              </w:tc>
              <w:tc>
                <w:tcPr>
                  <w:tcW w:w="487" w:type="pct"/>
                  <w:noWrap w:val="0"/>
                  <w:vAlign w:val="center"/>
                </w:tcPr>
                <w:p w14:paraId="1D9638C6">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产生浓度mg/L</w:t>
                  </w:r>
                </w:p>
              </w:tc>
              <w:tc>
                <w:tcPr>
                  <w:tcW w:w="564" w:type="pct"/>
                  <w:noWrap w:val="0"/>
                  <w:vAlign w:val="center"/>
                </w:tcPr>
                <w:p w14:paraId="0B0BFE15">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505" w:type="pct"/>
                  <w:vMerge w:val="continue"/>
                  <w:noWrap w:val="0"/>
                  <w:vAlign w:val="center"/>
                </w:tcPr>
                <w:p w14:paraId="6044286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487" w:type="pct"/>
                  <w:noWrap w:val="0"/>
                  <w:vAlign w:val="center"/>
                </w:tcPr>
                <w:p w14:paraId="6CF341E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出水</w:t>
                  </w:r>
                  <w:r>
                    <w:rPr>
                      <w:rFonts w:hint="default" w:ascii="Times New Roman" w:hAnsi="Times New Roman" w:eastAsia="宋体" w:cs="Times New Roman"/>
                      <w:b/>
                      <w:bCs/>
                      <w:i w:val="0"/>
                      <w:iCs w:val="0"/>
                      <w:color w:val="auto"/>
                      <w:kern w:val="0"/>
                      <w:sz w:val="21"/>
                      <w:szCs w:val="21"/>
                      <w:highlight w:val="none"/>
                      <w:u w:val="none"/>
                      <w:lang w:val="en-US" w:eastAsia="zh-CN" w:bidi="ar"/>
                    </w:rPr>
                    <w:t>浓度mg/L</w:t>
                  </w:r>
                </w:p>
              </w:tc>
              <w:tc>
                <w:tcPr>
                  <w:tcW w:w="514" w:type="pct"/>
                  <w:noWrap w:val="0"/>
                  <w:vAlign w:val="center"/>
                </w:tcPr>
                <w:p w14:paraId="19D0B9D5">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量（t/a）</w:t>
                  </w:r>
                </w:p>
              </w:tc>
              <w:tc>
                <w:tcPr>
                  <w:tcW w:w="528" w:type="pct"/>
                  <w:vMerge w:val="continue"/>
                  <w:noWrap w:val="0"/>
                  <w:vAlign w:val="center"/>
                </w:tcPr>
                <w:p w14:paraId="3D939F1B">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p>
              </w:tc>
              <w:tc>
                <w:tcPr>
                  <w:tcW w:w="535" w:type="pct"/>
                  <w:vMerge w:val="continue"/>
                  <w:noWrap w:val="0"/>
                  <w:vAlign w:val="center"/>
                </w:tcPr>
                <w:p w14:paraId="66B2D7D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441" w:type="pct"/>
                  <w:vMerge w:val="continue"/>
                  <w:noWrap w:val="0"/>
                  <w:vAlign w:val="center"/>
                </w:tcPr>
                <w:p w14:paraId="24DC49E9">
                  <w:pPr>
                    <w:keepNext w:val="0"/>
                    <w:keepLines w:val="0"/>
                    <w:widowControl/>
                    <w:suppressLineNumbers w:val="0"/>
                    <w:jc w:val="center"/>
                    <w:textAlignment w:val="center"/>
                    <w:rPr>
                      <w:rFonts w:hint="default" w:ascii="Times New Roman" w:hAnsi="Times New Roman" w:eastAsia="宋体" w:cs="Times New Roman"/>
                      <w:b/>
                      <w:bCs/>
                      <w:color w:val="auto"/>
                      <w:highlight w:val="none"/>
                      <w:lang w:val="en-US" w:eastAsia="zh-CN"/>
                    </w:rPr>
                  </w:pPr>
                </w:p>
              </w:tc>
            </w:tr>
            <w:tr w14:paraId="23D5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6" w:type="pct"/>
                  <w:vMerge w:val="restart"/>
                  <w:noWrap w:val="0"/>
                  <w:vAlign w:val="center"/>
                </w:tcPr>
                <w:p w14:paraId="789D669F">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生产</w:t>
                  </w:r>
                  <w:r>
                    <w:rPr>
                      <w:rFonts w:hint="default" w:ascii="Times New Roman" w:hAnsi="Times New Roman" w:eastAsia="宋体" w:cs="Times New Roman"/>
                      <w:color w:val="auto"/>
                      <w:highlight w:val="none"/>
                      <w:lang w:val="en-US" w:eastAsia="zh-CN"/>
                    </w:rPr>
                    <w:t>废水</w:t>
                  </w:r>
                </w:p>
              </w:tc>
              <w:tc>
                <w:tcPr>
                  <w:tcW w:w="478" w:type="pct"/>
                  <w:noWrap w:val="0"/>
                  <w:vAlign w:val="center"/>
                </w:tcPr>
                <w:p w14:paraId="3C3AC1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487" w:type="pct"/>
                  <w:noWrap w:val="0"/>
                  <w:vAlign w:val="center"/>
                </w:tcPr>
                <w:p w14:paraId="61966CD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4" w:type="pct"/>
                  <w:noWrap w:val="0"/>
                  <w:vAlign w:val="center"/>
                </w:tcPr>
                <w:p w14:paraId="0D6080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69.6</w:t>
                  </w:r>
                </w:p>
              </w:tc>
              <w:tc>
                <w:tcPr>
                  <w:tcW w:w="505" w:type="pct"/>
                  <w:noWrap w:val="0"/>
                  <w:vAlign w:val="center"/>
                </w:tcPr>
                <w:p w14:paraId="66C9F3F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87" w:type="pct"/>
                  <w:noWrap w:val="0"/>
                  <w:vAlign w:val="center"/>
                </w:tcPr>
                <w:p w14:paraId="464729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4" w:type="pct"/>
                  <w:noWrap w:val="0"/>
                  <w:vAlign w:val="center"/>
                </w:tcPr>
                <w:p w14:paraId="556BDF3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69.6</w:t>
                  </w:r>
                </w:p>
              </w:tc>
              <w:tc>
                <w:tcPr>
                  <w:tcW w:w="528" w:type="pct"/>
                  <w:noWrap w:val="0"/>
                  <w:vAlign w:val="center"/>
                </w:tcPr>
                <w:p w14:paraId="261D483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35" w:type="pct"/>
                  <w:noWrap w:val="0"/>
                  <w:vAlign w:val="center"/>
                </w:tcPr>
                <w:p w14:paraId="55A9F7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41" w:type="pct"/>
                  <w:noWrap w:val="0"/>
                  <w:vAlign w:val="center"/>
                </w:tcPr>
                <w:p w14:paraId="5D2710E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E01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56" w:type="pct"/>
                  <w:vMerge w:val="continue"/>
                  <w:noWrap w:val="0"/>
                  <w:vAlign w:val="center"/>
                </w:tcPr>
                <w:p w14:paraId="374DDF3E">
                  <w:pPr>
                    <w:jc w:val="center"/>
                    <w:rPr>
                      <w:rFonts w:hint="default" w:ascii="Times New Roman" w:hAnsi="Times New Roman" w:eastAsia="宋体" w:cs="Times New Roman"/>
                      <w:color w:val="auto"/>
                      <w:highlight w:val="none"/>
                    </w:rPr>
                  </w:pPr>
                </w:p>
              </w:tc>
              <w:tc>
                <w:tcPr>
                  <w:tcW w:w="478" w:type="pct"/>
                  <w:noWrap w:val="0"/>
                  <w:vAlign w:val="center"/>
                </w:tcPr>
                <w:p w14:paraId="45DCAC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487" w:type="pct"/>
                  <w:noWrap w:val="0"/>
                  <w:vAlign w:val="center"/>
                </w:tcPr>
                <w:p w14:paraId="27DD528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564" w:type="pct"/>
                  <w:noWrap w:val="0"/>
                  <w:vAlign w:val="center"/>
                </w:tcPr>
                <w:p w14:paraId="4FA4A4A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5" w:type="pct"/>
                  <w:noWrap w:val="0"/>
                  <w:vAlign w:val="center"/>
                </w:tcPr>
                <w:p w14:paraId="2BB9CA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87" w:type="pct"/>
                  <w:noWrap w:val="0"/>
                  <w:vAlign w:val="center"/>
                </w:tcPr>
                <w:p w14:paraId="5B5F91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7.31</w:t>
                  </w:r>
                </w:p>
              </w:tc>
              <w:tc>
                <w:tcPr>
                  <w:tcW w:w="514" w:type="pct"/>
                  <w:noWrap w:val="0"/>
                  <w:vAlign w:val="center"/>
                </w:tcPr>
                <w:p w14:paraId="296EE0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8" w:type="pct"/>
                  <w:noWrap w:val="0"/>
                  <w:vAlign w:val="center"/>
                </w:tcPr>
                <w:p w14:paraId="611468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35" w:type="pct"/>
                  <w:noWrap w:val="0"/>
                  <w:vAlign w:val="center"/>
                </w:tcPr>
                <w:p w14:paraId="450D90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6.5-</w:t>
                  </w:r>
                  <w:r>
                    <w:rPr>
                      <w:rFonts w:hint="eastAsia" w:ascii="Times New Roman" w:hAnsi="Times New Roman" w:eastAsia="宋体" w:cs="Times New Roman"/>
                      <w:i w:val="0"/>
                      <w:iCs w:val="0"/>
                      <w:color w:val="auto"/>
                      <w:kern w:val="0"/>
                      <w:sz w:val="21"/>
                      <w:szCs w:val="21"/>
                      <w:highlight w:val="none"/>
                      <w:u w:val="none"/>
                      <w:lang w:val="en-US" w:eastAsia="zh-CN" w:bidi="ar"/>
                    </w:rPr>
                    <w:t>9.0</w:t>
                  </w:r>
                </w:p>
              </w:tc>
              <w:tc>
                <w:tcPr>
                  <w:tcW w:w="441" w:type="pct"/>
                  <w:noWrap w:val="0"/>
                  <w:vAlign w:val="center"/>
                </w:tcPr>
                <w:p w14:paraId="2B4AF4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7D0E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6" w:type="pct"/>
                  <w:vMerge w:val="continue"/>
                  <w:noWrap w:val="0"/>
                  <w:vAlign w:val="center"/>
                </w:tcPr>
                <w:p w14:paraId="445057F8">
                  <w:pPr>
                    <w:jc w:val="center"/>
                    <w:rPr>
                      <w:rFonts w:hint="default" w:ascii="Times New Roman" w:hAnsi="Times New Roman" w:eastAsia="宋体" w:cs="Times New Roman"/>
                      <w:color w:val="auto"/>
                      <w:highlight w:val="none"/>
                    </w:rPr>
                  </w:pPr>
                </w:p>
              </w:tc>
              <w:tc>
                <w:tcPr>
                  <w:tcW w:w="478" w:type="pct"/>
                  <w:noWrap w:val="0"/>
                  <w:vAlign w:val="center"/>
                </w:tcPr>
                <w:p w14:paraId="01733D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487" w:type="pct"/>
                  <w:noWrap w:val="0"/>
                  <w:vAlign w:val="center"/>
                </w:tcPr>
                <w:p w14:paraId="320E111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400</w:t>
                  </w:r>
                </w:p>
              </w:tc>
              <w:tc>
                <w:tcPr>
                  <w:tcW w:w="564" w:type="pct"/>
                  <w:noWrap w:val="0"/>
                  <w:vAlign w:val="center"/>
                </w:tcPr>
                <w:p w14:paraId="0BA4A7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0.0278</w:t>
                  </w:r>
                </w:p>
              </w:tc>
              <w:tc>
                <w:tcPr>
                  <w:tcW w:w="505" w:type="pct"/>
                  <w:noWrap w:val="0"/>
                  <w:vAlign w:val="center"/>
                </w:tcPr>
                <w:p w14:paraId="414D39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487" w:type="pct"/>
                  <w:noWrap w:val="0"/>
                  <w:vAlign w:val="center"/>
                </w:tcPr>
                <w:p w14:paraId="7A37DE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132</w:t>
                  </w:r>
                </w:p>
              </w:tc>
              <w:tc>
                <w:tcPr>
                  <w:tcW w:w="514" w:type="pct"/>
                  <w:noWrap w:val="0"/>
                  <w:vAlign w:val="center"/>
                </w:tcPr>
                <w:p w14:paraId="4AEB9C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0.0092</w:t>
                  </w:r>
                </w:p>
              </w:tc>
              <w:tc>
                <w:tcPr>
                  <w:tcW w:w="528" w:type="pct"/>
                  <w:noWrap w:val="0"/>
                  <w:vAlign w:val="center"/>
                </w:tcPr>
                <w:p w14:paraId="57D30CC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0.0186</w:t>
                  </w:r>
                </w:p>
              </w:tc>
              <w:tc>
                <w:tcPr>
                  <w:tcW w:w="535" w:type="pct"/>
                  <w:noWrap w:val="0"/>
                  <w:vAlign w:val="center"/>
                </w:tcPr>
                <w:p w14:paraId="1632B3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41" w:type="pct"/>
                  <w:noWrap w:val="0"/>
                  <w:vAlign w:val="center"/>
                </w:tcPr>
                <w:p w14:paraId="3466153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1304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56" w:type="pct"/>
                  <w:vMerge w:val="continue"/>
                  <w:noWrap w:val="0"/>
                  <w:vAlign w:val="center"/>
                </w:tcPr>
                <w:p w14:paraId="7E54428F">
                  <w:pPr>
                    <w:jc w:val="center"/>
                    <w:rPr>
                      <w:rFonts w:hint="default" w:ascii="Times New Roman" w:hAnsi="Times New Roman" w:eastAsia="宋体" w:cs="Times New Roman"/>
                      <w:color w:val="auto"/>
                      <w:highlight w:val="none"/>
                    </w:rPr>
                  </w:pPr>
                </w:p>
              </w:tc>
              <w:tc>
                <w:tcPr>
                  <w:tcW w:w="478" w:type="pct"/>
                  <w:noWrap w:val="0"/>
                  <w:vAlign w:val="center"/>
                </w:tcPr>
                <w:p w14:paraId="36D40B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487" w:type="pct"/>
                  <w:noWrap w:val="0"/>
                  <w:vAlign w:val="center"/>
                </w:tcPr>
                <w:p w14:paraId="21DDC5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564" w:type="pct"/>
                  <w:noWrap w:val="0"/>
                  <w:vAlign w:val="center"/>
                </w:tcPr>
                <w:p w14:paraId="6EE2F83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bidi="ar"/>
                    </w:rPr>
                  </w:pPr>
                  <w:r>
                    <w:rPr>
                      <w:rFonts w:hint="eastAsia" w:ascii="Times New Roman" w:hAnsi="Times New Roman" w:eastAsia="宋体" w:cs="Times New Roman"/>
                      <w:i w:val="0"/>
                      <w:iCs w:val="0"/>
                      <w:color w:val="auto"/>
                      <w:kern w:val="0"/>
                      <w:sz w:val="21"/>
                      <w:szCs w:val="21"/>
                      <w:highlight w:val="none"/>
                      <w:u w:val="none"/>
                      <w:lang w:val="en-US" w:eastAsia="zh-CN" w:bidi="ar"/>
                    </w:rPr>
                    <w:t>0.0348</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505" w:type="pct"/>
                  <w:noWrap w:val="0"/>
                  <w:vAlign w:val="center"/>
                </w:tcPr>
                <w:p w14:paraId="6BBE47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w:t>
                  </w:r>
                  <w:r>
                    <w:rPr>
                      <w:rFonts w:hint="eastAsia" w:ascii="Times New Roman" w:hAnsi="Times New Roman" w:eastAsia="宋体" w:cs="Times New Roman"/>
                      <w:i w:val="0"/>
                      <w:iCs w:val="0"/>
                      <w:color w:val="auto"/>
                      <w:kern w:val="0"/>
                      <w:sz w:val="21"/>
                      <w:szCs w:val="21"/>
                      <w:highlight w:val="none"/>
                      <w:u w:val="none"/>
                      <w:lang w:val="en-US" w:eastAsia="zh-CN" w:bidi="ar"/>
                    </w:rPr>
                    <w:t>4.2</w:t>
                  </w:r>
                </w:p>
              </w:tc>
              <w:tc>
                <w:tcPr>
                  <w:tcW w:w="487" w:type="pct"/>
                  <w:noWrap w:val="0"/>
                  <w:vAlign w:val="center"/>
                </w:tcPr>
                <w:p w14:paraId="62874D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29</w:t>
                  </w:r>
                </w:p>
              </w:tc>
              <w:tc>
                <w:tcPr>
                  <w:tcW w:w="514" w:type="pct"/>
                  <w:noWrap w:val="0"/>
                  <w:vAlign w:val="center"/>
                </w:tcPr>
                <w:p w14:paraId="183988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0.0020</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528" w:type="pct"/>
                  <w:noWrap w:val="0"/>
                  <w:vAlign w:val="center"/>
                </w:tcPr>
                <w:p w14:paraId="0F8481F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0.0328</w:t>
                  </w:r>
                </w:p>
              </w:tc>
              <w:tc>
                <w:tcPr>
                  <w:tcW w:w="535" w:type="pct"/>
                  <w:noWrap w:val="0"/>
                  <w:vAlign w:val="center"/>
                </w:tcPr>
                <w:p w14:paraId="0F90DF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441" w:type="pct"/>
                  <w:noWrap w:val="0"/>
                  <w:vAlign w:val="center"/>
                </w:tcPr>
                <w:p w14:paraId="3EEB3C1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0E76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noWrap w:val="0"/>
                  <w:vAlign w:val="center"/>
                </w:tcPr>
                <w:p w14:paraId="2FC935A8">
                  <w:pPr>
                    <w:jc w:val="center"/>
                    <w:rPr>
                      <w:rFonts w:hint="default" w:ascii="Times New Roman" w:hAnsi="Times New Roman" w:eastAsia="宋体" w:cs="Times New Roman"/>
                      <w:color w:val="auto"/>
                      <w:highlight w:val="none"/>
                    </w:rPr>
                  </w:pPr>
                </w:p>
              </w:tc>
              <w:tc>
                <w:tcPr>
                  <w:tcW w:w="478" w:type="pct"/>
                  <w:noWrap w:val="0"/>
                  <w:vAlign w:val="center"/>
                </w:tcPr>
                <w:p w14:paraId="1BD1D8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氟化物</w:t>
                  </w:r>
                  <w:r>
                    <w:rPr>
                      <w:rFonts w:hint="eastAsia" w:ascii="Times New Roman" w:hAnsi="Times New Roman" w:eastAsia="宋体" w:cs="Times New Roman"/>
                      <w:color w:val="auto"/>
                      <w:sz w:val="21"/>
                      <w:szCs w:val="21"/>
                      <w:highlight w:val="none"/>
                      <w:lang w:val="en-US" w:eastAsia="zh-CN"/>
                    </w:rPr>
                    <w:t>（以F</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c>
                <w:tcPr>
                  <w:tcW w:w="487" w:type="pct"/>
                  <w:noWrap w:val="0"/>
                  <w:vAlign w:val="center"/>
                </w:tcPr>
                <w:p w14:paraId="055D52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564" w:type="pct"/>
                  <w:noWrap w:val="0"/>
                  <w:vAlign w:val="center"/>
                </w:tcPr>
                <w:p w14:paraId="048C5D4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0.0070</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505" w:type="pct"/>
                  <w:noWrap w:val="0"/>
                  <w:vAlign w:val="center"/>
                </w:tcPr>
                <w:p w14:paraId="0FAEA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99.1</w:t>
                  </w:r>
                </w:p>
              </w:tc>
              <w:tc>
                <w:tcPr>
                  <w:tcW w:w="487" w:type="pct"/>
                  <w:noWrap w:val="0"/>
                  <w:vAlign w:val="center"/>
                </w:tcPr>
                <w:p w14:paraId="29B2E9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0.909</w:t>
                  </w:r>
                </w:p>
              </w:tc>
              <w:tc>
                <w:tcPr>
                  <w:tcW w:w="514" w:type="pct"/>
                  <w:noWrap w:val="0"/>
                  <w:vAlign w:val="center"/>
                </w:tcPr>
                <w:p w14:paraId="1FCFAC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0.00005</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528" w:type="pct"/>
                  <w:noWrap w:val="0"/>
                  <w:vAlign w:val="center"/>
                </w:tcPr>
                <w:p w14:paraId="3D3F3B5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0.00695</w:t>
                  </w:r>
                </w:p>
              </w:tc>
              <w:tc>
                <w:tcPr>
                  <w:tcW w:w="535" w:type="pct"/>
                  <w:noWrap w:val="0"/>
                  <w:vAlign w:val="center"/>
                </w:tcPr>
                <w:p w14:paraId="03C3DF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41" w:type="pct"/>
                  <w:noWrap w:val="0"/>
                  <w:vAlign w:val="center"/>
                </w:tcPr>
                <w:p w14:paraId="3A63D3E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2C96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noWrap w:val="0"/>
                  <w:vAlign w:val="center"/>
                </w:tcPr>
                <w:p w14:paraId="1782C559">
                  <w:pPr>
                    <w:jc w:val="center"/>
                    <w:rPr>
                      <w:rFonts w:hint="default" w:ascii="Times New Roman" w:hAnsi="Times New Roman" w:eastAsia="宋体" w:cs="Times New Roman"/>
                      <w:color w:val="auto"/>
                      <w:highlight w:val="none"/>
                    </w:rPr>
                  </w:pPr>
                </w:p>
              </w:tc>
              <w:tc>
                <w:tcPr>
                  <w:tcW w:w="478" w:type="pct"/>
                  <w:noWrap w:val="0"/>
                  <w:vAlign w:val="center"/>
                </w:tcPr>
                <w:p w14:paraId="6ED95E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氯化物（以Cl</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c>
                <w:tcPr>
                  <w:tcW w:w="487" w:type="pct"/>
                  <w:noWrap w:val="0"/>
                  <w:vAlign w:val="center"/>
                </w:tcPr>
                <w:p w14:paraId="68BD233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493</w:t>
                  </w:r>
                </w:p>
              </w:tc>
              <w:tc>
                <w:tcPr>
                  <w:tcW w:w="564" w:type="pct"/>
                  <w:noWrap w:val="0"/>
                  <w:vAlign w:val="center"/>
                </w:tcPr>
                <w:p w14:paraId="5D63948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0.0343</w:t>
                  </w:r>
                </w:p>
              </w:tc>
              <w:tc>
                <w:tcPr>
                  <w:tcW w:w="505" w:type="pct"/>
                  <w:noWrap w:val="0"/>
                  <w:vAlign w:val="center"/>
                </w:tcPr>
                <w:p w14:paraId="1DFB03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70.4</w:t>
                  </w:r>
                </w:p>
              </w:tc>
              <w:tc>
                <w:tcPr>
                  <w:tcW w:w="487" w:type="pct"/>
                  <w:noWrap w:val="0"/>
                  <w:vAlign w:val="center"/>
                </w:tcPr>
                <w:p w14:paraId="426725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146</w:t>
                  </w:r>
                </w:p>
              </w:tc>
              <w:tc>
                <w:tcPr>
                  <w:tcW w:w="514" w:type="pct"/>
                  <w:noWrap w:val="0"/>
                  <w:vAlign w:val="center"/>
                </w:tcPr>
                <w:p w14:paraId="2B78BF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0.0102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528" w:type="pct"/>
                  <w:noWrap w:val="0"/>
                  <w:vAlign w:val="center"/>
                </w:tcPr>
                <w:p w14:paraId="3890D13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0.0241</w:t>
                  </w:r>
                </w:p>
              </w:tc>
              <w:tc>
                <w:tcPr>
                  <w:tcW w:w="535" w:type="pct"/>
                  <w:noWrap w:val="0"/>
                  <w:vAlign w:val="center"/>
                </w:tcPr>
                <w:p w14:paraId="1DAAA9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250</w:t>
                  </w:r>
                </w:p>
              </w:tc>
              <w:tc>
                <w:tcPr>
                  <w:tcW w:w="441" w:type="pct"/>
                  <w:noWrap w:val="0"/>
                  <w:vAlign w:val="center"/>
                </w:tcPr>
                <w:p w14:paraId="41037E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3D7E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gridSpan w:val="2"/>
                  <w:noWrap w:val="0"/>
                  <w:vAlign w:val="center"/>
                </w:tcPr>
                <w:p w14:paraId="52A4C4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废水去向</w:t>
                  </w:r>
                </w:p>
              </w:tc>
              <w:tc>
                <w:tcPr>
                  <w:tcW w:w="4064" w:type="pct"/>
                  <w:gridSpan w:val="8"/>
                  <w:noWrap w:val="0"/>
                  <w:vAlign w:val="center"/>
                </w:tcPr>
                <w:p w14:paraId="25ECEDDC">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废水经</w:t>
                  </w:r>
                  <w:r>
                    <w:rPr>
                      <w:rFonts w:hint="eastAsia" w:cs="Times New Roman"/>
                      <w:color w:val="auto"/>
                      <w:sz w:val="21"/>
                      <w:szCs w:val="21"/>
                      <w:highlight w:val="none"/>
                      <w:lang w:eastAsia="zh-CN"/>
                    </w:rPr>
                    <w:t>调节池、</w:t>
                  </w:r>
                  <w:r>
                    <w:rPr>
                      <w:rFonts w:hint="default" w:ascii="Times New Roman" w:hAnsi="Times New Roman" w:eastAsia="宋体" w:cs="Times New Roman"/>
                      <w:color w:val="auto"/>
                      <w:sz w:val="21"/>
                      <w:szCs w:val="21"/>
                      <w:highlight w:val="none"/>
                    </w:rPr>
                    <w:t>生产废水处理设施处理</w:t>
                  </w:r>
                  <w:r>
                    <w:rPr>
                      <w:rFonts w:hint="default" w:ascii="Times New Roman" w:hAnsi="Times New Roman" w:eastAsia="宋体" w:cs="Times New Roman"/>
                      <w:color w:val="auto"/>
                      <w:sz w:val="21"/>
                      <w:szCs w:val="21"/>
                      <w:highlight w:val="none"/>
                      <w:lang w:val="en-US" w:eastAsia="zh-CN"/>
                    </w:rPr>
                    <w:t>达《城市污水再生利用 工业用水水质》（GB/T 19923-2005）中的洗涤用水标准后回用于</w:t>
                  </w:r>
                  <w:r>
                    <w:rPr>
                      <w:rFonts w:hint="eastAsia" w:cs="Times New Roman"/>
                      <w:color w:val="auto"/>
                      <w:sz w:val="21"/>
                      <w:szCs w:val="21"/>
                      <w:highlight w:val="none"/>
                      <w:lang w:val="en-US" w:eastAsia="zh-CN"/>
                    </w:rPr>
                    <w:t>水洗</w:t>
                  </w:r>
                  <w:r>
                    <w:rPr>
                      <w:rFonts w:hint="default" w:ascii="Times New Roman" w:hAnsi="Times New Roman" w:eastAsia="宋体" w:cs="Times New Roman"/>
                      <w:color w:val="auto"/>
                      <w:sz w:val="21"/>
                      <w:szCs w:val="21"/>
                      <w:highlight w:val="none"/>
                      <w:lang w:val="en-US" w:eastAsia="zh-CN"/>
                    </w:rPr>
                    <w:t>补水，不外排。</w:t>
                  </w:r>
                </w:p>
              </w:tc>
            </w:tr>
          </w:tbl>
          <w:p w14:paraId="70E734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val="zh-CN" w:eastAsia="zh-CN" w:bidi="ar-SA"/>
              </w:rPr>
            </w:pPr>
            <w:r>
              <w:rPr>
                <w:rFonts w:hint="eastAsia" w:ascii="Times New Roman" w:hAnsi="Times New Roman" w:cs="Times New Roman"/>
                <w:snapToGrid w:val="0"/>
                <w:color w:val="auto"/>
                <w:kern w:val="0"/>
                <w:sz w:val="24"/>
                <w:szCs w:val="24"/>
                <w:highlight w:val="none"/>
                <w:lang w:val="en-US" w:eastAsia="zh-CN" w:bidi="ar-SA"/>
              </w:rPr>
              <w:t>③扩建</w:t>
            </w:r>
            <w:r>
              <w:rPr>
                <w:rFonts w:hint="eastAsia" w:cs="Times New Roman"/>
                <w:snapToGrid w:val="0"/>
                <w:color w:val="auto"/>
                <w:kern w:val="0"/>
                <w:sz w:val="24"/>
                <w:szCs w:val="24"/>
                <w:highlight w:val="none"/>
                <w:lang w:val="en-US" w:eastAsia="zh-CN" w:bidi="ar-SA"/>
              </w:rPr>
              <w:t>完成</w:t>
            </w:r>
            <w:r>
              <w:rPr>
                <w:rFonts w:hint="eastAsia" w:ascii="Times New Roman" w:hAnsi="Times New Roman" w:cs="Times New Roman"/>
                <w:snapToGrid w:val="0"/>
                <w:color w:val="auto"/>
                <w:kern w:val="0"/>
                <w:sz w:val="24"/>
                <w:szCs w:val="24"/>
                <w:highlight w:val="none"/>
                <w:lang w:val="en-US" w:eastAsia="zh-CN" w:bidi="ar-SA"/>
              </w:rPr>
              <w:t>后全厂的废水</w:t>
            </w:r>
          </w:p>
          <w:p w14:paraId="1F2DD64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lang w:val="en-US" w:eastAsia="zh-CN" w:bidi="ar-SA"/>
              </w:rPr>
              <w:t>原项目</w:t>
            </w:r>
            <w:r>
              <w:rPr>
                <w:rFonts w:hint="eastAsia" w:cs="Times New Roman"/>
                <w:snapToGrid w:val="0"/>
                <w:color w:val="auto"/>
                <w:kern w:val="0"/>
                <w:sz w:val="24"/>
                <w:szCs w:val="24"/>
                <w:highlight w:val="none"/>
                <w:lang w:val="en-US" w:eastAsia="zh-CN" w:bidi="ar-SA"/>
              </w:rPr>
              <w:t>生产废水循环使用，不外排；</w:t>
            </w:r>
            <w:r>
              <w:rPr>
                <w:rFonts w:hint="default" w:ascii="Times New Roman" w:hAnsi="Times New Roman" w:eastAsia="宋体" w:cs="Times New Roman"/>
                <w:snapToGrid w:val="0"/>
                <w:color w:val="auto"/>
                <w:kern w:val="0"/>
                <w:sz w:val="24"/>
                <w:szCs w:val="24"/>
                <w:highlight w:val="none"/>
                <w:lang w:val="en-US" w:eastAsia="zh-CN" w:bidi="ar-SA"/>
              </w:rPr>
              <w:t>生活</w:t>
            </w:r>
            <w:r>
              <w:rPr>
                <w:rFonts w:hint="default" w:ascii="Times New Roman" w:hAnsi="Times New Roman" w:eastAsia="宋体" w:cs="Times New Roman"/>
                <w:b w:val="0"/>
                <w:bCs w:val="0"/>
                <w:color w:val="auto"/>
                <w:sz w:val="24"/>
                <w:szCs w:val="24"/>
                <w:highlight w:val="none"/>
                <w:lang w:eastAsia="zh-CN"/>
              </w:rPr>
              <w:t>污水产生量为</w:t>
            </w:r>
            <w:r>
              <w:rPr>
                <w:rFonts w:hint="eastAsia" w:cs="Times New Roman"/>
                <w:color w:val="auto"/>
                <w:sz w:val="24"/>
                <w:szCs w:val="24"/>
                <w:highlight w:val="none"/>
                <w:lang w:val="en-US" w:eastAsia="zh-CN" w:bidi="ar"/>
              </w:rPr>
              <w:t>2.18</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eastAsia="Times New Roman"/>
                <w:color w:val="auto"/>
                <w:sz w:val="24"/>
                <w:szCs w:val="24"/>
                <w:highlight w:val="none"/>
                <w:lang w:val="zh-CN"/>
              </w:rPr>
              <w:t>、</w:t>
            </w:r>
            <w:r>
              <w:rPr>
                <w:rFonts w:hint="eastAsia"/>
                <w:color w:val="auto"/>
                <w:sz w:val="24"/>
                <w:szCs w:val="24"/>
                <w:highlight w:val="none"/>
                <w:lang w:val="en-US" w:eastAsia="zh-CN"/>
              </w:rPr>
              <w:t>654</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w:t>
            </w:r>
            <w:r>
              <w:rPr>
                <w:rFonts w:hint="eastAsia" w:cs="Times New Roman"/>
                <w:color w:val="auto"/>
                <w:sz w:val="24"/>
                <w:szCs w:val="24"/>
                <w:highlight w:val="none"/>
                <w:lang w:val="zh-CN"/>
              </w:rPr>
              <w:t>扩建完成后，全厂的生产废水产生量为</w:t>
            </w:r>
            <w:r>
              <w:rPr>
                <w:rFonts w:hint="eastAsia" w:cs="Times New Roman"/>
                <w:color w:val="auto"/>
                <w:sz w:val="24"/>
                <w:szCs w:val="24"/>
                <w:highlight w:val="none"/>
                <w:lang w:val="en-US" w:eastAsia="zh-CN" w:bidi="ar"/>
              </w:rPr>
              <w:t>69.6</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eastAsia" w:eastAsia="Times New Roman"/>
                <w:color w:val="auto"/>
                <w:sz w:val="24"/>
                <w:szCs w:val="24"/>
                <w:highlight w:val="none"/>
                <w:lang w:val="zh-CN"/>
              </w:rPr>
              <w:t>，</w:t>
            </w:r>
            <w:r>
              <w:rPr>
                <w:rFonts w:hint="default" w:ascii="Times New Roman" w:hAnsi="Times New Roman" w:eastAsia="宋体" w:cs="Times New Roman"/>
                <w:color w:val="auto"/>
                <w:sz w:val="24"/>
                <w:szCs w:val="24"/>
                <w:highlight w:val="none"/>
                <w:lang w:bidi="ar"/>
              </w:rPr>
              <w:t>生活</w:t>
            </w:r>
            <w:r>
              <w:rPr>
                <w:rFonts w:hint="default" w:ascii="Times New Roman" w:hAnsi="Times New Roman" w:eastAsia="宋体" w:cs="Times New Roman"/>
                <w:b w:val="0"/>
                <w:bCs w:val="0"/>
                <w:color w:val="auto"/>
                <w:sz w:val="24"/>
                <w:szCs w:val="24"/>
                <w:highlight w:val="none"/>
                <w:lang w:eastAsia="zh-CN"/>
              </w:rPr>
              <w:t>污水产生量为</w:t>
            </w:r>
            <w:r>
              <w:rPr>
                <w:rFonts w:hint="eastAsia" w:cs="Times New Roman"/>
                <w:color w:val="auto"/>
                <w:sz w:val="24"/>
                <w:szCs w:val="24"/>
                <w:highlight w:val="none"/>
                <w:lang w:val="en-US" w:eastAsia="zh-CN" w:bidi="ar"/>
              </w:rPr>
              <w:t>3.38</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eastAsia="Times New Roman"/>
                <w:color w:val="auto"/>
                <w:sz w:val="24"/>
                <w:szCs w:val="24"/>
                <w:highlight w:val="none"/>
                <w:lang w:val="zh-CN"/>
              </w:rPr>
              <w:t>、</w:t>
            </w:r>
            <w:r>
              <w:rPr>
                <w:rFonts w:hint="eastAsia" w:eastAsia="宋体"/>
                <w:color w:val="auto"/>
                <w:sz w:val="24"/>
                <w:szCs w:val="24"/>
                <w:highlight w:val="none"/>
                <w:lang w:val="en-US" w:eastAsia="zh-CN"/>
              </w:rPr>
              <w:t>1014</w:t>
            </w:r>
            <w:r>
              <w:rPr>
                <w:rFonts w:hint="default" w:ascii="Times New Roman" w:hAnsi="Times New Roman" w:eastAsia="Times New Roman"/>
                <w:color w:val="auto"/>
                <w:sz w:val="24"/>
                <w:szCs w:val="24"/>
                <w:highlight w:val="none"/>
                <w:lang w:val="zh-CN"/>
              </w:rPr>
              <w:t>m</w:t>
            </w:r>
            <w:r>
              <w:rPr>
                <w:rFonts w:hint="eastAsia" w:eastAsia="宋体"/>
                <w:color w:val="auto"/>
                <w:sz w:val="24"/>
                <w:szCs w:val="24"/>
                <w:highlight w:val="none"/>
                <w:vertAlign w:val="superscript"/>
                <w:lang w:val="en-US" w:eastAsia="zh-CN"/>
              </w:rPr>
              <w:t>3</w:t>
            </w:r>
            <w:r>
              <w:rPr>
                <w:rFonts w:hint="default" w:ascii="Times New Roman" w:hAnsi="Times New Roman" w:eastAsia="Times New Roman"/>
                <w:color w:val="auto"/>
                <w:sz w:val="24"/>
                <w:szCs w:val="24"/>
                <w:highlight w:val="none"/>
                <w:lang w:val="zh-CN"/>
              </w:rPr>
              <w:t>/a</w:t>
            </w:r>
            <w:r>
              <w:rPr>
                <w:rFonts w:hint="default" w:ascii="Times New Roman" w:hAnsi="Times New Roman" w:eastAsia="宋体" w:cs="Times New Roman"/>
                <w:color w:val="auto"/>
                <w:sz w:val="24"/>
                <w:szCs w:val="24"/>
                <w:highlight w:val="none"/>
                <w:lang w:val="zh-CN"/>
              </w:rPr>
              <w:t>。</w:t>
            </w:r>
            <w:r>
              <w:rPr>
                <w:rFonts w:hint="eastAsia" w:cs="Times New Roman"/>
                <w:color w:val="auto"/>
                <w:sz w:val="24"/>
                <w:szCs w:val="24"/>
                <w:highlight w:val="none"/>
                <w:lang w:val="zh-CN"/>
              </w:rPr>
              <w:t>全厂</w:t>
            </w:r>
            <w:r>
              <w:rPr>
                <w:rFonts w:hint="eastAsia" w:cs="Times New Roman"/>
                <w:color w:val="auto"/>
                <w:sz w:val="24"/>
                <w:szCs w:val="24"/>
                <w:highlight w:val="none"/>
                <w:lang w:val="zh-CN" w:eastAsia="zh-CN"/>
              </w:rPr>
              <w:t>废水产排情况见下表。</w:t>
            </w:r>
          </w:p>
          <w:p w14:paraId="611B6CC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val="0"/>
                <w:color w:val="auto"/>
                <w:spacing w:val="-10"/>
                <w:sz w:val="21"/>
                <w:szCs w:val="21"/>
                <w:highlight w:val="none"/>
                <w:lang w:val="en-US" w:eastAsia="zh-CN"/>
              </w:rPr>
              <w:t>表4-1</w:t>
            </w:r>
            <w:r>
              <w:rPr>
                <w:rFonts w:hint="eastAsia" w:cs="Times New Roman"/>
                <w:b/>
                <w:bCs w:val="0"/>
                <w:color w:val="auto"/>
                <w:spacing w:val="-10"/>
                <w:sz w:val="21"/>
                <w:szCs w:val="21"/>
                <w:highlight w:val="none"/>
                <w:lang w:val="en-US" w:eastAsia="zh-CN"/>
              </w:rPr>
              <w:t>1</w:t>
            </w:r>
            <w:r>
              <w:rPr>
                <w:rFonts w:hint="default" w:ascii="Times New Roman" w:hAnsi="Times New Roman" w:eastAsia="宋体" w:cs="Times New Roman"/>
                <w:b/>
                <w:bCs w:val="0"/>
                <w:color w:val="auto"/>
                <w:spacing w:val="-10"/>
                <w:sz w:val="21"/>
                <w:szCs w:val="21"/>
                <w:highlight w:val="none"/>
                <w:lang w:val="en-US" w:eastAsia="zh-CN"/>
              </w:rPr>
              <w:t xml:space="preserve">   </w:t>
            </w:r>
            <w:r>
              <w:rPr>
                <w:rFonts w:hint="eastAsia" w:ascii="Times New Roman" w:hAnsi="Times New Roman" w:cs="Times New Roman"/>
                <w:b/>
                <w:bCs w:val="0"/>
                <w:color w:val="auto"/>
                <w:spacing w:val="-10"/>
                <w:sz w:val="21"/>
                <w:szCs w:val="21"/>
                <w:highlight w:val="none"/>
                <w:lang w:val="en-US" w:eastAsia="zh-CN"/>
              </w:rPr>
              <w:t>全厂</w:t>
            </w:r>
            <w:r>
              <w:rPr>
                <w:rFonts w:hint="default" w:ascii="Times New Roman" w:hAnsi="Times New Roman" w:eastAsia="宋体" w:cs="Times New Roman"/>
                <w:b/>
                <w:bCs w:val="0"/>
                <w:color w:val="auto"/>
                <w:spacing w:val="-10"/>
                <w:sz w:val="21"/>
                <w:szCs w:val="21"/>
                <w:highlight w:val="none"/>
                <w:lang w:val="en-US" w:eastAsia="zh-CN"/>
              </w:rPr>
              <w:t>废水产排情况统计表</w:t>
            </w:r>
          </w:p>
          <w:tbl>
            <w:tblPr>
              <w:tblStyle w:val="26"/>
              <w:tblW w:w="8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824"/>
              <w:gridCol w:w="646"/>
              <w:gridCol w:w="735"/>
              <w:gridCol w:w="554"/>
              <w:gridCol w:w="567"/>
              <w:gridCol w:w="566"/>
              <w:gridCol w:w="653"/>
              <w:gridCol w:w="514"/>
              <w:gridCol w:w="667"/>
              <w:gridCol w:w="544"/>
              <w:gridCol w:w="807"/>
              <w:gridCol w:w="798"/>
            </w:tblGrid>
            <w:tr w14:paraId="44F8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gridSpan w:val="2"/>
                  <w:noWrap w:val="0"/>
                  <w:vAlign w:val="center"/>
                </w:tcPr>
                <w:p w14:paraId="6EA4DAF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2195" w:type="pct"/>
                  <w:gridSpan w:val="6"/>
                  <w:noWrap w:val="0"/>
                  <w:vAlign w:val="center"/>
                </w:tcPr>
                <w:p w14:paraId="39B4713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生活</w:t>
                  </w:r>
                  <w:r>
                    <w:rPr>
                      <w:rFonts w:hint="default" w:ascii="Times New Roman" w:hAnsi="Times New Roman" w:eastAsia="宋体" w:cs="Times New Roman"/>
                      <w:b w:val="0"/>
                      <w:bCs/>
                      <w:color w:val="auto"/>
                      <w:spacing w:val="-10"/>
                      <w:sz w:val="21"/>
                      <w:szCs w:val="21"/>
                      <w:highlight w:val="none"/>
                      <w:vertAlign w:val="baseline"/>
                      <w:lang w:val="en-US" w:eastAsia="zh-CN"/>
                    </w:rPr>
                    <w:t>废水（食堂</w:t>
                  </w:r>
                  <w:r>
                    <w:rPr>
                      <w:rFonts w:hint="eastAsia" w:cs="Times New Roman"/>
                      <w:b w:val="0"/>
                      <w:bCs/>
                      <w:color w:val="auto"/>
                      <w:spacing w:val="-10"/>
                      <w:sz w:val="21"/>
                      <w:szCs w:val="21"/>
                      <w:highlight w:val="none"/>
                      <w:vertAlign w:val="baseline"/>
                      <w:lang w:val="en-US" w:eastAsia="zh-CN"/>
                    </w:rPr>
                    <w:t>废水</w:t>
                  </w:r>
                  <w:r>
                    <w:rPr>
                      <w:rFonts w:hint="default" w:ascii="Times New Roman" w:hAnsi="Times New Roman" w:eastAsia="宋体" w:cs="Times New Roman"/>
                      <w:b w:val="0"/>
                      <w:bCs/>
                      <w:color w:val="auto"/>
                      <w:spacing w:val="-10"/>
                      <w:sz w:val="21"/>
                      <w:szCs w:val="21"/>
                      <w:highlight w:val="none"/>
                      <w:vertAlign w:val="baseline"/>
                      <w:lang w:val="en-US" w:eastAsia="zh-CN"/>
                    </w:rPr>
                    <w:t>、办公</w:t>
                  </w:r>
                  <w:r>
                    <w:rPr>
                      <w:rFonts w:hint="eastAsia" w:cs="Times New Roman"/>
                      <w:b w:val="0"/>
                      <w:bCs/>
                      <w:color w:val="auto"/>
                      <w:spacing w:val="-10"/>
                      <w:sz w:val="21"/>
                      <w:szCs w:val="21"/>
                      <w:highlight w:val="none"/>
                      <w:vertAlign w:val="baseline"/>
                      <w:lang w:val="en-US" w:eastAsia="zh-CN"/>
                    </w:rPr>
                    <w:t>生活污水</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64" w:type="pct"/>
                  <w:gridSpan w:val="5"/>
                  <w:noWrap w:val="0"/>
                  <w:vAlign w:val="center"/>
                </w:tcPr>
                <w:p w14:paraId="13CDFCB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w:t>
                  </w:r>
                  <w:r>
                    <w:rPr>
                      <w:rFonts w:hint="eastAsia" w:cs="Times New Roman"/>
                      <w:b w:val="0"/>
                      <w:bCs/>
                      <w:color w:val="auto"/>
                      <w:spacing w:val="-10"/>
                      <w:sz w:val="21"/>
                      <w:szCs w:val="21"/>
                      <w:highlight w:val="none"/>
                      <w:vertAlign w:val="baseline"/>
                      <w:lang w:val="en-US" w:eastAsia="zh-CN"/>
                    </w:rPr>
                    <w:t>（弱酸清洗废液、预水洗废水、二次清洗废水、碱液喷淋洗涤废水）</w:t>
                  </w:r>
                </w:p>
              </w:tc>
            </w:tr>
            <w:tr w14:paraId="1707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40" w:type="pct"/>
                  <w:gridSpan w:val="2"/>
                  <w:noWrap w:val="0"/>
                  <w:vAlign w:val="center"/>
                </w:tcPr>
                <w:p w14:paraId="410849D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2195" w:type="pct"/>
                  <w:gridSpan w:val="6"/>
                  <w:noWrap w:val="0"/>
                  <w:vAlign w:val="center"/>
                </w:tcPr>
                <w:p w14:paraId="5B011DD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kern w:val="0"/>
                      <w:szCs w:val="21"/>
                      <w:highlight w:val="none"/>
                      <w:lang w:val="en-US" w:eastAsia="zh-CN" w:bidi="ar"/>
                    </w:rPr>
                    <w:t>1014</w:t>
                  </w:r>
                </w:p>
              </w:tc>
              <w:tc>
                <w:tcPr>
                  <w:tcW w:w="1964" w:type="pct"/>
                  <w:gridSpan w:val="5"/>
                  <w:noWrap w:val="0"/>
                  <w:vAlign w:val="center"/>
                </w:tcPr>
                <w:p w14:paraId="7303B61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pacing w:val="11"/>
                      <w:sz w:val="21"/>
                      <w:szCs w:val="21"/>
                      <w:highlight w:val="none"/>
                      <w:lang w:val="en-US" w:eastAsia="zh-CN"/>
                    </w:rPr>
                  </w:pPr>
                  <w:r>
                    <w:rPr>
                      <w:rFonts w:hint="eastAsia" w:eastAsia="宋体" w:cs="Times New Roman"/>
                      <w:color w:val="auto"/>
                      <w:spacing w:val="11"/>
                      <w:sz w:val="21"/>
                      <w:szCs w:val="21"/>
                      <w:highlight w:val="none"/>
                      <w:lang w:val="en-US" w:eastAsia="zh-CN"/>
                    </w:rPr>
                    <w:t>69.6</w:t>
                  </w:r>
                </w:p>
              </w:tc>
            </w:tr>
            <w:tr w14:paraId="45BB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gridSpan w:val="2"/>
                  <w:noWrap w:val="0"/>
                  <w:vAlign w:val="center"/>
                </w:tcPr>
                <w:p w14:paraId="6FFE690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81" w:type="pct"/>
                  <w:noWrap w:val="0"/>
                  <w:vAlign w:val="center"/>
                </w:tcPr>
                <w:p w14:paraId="6600CB3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433" w:type="pct"/>
                  <w:noWrap w:val="0"/>
                  <w:vAlign w:val="center"/>
                </w:tcPr>
                <w:p w14:paraId="1488AA4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326" w:type="pct"/>
                  <w:noWrap w:val="0"/>
                  <w:vAlign w:val="center"/>
                </w:tcPr>
                <w:p w14:paraId="7B205A1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334" w:type="pct"/>
                  <w:noWrap w:val="0"/>
                  <w:vAlign w:val="center"/>
                </w:tcPr>
                <w:p w14:paraId="3707C1E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333" w:type="pct"/>
                  <w:noWrap w:val="0"/>
                  <w:vAlign w:val="center"/>
                </w:tcPr>
                <w:p w14:paraId="0A76976F">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385" w:type="pct"/>
                  <w:noWrap w:val="0"/>
                  <w:vAlign w:val="center"/>
                </w:tcPr>
                <w:p w14:paraId="5965F90E">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c>
                <w:tcPr>
                  <w:tcW w:w="303" w:type="pct"/>
                  <w:noWrap w:val="0"/>
                  <w:vAlign w:val="center"/>
                </w:tcPr>
                <w:p w14:paraId="602D9AFA">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393" w:type="pct"/>
                  <w:noWrap w:val="0"/>
                  <w:vAlign w:val="center"/>
                </w:tcPr>
                <w:p w14:paraId="045BF365">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320" w:type="pct"/>
                  <w:noWrap w:val="0"/>
                  <w:vAlign w:val="center"/>
                </w:tcPr>
                <w:p w14:paraId="7D4348FC">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476" w:type="pct"/>
                  <w:noWrap w:val="0"/>
                  <w:vAlign w:val="center"/>
                </w:tcPr>
                <w:p w14:paraId="337CC37E">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氟化物</w:t>
                  </w:r>
                  <w:r>
                    <w:rPr>
                      <w:rFonts w:hint="eastAsia" w:ascii="Times New Roman" w:hAnsi="Times New Roman" w:eastAsia="宋体" w:cs="Times New Roman"/>
                      <w:color w:val="auto"/>
                      <w:sz w:val="21"/>
                      <w:szCs w:val="21"/>
                      <w:highlight w:val="none"/>
                      <w:lang w:val="en-US" w:eastAsia="zh-CN"/>
                    </w:rPr>
                    <w:t>（以F</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c>
                <w:tcPr>
                  <w:tcW w:w="470" w:type="pct"/>
                  <w:noWrap w:val="0"/>
                  <w:vAlign w:val="center"/>
                </w:tcPr>
                <w:p w14:paraId="131DCCDB">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氯化物（以Cl</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r>
            <w:tr w14:paraId="36FB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gridSpan w:val="2"/>
                  <w:noWrap w:val="0"/>
                  <w:vAlign w:val="center"/>
                </w:tcPr>
                <w:p w14:paraId="6A29296A">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381" w:type="pct"/>
                  <w:noWrap w:val="0"/>
                  <w:vAlign w:val="center"/>
                </w:tcPr>
                <w:p w14:paraId="27F72C92">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olor w:val="auto"/>
                      <w:szCs w:val="21"/>
                      <w:highlight w:val="none"/>
                      <w:lang w:val="en-US" w:eastAsia="zh-CN"/>
                    </w:rPr>
                    <w:t>0.4056</w:t>
                  </w:r>
                </w:p>
              </w:tc>
              <w:tc>
                <w:tcPr>
                  <w:tcW w:w="433" w:type="pct"/>
                  <w:noWrap w:val="0"/>
                  <w:vAlign w:val="center"/>
                </w:tcPr>
                <w:p w14:paraId="589CE29B">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color w:val="auto"/>
                      <w:kern w:val="0"/>
                      <w:szCs w:val="21"/>
                      <w:highlight w:val="none"/>
                      <w:lang w:val="en-US" w:eastAsia="zh-CN" w:bidi="ar"/>
                    </w:rPr>
                    <w:t>0.1633</w:t>
                  </w:r>
                </w:p>
              </w:tc>
              <w:tc>
                <w:tcPr>
                  <w:tcW w:w="326" w:type="pct"/>
                  <w:noWrap w:val="0"/>
                  <w:vAlign w:val="center"/>
                </w:tcPr>
                <w:p w14:paraId="53C0F5A8">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olor w:val="auto"/>
                      <w:szCs w:val="21"/>
                      <w:highlight w:val="none"/>
                      <w:lang w:val="en-US" w:eastAsia="zh-CN"/>
                    </w:rPr>
                    <w:t>0.1521</w:t>
                  </w:r>
                </w:p>
              </w:tc>
              <w:tc>
                <w:tcPr>
                  <w:tcW w:w="334" w:type="pct"/>
                  <w:noWrap w:val="0"/>
                  <w:vAlign w:val="center"/>
                </w:tcPr>
                <w:p w14:paraId="51EC7EDE">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ascii="Times New Roman" w:hAnsi="Times New Roman" w:cs="Times New Roman"/>
                      <w:color w:val="auto"/>
                      <w:kern w:val="0"/>
                      <w:szCs w:val="21"/>
                      <w:highlight w:val="none"/>
                      <w:lang w:val="en-US" w:eastAsia="zh-CN" w:bidi="ar"/>
                    </w:rPr>
                    <w:t>0.1105</w:t>
                  </w:r>
                </w:p>
              </w:tc>
              <w:tc>
                <w:tcPr>
                  <w:tcW w:w="333" w:type="pct"/>
                  <w:noWrap w:val="0"/>
                  <w:vAlign w:val="center"/>
                </w:tcPr>
                <w:p w14:paraId="1B6D0214">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olor w:val="auto"/>
                      <w:szCs w:val="21"/>
                      <w:highlight w:val="none"/>
                      <w:lang w:val="en-US" w:eastAsia="zh-CN"/>
                    </w:rPr>
                    <w:t>0.0081</w:t>
                  </w:r>
                </w:p>
              </w:tc>
              <w:tc>
                <w:tcPr>
                  <w:tcW w:w="385" w:type="pct"/>
                  <w:noWrap w:val="0"/>
                  <w:vAlign w:val="center"/>
                </w:tcPr>
                <w:p w14:paraId="4071AA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eastAsia"/>
                      <w:color w:val="auto"/>
                      <w:szCs w:val="21"/>
                      <w:highlight w:val="none"/>
                      <w:lang w:val="en-US" w:eastAsia="zh-CN"/>
                    </w:rPr>
                    <w:t>0.0304</w:t>
                  </w:r>
                </w:p>
              </w:tc>
              <w:tc>
                <w:tcPr>
                  <w:tcW w:w="303" w:type="pct"/>
                  <w:noWrap w:val="0"/>
                  <w:vAlign w:val="center"/>
                </w:tcPr>
                <w:p w14:paraId="21F678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93" w:type="pct"/>
                  <w:noWrap w:val="0"/>
                  <w:vAlign w:val="center"/>
                </w:tcPr>
                <w:p w14:paraId="179E68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0.0278</w:t>
                  </w:r>
                </w:p>
              </w:tc>
              <w:tc>
                <w:tcPr>
                  <w:tcW w:w="320" w:type="pct"/>
                  <w:noWrap w:val="0"/>
                  <w:vAlign w:val="center"/>
                </w:tcPr>
                <w:p w14:paraId="023346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eastAsia" w:eastAsia="宋体" w:cs="Times New Roman"/>
                      <w:i w:val="0"/>
                      <w:iCs w:val="0"/>
                      <w:color w:val="auto"/>
                      <w:kern w:val="0"/>
                      <w:sz w:val="21"/>
                      <w:szCs w:val="21"/>
                      <w:highlight w:val="none"/>
                      <w:u w:val="none"/>
                      <w:lang w:val="en-US" w:eastAsia="zh-CN" w:bidi="ar"/>
                    </w:rPr>
                    <w:t>0.0348</w:t>
                  </w:r>
                </w:p>
              </w:tc>
              <w:tc>
                <w:tcPr>
                  <w:tcW w:w="476" w:type="pct"/>
                  <w:noWrap w:val="0"/>
                  <w:vAlign w:val="center"/>
                </w:tcPr>
                <w:p w14:paraId="3D03E0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eastAsia" w:eastAsia="宋体" w:cs="Times New Roman"/>
                      <w:i w:val="0"/>
                      <w:iCs w:val="0"/>
                      <w:color w:val="auto"/>
                      <w:kern w:val="0"/>
                      <w:sz w:val="21"/>
                      <w:szCs w:val="21"/>
                      <w:highlight w:val="none"/>
                      <w:u w:val="none"/>
                      <w:lang w:val="en-US" w:eastAsia="zh-CN" w:bidi="ar"/>
                    </w:rPr>
                    <w:t>0.0070</w:t>
                  </w:r>
                </w:p>
              </w:tc>
              <w:tc>
                <w:tcPr>
                  <w:tcW w:w="470" w:type="pct"/>
                  <w:noWrap w:val="0"/>
                  <w:vAlign w:val="center"/>
                </w:tcPr>
                <w:p w14:paraId="4349C1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eastAsia" w:eastAsia="宋体" w:cs="Times New Roman"/>
                      <w:i w:val="0"/>
                      <w:iCs w:val="0"/>
                      <w:color w:val="auto"/>
                      <w:kern w:val="0"/>
                      <w:sz w:val="21"/>
                      <w:szCs w:val="21"/>
                      <w:highlight w:val="none"/>
                      <w:u w:val="none"/>
                      <w:lang w:val="en-US" w:eastAsia="zh-CN" w:bidi="ar"/>
                    </w:rPr>
                    <w:t>0.0343</w:t>
                  </w:r>
                </w:p>
              </w:tc>
            </w:tr>
            <w:tr w14:paraId="3148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gridSpan w:val="2"/>
                  <w:noWrap w:val="0"/>
                  <w:vAlign w:val="center"/>
                </w:tcPr>
                <w:p w14:paraId="08DE2DD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81" w:type="pct"/>
                  <w:noWrap w:val="0"/>
                  <w:vAlign w:val="center"/>
                </w:tcPr>
                <w:p w14:paraId="08BD413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400</w:t>
                  </w:r>
                </w:p>
              </w:tc>
              <w:tc>
                <w:tcPr>
                  <w:tcW w:w="433" w:type="pct"/>
                  <w:noWrap w:val="0"/>
                  <w:vAlign w:val="center"/>
                </w:tcPr>
                <w:p w14:paraId="479D11F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161</w:t>
                  </w:r>
                </w:p>
              </w:tc>
              <w:tc>
                <w:tcPr>
                  <w:tcW w:w="326" w:type="pct"/>
                  <w:noWrap w:val="0"/>
                  <w:vAlign w:val="center"/>
                </w:tcPr>
                <w:p w14:paraId="2BA5EA9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150</w:t>
                  </w:r>
                </w:p>
              </w:tc>
              <w:tc>
                <w:tcPr>
                  <w:tcW w:w="334" w:type="pct"/>
                  <w:noWrap w:val="0"/>
                  <w:vAlign w:val="center"/>
                </w:tcPr>
                <w:p w14:paraId="35C296F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109</w:t>
                  </w:r>
                </w:p>
              </w:tc>
              <w:tc>
                <w:tcPr>
                  <w:tcW w:w="333" w:type="pct"/>
                  <w:noWrap w:val="0"/>
                  <w:vAlign w:val="center"/>
                </w:tcPr>
                <w:p w14:paraId="44B0BC2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p>
              </w:tc>
              <w:tc>
                <w:tcPr>
                  <w:tcW w:w="385" w:type="pct"/>
                  <w:noWrap w:val="0"/>
                  <w:vAlign w:val="center"/>
                </w:tcPr>
                <w:p w14:paraId="5345DB67">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30</w:t>
                  </w:r>
                </w:p>
              </w:tc>
              <w:tc>
                <w:tcPr>
                  <w:tcW w:w="303" w:type="pct"/>
                  <w:noWrap w:val="0"/>
                  <w:vAlign w:val="center"/>
                </w:tcPr>
                <w:p w14:paraId="2FAA9DE1">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6</w:t>
                  </w:r>
                </w:p>
              </w:tc>
              <w:tc>
                <w:tcPr>
                  <w:tcW w:w="393" w:type="pct"/>
                  <w:noWrap w:val="0"/>
                  <w:vAlign w:val="center"/>
                </w:tcPr>
                <w:p w14:paraId="4FCBECED">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sz w:val="21"/>
                      <w:szCs w:val="21"/>
                      <w:highlight w:val="none"/>
                      <w:vertAlign w:val="baseline"/>
                      <w:lang w:val="en-US" w:eastAsia="zh-CN"/>
                    </w:rPr>
                    <w:t>400</w:t>
                  </w:r>
                </w:p>
              </w:tc>
              <w:tc>
                <w:tcPr>
                  <w:tcW w:w="320" w:type="pct"/>
                  <w:noWrap w:val="0"/>
                  <w:vAlign w:val="center"/>
                </w:tcPr>
                <w:p w14:paraId="09E16CCE">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500</w:t>
                  </w:r>
                </w:p>
              </w:tc>
              <w:tc>
                <w:tcPr>
                  <w:tcW w:w="476" w:type="pct"/>
                  <w:noWrap w:val="0"/>
                  <w:vAlign w:val="center"/>
                </w:tcPr>
                <w:p w14:paraId="0A8F640E">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100</w:t>
                  </w:r>
                </w:p>
              </w:tc>
              <w:tc>
                <w:tcPr>
                  <w:tcW w:w="470" w:type="pct"/>
                  <w:noWrap w:val="0"/>
                  <w:vAlign w:val="center"/>
                </w:tcPr>
                <w:p w14:paraId="0E4D02BF">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493</w:t>
                  </w:r>
                </w:p>
              </w:tc>
            </w:tr>
            <w:tr w14:paraId="7333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40" w:type="pct"/>
                  <w:gridSpan w:val="2"/>
                  <w:noWrap w:val="0"/>
                  <w:vAlign w:val="center"/>
                </w:tcPr>
                <w:p w14:paraId="18ACA8F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195" w:type="pct"/>
                  <w:gridSpan w:val="6"/>
                  <w:noWrap w:val="0"/>
                  <w:vAlign w:val="center"/>
                </w:tcPr>
                <w:p w14:paraId="74F51F3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1964" w:type="pct"/>
                  <w:gridSpan w:val="5"/>
                  <w:noWrap w:val="0"/>
                  <w:vAlign w:val="center"/>
                </w:tcPr>
                <w:p w14:paraId="7554535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不外排</w:t>
                  </w:r>
                </w:p>
              </w:tc>
            </w:tr>
            <w:tr w14:paraId="5F77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restart"/>
                  <w:noWrap w:val="0"/>
                  <w:vAlign w:val="center"/>
                </w:tcPr>
                <w:p w14:paraId="1A29974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486" w:type="pct"/>
                  <w:noWrap w:val="0"/>
                  <w:vAlign w:val="center"/>
                </w:tcPr>
                <w:p w14:paraId="555A62F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195" w:type="pct"/>
                  <w:gridSpan w:val="6"/>
                  <w:noWrap w:val="0"/>
                  <w:vAlign w:val="center"/>
                </w:tcPr>
                <w:p w14:paraId="47A7378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1964" w:type="pct"/>
                  <w:gridSpan w:val="5"/>
                  <w:noWrap w:val="0"/>
                  <w:vAlign w:val="center"/>
                </w:tcPr>
                <w:p w14:paraId="33373D7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14:paraId="365E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continue"/>
                  <w:noWrap w:val="0"/>
                  <w:vAlign w:val="center"/>
                </w:tcPr>
                <w:p w14:paraId="5A796A4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86" w:type="pct"/>
                  <w:noWrap w:val="0"/>
                  <w:vAlign w:val="center"/>
                </w:tcPr>
                <w:p w14:paraId="4F3FB09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195" w:type="pct"/>
                  <w:gridSpan w:val="6"/>
                  <w:noWrap w:val="0"/>
                  <w:vAlign w:val="center"/>
                </w:tcPr>
                <w:p w14:paraId="5C621D7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1964" w:type="pct"/>
                  <w:gridSpan w:val="5"/>
                  <w:noWrap w:val="0"/>
                  <w:vAlign w:val="center"/>
                </w:tcPr>
                <w:p w14:paraId="7C03108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14:paraId="0E12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continue"/>
                  <w:noWrap w:val="0"/>
                  <w:vAlign w:val="center"/>
                </w:tcPr>
                <w:p w14:paraId="1F452B8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86" w:type="pct"/>
                  <w:noWrap w:val="0"/>
                  <w:vAlign w:val="center"/>
                </w:tcPr>
                <w:p w14:paraId="700AC71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195" w:type="pct"/>
                  <w:gridSpan w:val="6"/>
                  <w:noWrap w:val="0"/>
                  <w:vAlign w:val="center"/>
                </w:tcPr>
                <w:p w14:paraId="2D13180E">
                  <w:pPr>
                    <w:pStyle w:val="11"/>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隔油池+化粪池+一体化</w:t>
                  </w:r>
                  <w:r>
                    <w:rPr>
                      <w:rFonts w:hint="eastAsia" w:cs="Times New Roman"/>
                      <w:color w:val="auto"/>
                      <w:sz w:val="21"/>
                      <w:szCs w:val="21"/>
                      <w:highlight w:val="none"/>
                      <w:lang w:val="en-US" w:eastAsia="zh-CN"/>
                    </w:rPr>
                    <w:t>生活</w:t>
                  </w:r>
                  <w:r>
                    <w:rPr>
                      <w:rFonts w:hint="default" w:ascii="Times New Roman" w:hAnsi="Times New Roman" w:eastAsia="宋体" w:cs="Times New Roman"/>
                      <w:color w:val="auto"/>
                      <w:sz w:val="21"/>
                      <w:szCs w:val="21"/>
                      <w:highlight w:val="none"/>
                      <w:lang w:val="en-US" w:eastAsia="zh-CN"/>
                    </w:rPr>
                    <w:t>污水处理设备</w:t>
                  </w:r>
                  <w:r>
                    <w:rPr>
                      <w:rFonts w:hint="eastAsia" w:ascii="Times New Roman" w:hAnsi="Times New Roman" w:cs="Times New Roman"/>
                      <w:color w:val="auto"/>
                      <w:sz w:val="21"/>
                      <w:szCs w:val="21"/>
                      <w:highlight w:val="none"/>
                      <w:lang w:val="en-US" w:eastAsia="zh-CN"/>
                    </w:rPr>
                    <w:t>（MBR膜生物反应）</w:t>
                  </w:r>
                </w:p>
              </w:tc>
              <w:tc>
                <w:tcPr>
                  <w:tcW w:w="1964" w:type="pct"/>
                  <w:gridSpan w:val="5"/>
                  <w:noWrap w:val="0"/>
                  <w:vAlign w:val="center"/>
                </w:tcPr>
                <w:p w14:paraId="054F24DB">
                  <w:pPr>
                    <w:pStyle w:val="11"/>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sz w:val="21"/>
                      <w:szCs w:val="21"/>
                      <w:highlight w:val="none"/>
                      <w:lang w:val="en-US" w:eastAsia="zh-CN"/>
                    </w:rPr>
                    <w:t>处理</w:t>
                  </w:r>
                  <w:r>
                    <w:rPr>
                      <w:rFonts w:hint="eastAsia" w:ascii="Times New Roman" w:hAnsi="Times New Roman" w:eastAsia="宋体" w:cs="Times New Roman"/>
                      <w:color w:val="auto"/>
                      <w:sz w:val="21"/>
                      <w:szCs w:val="21"/>
                      <w:highlight w:val="none"/>
                      <w:lang w:val="en-US" w:eastAsia="zh-CN"/>
                    </w:rPr>
                    <w:t>设施</w:t>
                  </w:r>
                  <w:r>
                    <w:rPr>
                      <w:rFonts w:hint="eastAsia" w:eastAsia="宋体" w:cs="Times New Roman"/>
                      <w:color w:val="auto"/>
                      <w:sz w:val="21"/>
                      <w:szCs w:val="21"/>
                      <w:highlight w:val="none"/>
                      <w:lang w:val="en-US" w:eastAsia="zh-CN"/>
                    </w:rPr>
                    <w:t>（调节池+</w:t>
                  </w:r>
                  <w:r>
                    <w:rPr>
                      <w:rFonts w:hint="eastAsia" w:cs="Times New Roman"/>
                      <w:color w:val="auto"/>
                      <w:sz w:val="21"/>
                      <w:szCs w:val="21"/>
                      <w:highlight w:val="none"/>
                      <w:lang w:val="en-US" w:eastAsia="zh-CN"/>
                    </w:rPr>
                    <w:t>混凝</w:t>
                  </w:r>
                  <w:r>
                    <w:rPr>
                      <w:rFonts w:hint="eastAsia" w:eastAsia="宋体" w:cs="Times New Roman"/>
                      <w:color w:val="auto"/>
                      <w:sz w:val="21"/>
                      <w:szCs w:val="21"/>
                      <w:highlight w:val="none"/>
                      <w:lang w:val="en-US" w:eastAsia="zh-CN"/>
                    </w:rPr>
                    <w:t>沉淀+过滤）</w:t>
                  </w:r>
                </w:p>
              </w:tc>
            </w:tr>
            <w:tr w14:paraId="28B7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continue"/>
                  <w:noWrap w:val="0"/>
                  <w:vAlign w:val="center"/>
                </w:tcPr>
                <w:p w14:paraId="02BE7E6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86" w:type="pct"/>
                  <w:noWrap w:val="0"/>
                  <w:vAlign w:val="center"/>
                </w:tcPr>
                <w:p w14:paraId="5C256F7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381" w:type="pct"/>
                  <w:noWrap w:val="0"/>
                  <w:vAlign w:val="center"/>
                </w:tcPr>
                <w:p w14:paraId="295029B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92</w:t>
                  </w:r>
                </w:p>
              </w:tc>
              <w:tc>
                <w:tcPr>
                  <w:tcW w:w="433" w:type="pct"/>
                  <w:noWrap w:val="0"/>
                  <w:vAlign w:val="center"/>
                </w:tcPr>
                <w:p w14:paraId="05E38A0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i w:val="0"/>
                      <w:iCs w:val="0"/>
                      <w:color w:val="auto"/>
                      <w:kern w:val="0"/>
                      <w:sz w:val="21"/>
                      <w:szCs w:val="21"/>
                      <w:highlight w:val="none"/>
                      <w:u w:val="none"/>
                      <w:lang w:val="en-US" w:eastAsia="zh-CN" w:bidi="ar"/>
                    </w:rPr>
                    <w:t>94.2</w:t>
                  </w:r>
                </w:p>
              </w:tc>
              <w:tc>
                <w:tcPr>
                  <w:tcW w:w="326" w:type="pct"/>
                  <w:noWrap w:val="0"/>
                  <w:vAlign w:val="center"/>
                </w:tcPr>
                <w:p w14:paraId="6B61042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i w:val="0"/>
                      <w:iCs w:val="0"/>
                      <w:color w:val="auto"/>
                      <w:kern w:val="0"/>
                      <w:sz w:val="21"/>
                      <w:szCs w:val="21"/>
                      <w:highlight w:val="none"/>
                      <w:u w:val="none"/>
                      <w:lang w:val="en-US" w:eastAsia="zh-CN" w:bidi="ar"/>
                    </w:rPr>
                    <w:t>88</w:t>
                  </w:r>
                </w:p>
              </w:tc>
              <w:tc>
                <w:tcPr>
                  <w:tcW w:w="334" w:type="pct"/>
                  <w:noWrap w:val="0"/>
                  <w:vAlign w:val="center"/>
                </w:tcPr>
                <w:p w14:paraId="090A628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i w:val="0"/>
                      <w:iCs w:val="0"/>
                      <w:color w:val="auto"/>
                      <w:kern w:val="0"/>
                      <w:sz w:val="21"/>
                      <w:szCs w:val="21"/>
                      <w:highlight w:val="none"/>
                      <w:u w:val="none"/>
                      <w:lang w:val="en-US" w:eastAsia="zh-CN" w:bidi="ar"/>
                    </w:rPr>
                    <w:t>93.2</w:t>
                  </w:r>
                </w:p>
              </w:tc>
              <w:tc>
                <w:tcPr>
                  <w:tcW w:w="333" w:type="pct"/>
                  <w:noWrap w:val="0"/>
                  <w:vAlign w:val="center"/>
                </w:tcPr>
                <w:p w14:paraId="776CBEF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i w:val="0"/>
                      <w:iCs w:val="0"/>
                      <w:color w:val="auto"/>
                      <w:kern w:val="0"/>
                      <w:sz w:val="21"/>
                      <w:szCs w:val="21"/>
                      <w:highlight w:val="none"/>
                      <w:u w:val="none"/>
                      <w:lang w:val="en-US" w:eastAsia="zh-CN" w:bidi="ar"/>
                    </w:rPr>
                    <w:t>50</w:t>
                  </w:r>
                </w:p>
              </w:tc>
              <w:tc>
                <w:tcPr>
                  <w:tcW w:w="385" w:type="pct"/>
                  <w:noWrap w:val="0"/>
                  <w:vAlign w:val="center"/>
                </w:tcPr>
                <w:p w14:paraId="1E33F2B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w:t>
                  </w:r>
                </w:p>
              </w:tc>
              <w:tc>
                <w:tcPr>
                  <w:tcW w:w="303" w:type="pct"/>
                  <w:noWrap w:val="0"/>
                  <w:vAlign w:val="center"/>
                </w:tcPr>
                <w:p w14:paraId="4AC82DA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93" w:type="pct"/>
                  <w:noWrap w:val="0"/>
                  <w:vAlign w:val="center"/>
                </w:tcPr>
                <w:p w14:paraId="257731D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67</w:t>
                  </w:r>
                </w:p>
              </w:tc>
              <w:tc>
                <w:tcPr>
                  <w:tcW w:w="320" w:type="pct"/>
                  <w:noWrap w:val="0"/>
                  <w:vAlign w:val="center"/>
                </w:tcPr>
                <w:p w14:paraId="7D14095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94.2</w:t>
                  </w:r>
                </w:p>
              </w:tc>
              <w:tc>
                <w:tcPr>
                  <w:tcW w:w="476" w:type="pct"/>
                  <w:noWrap w:val="0"/>
                  <w:vAlign w:val="center"/>
                </w:tcPr>
                <w:p w14:paraId="77CF1C4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99.1</w:t>
                  </w:r>
                </w:p>
              </w:tc>
              <w:tc>
                <w:tcPr>
                  <w:tcW w:w="470" w:type="pct"/>
                  <w:noWrap w:val="0"/>
                  <w:vAlign w:val="center"/>
                </w:tcPr>
                <w:p w14:paraId="3D66998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70.4</w:t>
                  </w:r>
                </w:p>
              </w:tc>
            </w:tr>
            <w:tr w14:paraId="3B04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continue"/>
                  <w:noWrap w:val="0"/>
                  <w:vAlign w:val="center"/>
                </w:tcPr>
                <w:p w14:paraId="731A531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86" w:type="pct"/>
                  <w:noWrap w:val="0"/>
                  <w:vAlign w:val="center"/>
                </w:tcPr>
                <w:p w14:paraId="323B0F4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4159" w:type="pct"/>
                  <w:gridSpan w:val="11"/>
                  <w:noWrap w:val="0"/>
                  <w:vAlign w:val="center"/>
                </w:tcPr>
                <w:p w14:paraId="69EA583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14:paraId="4CAB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gridSpan w:val="2"/>
                  <w:noWrap w:val="0"/>
                  <w:vAlign w:val="center"/>
                </w:tcPr>
                <w:p w14:paraId="449355C3">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381" w:type="pct"/>
                  <w:noWrap w:val="0"/>
                  <w:vAlign w:val="center"/>
                </w:tcPr>
                <w:p w14:paraId="6B996D8B">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szCs w:val="21"/>
                      <w:highlight w:val="none"/>
                      <w:lang w:val="en-US" w:eastAsia="zh-CN"/>
                    </w:rPr>
                    <w:t>0.0324</w:t>
                  </w:r>
                </w:p>
              </w:tc>
              <w:tc>
                <w:tcPr>
                  <w:tcW w:w="433" w:type="pct"/>
                  <w:noWrap w:val="0"/>
                  <w:vAlign w:val="center"/>
                </w:tcPr>
                <w:p w14:paraId="61B2CE0F">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cs="Times New Roman"/>
                      <w:color w:val="auto"/>
                      <w:kern w:val="0"/>
                      <w:szCs w:val="21"/>
                      <w:highlight w:val="none"/>
                      <w:lang w:val="en-US" w:eastAsia="zh-CN" w:bidi="ar"/>
                    </w:rPr>
                    <w:t>0.0095</w:t>
                  </w:r>
                </w:p>
              </w:tc>
              <w:tc>
                <w:tcPr>
                  <w:tcW w:w="326" w:type="pct"/>
                  <w:noWrap w:val="0"/>
                  <w:vAlign w:val="center"/>
                </w:tcPr>
                <w:p w14:paraId="5E15E89E">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szCs w:val="21"/>
                      <w:highlight w:val="none"/>
                      <w:lang w:val="en-US" w:eastAsia="zh-CN"/>
                    </w:rPr>
                    <w:t>0.0183</w:t>
                  </w:r>
                </w:p>
              </w:tc>
              <w:tc>
                <w:tcPr>
                  <w:tcW w:w="334" w:type="pct"/>
                  <w:noWrap w:val="0"/>
                  <w:vAlign w:val="center"/>
                </w:tcPr>
                <w:p w14:paraId="686E27FC">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cs="Times New Roman"/>
                      <w:color w:val="auto"/>
                      <w:kern w:val="0"/>
                      <w:szCs w:val="21"/>
                      <w:highlight w:val="none"/>
                      <w:lang w:val="en-US" w:eastAsia="zh-CN" w:bidi="ar"/>
                    </w:rPr>
                    <w:t>0.0075</w:t>
                  </w:r>
                </w:p>
              </w:tc>
              <w:tc>
                <w:tcPr>
                  <w:tcW w:w="333" w:type="pct"/>
                  <w:noWrap w:val="0"/>
                  <w:vAlign w:val="center"/>
                </w:tcPr>
                <w:p w14:paraId="2F2718F4">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szCs w:val="21"/>
                      <w:highlight w:val="none"/>
                      <w:lang w:val="en-US" w:eastAsia="zh-CN"/>
                    </w:rPr>
                    <w:t>0.0041</w:t>
                  </w:r>
                </w:p>
              </w:tc>
              <w:tc>
                <w:tcPr>
                  <w:tcW w:w="385" w:type="pct"/>
                  <w:noWrap w:val="0"/>
                  <w:vAlign w:val="center"/>
                </w:tcPr>
                <w:p w14:paraId="687E5F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0.0061</w:t>
                  </w:r>
                </w:p>
              </w:tc>
              <w:tc>
                <w:tcPr>
                  <w:tcW w:w="303" w:type="pct"/>
                  <w:noWrap w:val="0"/>
                  <w:vAlign w:val="center"/>
                </w:tcPr>
                <w:p w14:paraId="044637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93" w:type="pct"/>
                  <w:noWrap w:val="0"/>
                  <w:vAlign w:val="center"/>
                </w:tcPr>
                <w:p w14:paraId="52AA4C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0.0092</w:t>
                  </w:r>
                </w:p>
              </w:tc>
              <w:tc>
                <w:tcPr>
                  <w:tcW w:w="320" w:type="pct"/>
                  <w:noWrap w:val="0"/>
                  <w:vAlign w:val="center"/>
                </w:tcPr>
                <w:p w14:paraId="4320DC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eastAsia="宋体" w:cs="Times New Roman"/>
                      <w:i w:val="0"/>
                      <w:iCs w:val="0"/>
                      <w:color w:val="auto"/>
                      <w:kern w:val="0"/>
                      <w:sz w:val="21"/>
                      <w:szCs w:val="21"/>
                      <w:highlight w:val="none"/>
                      <w:u w:val="none"/>
                      <w:lang w:val="en-US" w:eastAsia="zh-CN" w:bidi="ar"/>
                    </w:rPr>
                    <w:t>20</w:t>
                  </w:r>
                </w:p>
              </w:tc>
              <w:tc>
                <w:tcPr>
                  <w:tcW w:w="476" w:type="pct"/>
                  <w:noWrap w:val="0"/>
                  <w:vAlign w:val="center"/>
                </w:tcPr>
                <w:p w14:paraId="35962A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eastAsia="宋体" w:cs="Times New Roman"/>
                      <w:i w:val="0"/>
                      <w:iCs w:val="0"/>
                      <w:color w:val="auto"/>
                      <w:kern w:val="0"/>
                      <w:sz w:val="21"/>
                      <w:szCs w:val="21"/>
                      <w:highlight w:val="none"/>
                      <w:u w:val="none"/>
                      <w:lang w:val="en-US" w:eastAsia="zh-CN" w:bidi="ar"/>
                    </w:rPr>
                    <w:t>05</w:t>
                  </w:r>
                </w:p>
              </w:tc>
              <w:tc>
                <w:tcPr>
                  <w:tcW w:w="470" w:type="pct"/>
                  <w:noWrap w:val="0"/>
                  <w:vAlign w:val="center"/>
                </w:tcPr>
                <w:p w14:paraId="17E63B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0.0102</w:t>
                  </w:r>
                </w:p>
              </w:tc>
            </w:tr>
            <w:tr w14:paraId="2097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gridSpan w:val="2"/>
                  <w:noWrap w:val="0"/>
                  <w:vAlign w:val="center"/>
                </w:tcPr>
                <w:p w14:paraId="31B6FAF9">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81" w:type="pct"/>
                  <w:noWrap w:val="0"/>
                  <w:vAlign w:val="center"/>
                </w:tcPr>
                <w:p w14:paraId="636F75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32</w:t>
                  </w:r>
                </w:p>
              </w:tc>
              <w:tc>
                <w:tcPr>
                  <w:tcW w:w="433" w:type="pct"/>
                  <w:noWrap w:val="0"/>
                  <w:vAlign w:val="center"/>
                </w:tcPr>
                <w:p w14:paraId="56E4CB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9.4</w:t>
                  </w:r>
                </w:p>
              </w:tc>
              <w:tc>
                <w:tcPr>
                  <w:tcW w:w="326" w:type="pct"/>
                  <w:noWrap w:val="0"/>
                  <w:vAlign w:val="center"/>
                </w:tcPr>
                <w:p w14:paraId="028464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18</w:t>
                  </w:r>
                </w:p>
              </w:tc>
              <w:tc>
                <w:tcPr>
                  <w:tcW w:w="334" w:type="pct"/>
                  <w:noWrap w:val="0"/>
                  <w:vAlign w:val="center"/>
                </w:tcPr>
                <w:p w14:paraId="1C9758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7.38</w:t>
                  </w:r>
                </w:p>
              </w:tc>
              <w:tc>
                <w:tcPr>
                  <w:tcW w:w="333" w:type="pct"/>
                  <w:noWrap w:val="0"/>
                  <w:vAlign w:val="center"/>
                </w:tcPr>
                <w:p w14:paraId="423C38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4</w:t>
                  </w:r>
                </w:p>
              </w:tc>
              <w:tc>
                <w:tcPr>
                  <w:tcW w:w="385" w:type="pct"/>
                  <w:noWrap w:val="0"/>
                  <w:vAlign w:val="center"/>
                </w:tcPr>
                <w:p w14:paraId="34D74C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6</w:t>
                  </w:r>
                </w:p>
              </w:tc>
              <w:tc>
                <w:tcPr>
                  <w:tcW w:w="303" w:type="pct"/>
                  <w:noWrap w:val="0"/>
                  <w:vAlign w:val="center"/>
                </w:tcPr>
                <w:p w14:paraId="5D27A2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7.31</w:t>
                  </w:r>
                </w:p>
              </w:tc>
              <w:tc>
                <w:tcPr>
                  <w:tcW w:w="393" w:type="pct"/>
                  <w:noWrap w:val="0"/>
                  <w:vAlign w:val="center"/>
                </w:tcPr>
                <w:p w14:paraId="1A5533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132</w:t>
                  </w:r>
                </w:p>
              </w:tc>
              <w:tc>
                <w:tcPr>
                  <w:tcW w:w="320" w:type="pct"/>
                  <w:noWrap w:val="0"/>
                  <w:vAlign w:val="center"/>
                </w:tcPr>
                <w:p w14:paraId="07D9D8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29</w:t>
                  </w:r>
                </w:p>
              </w:tc>
              <w:tc>
                <w:tcPr>
                  <w:tcW w:w="476" w:type="pct"/>
                  <w:noWrap w:val="0"/>
                  <w:vAlign w:val="center"/>
                </w:tcPr>
                <w:p w14:paraId="13B0E0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0.909</w:t>
                  </w:r>
                </w:p>
              </w:tc>
              <w:tc>
                <w:tcPr>
                  <w:tcW w:w="470" w:type="pct"/>
                  <w:noWrap w:val="0"/>
                  <w:vAlign w:val="center"/>
                </w:tcPr>
                <w:p w14:paraId="347E19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146</w:t>
                  </w:r>
                </w:p>
              </w:tc>
            </w:tr>
            <w:tr w14:paraId="31CA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0" w:type="pct"/>
                  <w:gridSpan w:val="2"/>
                  <w:noWrap w:val="0"/>
                  <w:vAlign w:val="center"/>
                </w:tcPr>
                <w:p w14:paraId="1007791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2195" w:type="pct"/>
                  <w:gridSpan w:val="6"/>
                  <w:noWrap w:val="0"/>
                  <w:vAlign w:val="center"/>
                </w:tcPr>
                <w:p w14:paraId="7E543A8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1964" w:type="pct"/>
                  <w:gridSpan w:val="5"/>
                  <w:noWrap w:val="0"/>
                  <w:vAlign w:val="center"/>
                </w:tcPr>
                <w:p w14:paraId="787E9332">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14:paraId="7BB8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0" w:type="pct"/>
                  <w:gridSpan w:val="2"/>
                  <w:noWrap w:val="0"/>
                  <w:vAlign w:val="center"/>
                </w:tcPr>
                <w:p w14:paraId="2735DCC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2195" w:type="pct"/>
                  <w:gridSpan w:val="6"/>
                  <w:noWrap w:val="0"/>
                  <w:vAlign w:val="center"/>
                </w:tcPr>
                <w:p w14:paraId="111525A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64" w:type="pct"/>
                  <w:gridSpan w:val="5"/>
                  <w:noWrap w:val="0"/>
                  <w:vAlign w:val="center"/>
                </w:tcPr>
                <w:p w14:paraId="0D4E3D74">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7D7A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restart"/>
                  <w:noWrap w:val="0"/>
                  <w:vAlign w:val="center"/>
                </w:tcPr>
                <w:p w14:paraId="0D3BB3E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486" w:type="pct"/>
                  <w:noWrap w:val="0"/>
                  <w:vAlign w:val="center"/>
                </w:tcPr>
                <w:p w14:paraId="403F57D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2195" w:type="pct"/>
                  <w:gridSpan w:val="6"/>
                  <w:noWrap w:val="0"/>
                  <w:vAlign w:val="center"/>
                </w:tcPr>
                <w:p w14:paraId="47A3398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c>
                <w:tcPr>
                  <w:tcW w:w="1964" w:type="pct"/>
                  <w:gridSpan w:val="5"/>
                  <w:noWrap w:val="0"/>
                  <w:vAlign w:val="center"/>
                </w:tcPr>
                <w:p w14:paraId="406ACAB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w:t>
                  </w:r>
                  <w:r>
                    <w:rPr>
                      <w:rFonts w:hint="eastAsia" w:ascii="Times New Roman" w:hAnsi="Times New Roman" w:eastAsia="宋体" w:cs="Times New Roman"/>
                      <w:b w:val="0"/>
                      <w:bCs/>
                      <w:color w:val="auto"/>
                      <w:spacing w:val="-10"/>
                      <w:sz w:val="21"/>
                      <w:szCs w:val="21"/>
                      <w:highlight w:val="none"/>
                      <w:vertAlign w:val="baseline"/>
                      <w:lang w:val="en-US" w:eastAsia="zh-CN"/>
                    </w:rPr>
                    <w:t>2</w:t>
                  </w:r>
                </w:p>
              </w:tc>
            </w:tr>
            <w:tr w14:paraId="4534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54" w:type="pct"/>
                  <w:vMerge w:val="continue"/>
                  <w:noWrap w:val="0"/>
                  <w:vAlign w:val="center"/>
                </w:tcPr>
                <w:p w14:paraId="1AD7458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86" w:type="pct"/>
                  <w:noWrap w:val="0"/>
                  <w:vAlign w:val="center"/>
                </w:tcPr>
                <w:p w14:paraId="031970A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195" w:type="pct"/>
                  <w:gridSpan w:val="6"/>
                  <w:noWrap w:val="0"/>
                  <w:vAlign w:val="center"/>
                </w:tcPr>
                <w:p w14:paraId="6B4617B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生活污水</w:t>
                  </w:r>
                </w:p>
              </w:tc>
              <w:tc>
                <w:tcPr>
                  <w:tcW w:w="1964" w:type="pct"/>
                  <w:gridSpan w:val="5"/>
                  <w:noWrap w:val="0"/>
                  <w:vAlign w:val="center"/>
                </w:tcPr>
                <w:p w14:paraId="53373B1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w:t>
                  </w:r>
                </w:p>
              </w:tc>
            </w:tr>
            <w:tr w14:paraId="1D4B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continue"/>
                  <w:noWrap w:val="0"/>
                  <w:vAlign w:val="center"/>
                </w:tcPr>
                <w:p w14:paraId="7F308AF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86" w:type="pct"/>
                  <w:noWrap w:val="0"/>
                  <w:vAlign w:val="center"/>
                </w:tcPr>
                <w:p w14:paraId="684EDEB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2195" w:type="pct"/>
                  <w:gridSpan w:val="6"/>
                  <w:noWrap w:val="0"/>
                  <w:vAlign w:val="center"/>
                </w:tcPr>
                <w:p w14:paraId="27B827C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64" w:type="pct"/>
                  <w:gridSpan w:val="5"/>
                  <w:noWrap w:val="0"/>
                  <w:vAlign w:val="center"/>
                </w:tcPr>
                <w:p w14:paraId="1B45B59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798C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0" w:type="pct"/>
                  <w:gridSpan w:val="2"/>
                  <w:noWrap w:val="0"/>
                  <w:vAlign w:val="center"/>
                </w:tcPr>
                <w:p w14:paraId="5AE2E1A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2195" w:type="pct"/>
                  <w:gridSpan w:val="6"/>
                  <w:noWrap w:val="0"/>
                  <w:vAlign w:val="center"/>
                </w:tcPr>
                <w:p w14:paraId="6DC352F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城市杂用水水质》（GB/T18920-2020）中的城市绿化、道路清扫、消防、建筑施工标准</w:t>
                  </w:r>
                </w:p>
              </w:tc>
              <w:tc>
                <w:tcPr>
                  <w:tcW w:w="1964" w:type="pct"/>
                  <w:gridSpan w:val="5"/>
                  <w:noWrap w:val="0"/>
                  <w:vAlign w:val="center"/>
                </w:tcPr>
                <w:p w14:paraId="44E94E7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《城市污水再生利用 工业用水水质》（GB/T 19923-2005）中的洗涤用水标准</w:t>
                  </w:r>
                </w:p>
              </w:tc>
            </w:tr>
            <w:tr w14:paraId="7EE8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restart"/>
                  <w:noWrap w:val="0"/>
                  <w:vAlign w:val="center"/>
                </w:tcPr>
                <w:p w14:paraId="22E6A9D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486" w:type="pct"/>
                  <w:noWrap w:val="0"/>
                  <w:vAlign w:val="center"/>
                </w:tcPr>
                <w:p w14:paraId="5ECA67C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195" w:type="pct"/>
                  <w:gridSpan w:val="6"/>
                  <w:noWrap w:val="0"/>
                  <w:vAlign w:val="center"/>
                </w:tcPr>
                <w:p w14:paraId="29D06A6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一体化生活</w:t>
                  </w:r>
                  <w:r>
                    <w:rPr>
                      <w:rFonts w:hint="default" w:ascii="Times New Roman" w:hAnsi="Times New Roman" w:eastAsia="宋体" w:cs="Times New Roman"/>
                      <w:b w:val="0"/>
                      <w:bCs/>
                      <w:color w:val="auto"/>
                      <w:spacing w:val="-10"/>
                      <w:sz w:val="21"/>
                      <w:szCs w:val="21"/>
                      <w:highlight w:val="none"/>
                      <w:vertAlign w:val="baseline"/>
                      <w:lang w:val="en-US" w:eastAsia="zh-CN"/>
                    </w:rPr>
                    <w:t>污水处理站出口</w:t>
                  </w:r>
                </w:p>
              </w:tc>
              <w:tc>
                <w:tcPr>
                  <w:tcW w:w="1964" w:type="pct"/>
                  <w:gridSpan w:val="5"/>
                  <w:noWrap w:val="0"/>
                  <w:vAlign w:val="center"/>
                </w:tcPr>
                <w:p w14:paraId="1DB0615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生产废水处理设施出口</w:t>
                  </w:r>
                </w:p>
              </w:tc>
            </w:tr>
            <w:tr w14:paraId="2E8F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continue"/>
                  <w:noWrap w:val="0"/>
                  <w:vAlign w:val="center"/>
                </w:tcPr>
                <w:p w14:paraId="63B4CEF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86" w:type="pct"/>
                  <w:noWrap w:val="0"/>
                  <w:vAlign w:val="center"/>
                </w:tcPr>
                <w:p w14:paraId="61BE3DC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2195" w:type="pct"/>
                  <w:gridSpan w:val="6"/>
                  <w:noWrap w:val="0"/>
                  <w:vAlign w:val="center"/>
                </w:tcPr>
                <w:p w14:paraId="1CEB74D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、SS、氨氮、总磷、动植物油</w:t>
                  </w:r>
                </w:p>
              </w:tc>
              <w:tc>
                <w:tcPr>
                  <w:tcW w:w="1964" w:type="pct"/>
                  <w:gridSpan w:val="5"/>
                  <w:noWrap w:val="0"/>
                  <w:vAlign w:val="center"/>
                </w:tcPr>
                <w:p w14:paraId="37F6700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pH、</w:t>
                  </w:r>
                  <w:r>
                    <w:rPr>
                      <w:rFonts w:hint="default" w:ascii="Times New Roman" w:hAnsi="Times New Roman" w:eastAsia="宋体" w:cs="Times New Roman"/>
                      <w:b w:val="0"/>
                      <w:bCs/>
                      <w:color w:val="auto"/>
                      <w:spacing w:val="-10"/>
                      <w:sz w:val="21"/>
                      <w:szCs w:val="21"/>
                      <w:highlight w:val="none"/>
                      <w:vertAlign w:val="baseline"/>
                      <w:lang w:val="en-US" w:eastAsia="zh-CN"/>
                    </w:rPr>
                    <w:t>COD、SS、</w:t>
                  </w:r>
                  <w:r>
                    <w:rPr>
                      <w:rFonts w:hint="eastAsia" w:ascii="Times New Roman" w:hAnsi="Times New Roman" w:eastAsia="宋体" w:cs="Times New Roman"/>
                      <w:i w:val="0"/>
                      <w:iCs w:val="0"/>
                      <w:color w:val="auto"/>
                      <w:kern w:val="0"/>
                      <w:sz w:val="21"/>
                      <w:szCs w:val="21"/>
                      <w:highlight w:val="none"/>
                      <w:u w:val="none"/>
                      <w:lang w:val="en-US" w:eastAsia="zh-CN" w:bidi="ar"/>
                    </w:rPr>
                    <w:t>氟化物</w:t>
                  </w:r>
                  <w:r>
                    <w:rPr>
                      <w:rFonts w:hint="eastAsia" w:ascii="Times New Roman" w:hAnsi="Times New Roman" w:eastAsia="宋体" w:cs="Times New Roman"/>
                      <w:color w:val="auto"/>
                      <w:sz w:val="21"/>
                      <w:szCs w:val="21"/>
                      <w:highlight w:val="none"/>
                      <w:lang w:val="en-US" w:eastAsia="zh-CN"/>
                    </w:rPr>
                    <w:t>（以F</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r>
                    <w:rPr>
                      <w:rFonts w:hint="eastAsia"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氯化物（以Cl</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r>
            <w:tr w14:paraId="7895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4" w:type="pct"/>
                  <w:vMerge w:val="continue"/>
                  <w:noWrap w:val="0"/>
                  <w:vAlign w:val="center"/>
                </w:tcPr>
                <w:p w14:paraId="1DB575A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86" w:type="pct"/>
                  <w:noWrap w:val="0"/>
                  <w:vAlign w:val="center"/>
                </w:tcPr>
                <w:p w14:paraId="0C4348C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4159" w:type="pct"/>
                  <w:gridSpan w:val="11"/>
                  <w:noWrap w:val="0"/>
                  <w:vAlign w:val="center"/>
                </w:tcPr>
                <w:p w14:paraId="2A90D90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验收时监测一次，后根据国家相关技术规范进行</w:t>
                  </w:r>
                </w:p>
              </w:tc>
            </w:tr>
          </w:tbl>
          <w:p w14:paraId="71BAB16B">
            <w:pPr>
              <w:tabs>
                <w:tab w:val="left" w:pos="5300"/>
              </w:tabs>
              <w:adjustRightInd w:val="0"/>
              <w:snapToGrid w:val="0"/>
              <w:spacing w:line="360" w:lineRule="auto"/>
              <w:ind w:firstLine="482" w:firstLineChars="200"/>
              <w:rPr>
                <w:rFonts w:hint="eastAsia" w:ascii="宋体" w:hAnsi="宋体" w:cs="宋体"/>
                <w:b/>
                <w:bCs w:val="0"/>
                <w:color w:val="auto"/>
                <w:sz w:val="24"/>
                <w:highlight w:val="none"/>
                <w:lang w:bidi="ar"/>
              </w:rPr>
            </w:pPr>
            <w:r>
              <w:rPr>
                <w:rFonts w:hint="eastAsia"/>
                <w:b/>
                <w:bCs w:val="0"/>
                <w:color w:val="auto"/>
                <w:sz w:val="24"/>
                <w:highlight w:val="none"/>
                <w:lang w:bidi="ar"/>
              </w:rPr>
              <w:t>（</w:t>
            </w:r>
            <w:r>
              <w:rPr>
                <w:rFonts w:hint="eastAsia"/>
                <w:b/>
                <w:bCs w:val="0"/>
                <w:color w:val="auto"/>
                <w:sz w:val="24"/>
                <w:highlight w:val="none"/>
                <w:lang w:val="en-US" w:eastAsia="zh-CN" w:bidi="ar"/>
              </w:rPr>
              <w:t>3</w:t>
            </w:r>
            <w:r>
              <w:rPr>
                <w:rFonts w:hint="eastAsia"/>
                <w:b/>
                <w:bCs w:val="0"/>
                <w:color w:val="auto"/>
                <w:sz w:val="24"/>
                <w:highlight w:val="none"/>
                <w:lang w:bidi="ar"/>
              </w:rPr>
              <w:t>）</w:t>
            </w:r>
            <w:r>
              <w:rPr>
                <w:rFonts w:hint="eastAsia"/>
                <w:b/>
                <w:bCs w:val="0"/>
                <w:color w:val="auto"/>
                <w:sz w:val="24"/>
                <w:highlight w:val="none"/>
                <w:lang w:eastAsia="zh-CN" w:bidi="ar"/>
              </w:rPr>
              <w:t>废</w:t>
            </w:r>
            <w:r>
              <w:rPr>
                <w:b/>
                <w:bCs w:val="0"/>
                <w:color w:val="auto"/>
                <w:sz w:val="24"/>
                <w:highlight w:val="none"/>
                <w:lang w:bidi="ar"/>
              </w:rPr>
              <w:t>水</w:t>
            </w:r>
            <w:r>
              <w:rPr>
                <w:rFonts w:hint="eastAsia"/>
                <w:b/>
                <w:bCs w:val="0"/>
                <w:color w:val="auto"/>
                <w:sz w:val="24"/>
                <w:highlight w:val="none"/>
                <w:lang w:bidi="ar"/>
              </w:rPr>
              <w:t>处理</w:t>
            </w:r>
            <w:r>
              <w:rPr>
                <w:rFonts w:hint="eastAsia"/>
                <w:b/>
                <w:bCs w:val="0"/>
                <w:color w:val="auto"/>
                <w:sz w:val="24"/>
                <w:highlight w:val="none"/>
                <w:lang w:eastAsia="zh-CN" w:bidi="ar"/>
              </w:rPr>
              <w:t>措施及可行性分析</w:t>
            </w:r>
          </w:p>
          <w:p w14:paraId="1CCFFA0A">
            <w:pPr>
              <w:widowControl/>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eastAsia"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eastAsia" w:ascii="Times New Roman" w:hAnsi="Times New Roman" w:eastAsia="宋体" w:cs="Times New Roman"/>
                <w:b/>
                <w:bCs/>
                <w:color w:val="auto"/>
                <w:sz w:val="24"/>
                <w:highlight w:val="none"/>
                <w:lang w:val="zh-CN"/>
              </w:rPr>
              <w:t>生产废水</w:t>
            </w:r>
          </w:p>
          <w:p w14:paraId="73CF5060">
            <w:pPr>
              <w:adjustRightInd w:val="0"/>
              <w:snapToGrid w:val="0"/>
              <w:spacing w:line="360" w:lineRule="auto"/>
              <w:ind w:firstLine="480" w:firstLineChars="200"/>
              <w:rPr>
                <w:rFonts w:hint="eastAsia"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①处理规模可行性分析</w:t>
            </w:r>
          </w:p>
          <w:p w14:paraId="2168905F">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bidi="ar"/>
              </w:rPr>
              <w:t>本项目生产废水一个月更换一次，总产生量为69.6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bidi="ar"/>
              </w:rPr>
              <w:t>弱酸清洗废液</w:t>
            </w:r>
            <w:r>
              <w:rPr>
                <w:rFonts w:hint="default" w:ascii="Times New Roman" w:hAnsi="Times New Roman" w:cs="Times New Roman"/>
                <w:color w:val="auto"/>
                <w:sz w:val="24"/>
                <w:szCs w:val="24"/>
                <w:highlight w:val="none"/>
              </w:rPr>
              <w:t>产生量为</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次</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14.4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eastAsia="宋体" w:cs="Times New Roman"/>
                <w:color w:val="auto"/>
                <w:sz w:val="24"/>
                <w:szCs w:val="24"/>
                <w:highlight w:val="none"/>
                <w:lang w:val="en-US" w:eastAsia="zh-CN" w:bidi="ar"/>
              </w:rPr>
              <w:t>；</w:t>
            </w:r>
            <w:r>
              <w:rPr>
                <w:rFonts w:hint="eastAsia" w:ascii="Times New Roman" w:hAnsi="Times New Roman" w:eastAsia="宋体" w:cs="Times New Roman"/>
                <w:color w:val="auto"/>
                <w:sz w:val="24"/>
                <w:szCs w:val="24"/>
                <w:highlight w:val="none"/>
                <w:lang w:val="en-US" w:eastAsia="zh-CN" w:bidi="ar"/>
              </w:rPr>
              <w:t>预水洗废水</w:t>
            </w:r>
            <w:r>
              <w:rPr>
                <w:rFonts w:hint="default" w:ascii="Times New Roman" w:hAnsi="Times New Roman" w:cs="Times New Roman"/>
                <w:color w:val="auto"/>
                <w:sz w:val="24"/>
                <w:szCs w:val="24"/>
                <w:highlight w:val="none"/>
              </w:rPr>
              <w:t>产生量为</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次</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14.4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eastAsia="宋体" w:cs="Times New Roman"/>
                <w:color w:val="auto"/>
                <w:sz w:val="24"/>
                <w:szCs w:val="24"/>
                <w:highlight w:val="none"/>
                <w:lang w:val="en-US" w:eastAsia="zh-CN" w:bidi="ar"/>
              </w:rPr>
              <w:t>；第一次</w:t>
            </w:r>
            <w:r>
              <w:rPr>
                <w:rFonts w:hint="eastAsia" w:ascii="Times New Roman" w:hAnsi="Times New Roman" w:eastAsia="宋体" w:cs="Times New Roman"/>
                <w:color w:val="auto"/>
                <w:sz w:val="24"/>
                <w:szCs w:val="24"/>
                <w:highlight w:val="none"/>
                <w:lang w:val="en-US" w:eastAsia="zh-CN" w:bidi="ar"/>
              </w:rPr>
              <w:t>清洗废水</w:t>
            </w:r>
            <w:r>
              <w:rPr>
                <w:rFonts w:hint="default" w:ascii="Times New Roman" w:hAnsi="Times New Roman" w:cs="Times New Roman"/>
                <w:color w:val="auto"/>
                <w:sz w:val="24"/>
                <w:szCs w:val="24"/>
                <w:highlight w:val="none"/>
              </w:rPr>
              <w:t>产生量为</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次</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14.4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eastAsia="宋体" w:cs="Times New Roman"/>
                <w:color w:val="auto"/>
                <w:sz w:val="24"/>
                <w:szCs w:val="24"/>
                <w:highlight w:val="none"/>
                <w:lang w:val="en-US" w:eastAsia="zh-CN" w:bidi="ar"/>
              </w:rPr>
              <w:t>；第二次清洗废水产生量为</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次</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14.4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eastAsia="宋体" w:cs="Times New Roman"/>
                <w:color w:val="auto"/>
                <w:sz w:val="24"/>
                <w:szCs w:val="24"/>
                <w:highlight w:val="none"/>
                <w:lang w:val="en-US" w:eastAsia="zh-CN" w:bidi="ar"/>
              </w:rPr>
              <w:t>；</w:t>
            </w:r>
            <w:r>
              <w:rPr>
                <w:rFonts w:hint="eastAsia" w:ascii="Times New Roman" w:hAnsi="Times New Roman" w:eastAsia="宋体" w:cs="Times New Roman"/>
                <w:color w:val="auto"/>
                <w:sz w:val="24"/>
                <w:szCs w:val="24"/>
                <w:highlight w:val="none"/>
                <w:lang w:val="en-US" w:eastAsia="zh-CN" w:bidi="ar"/>
              </w:rPr>
              <w:t>碱液喷淋洗涤废水</w:t>
            </w:r>
            <w:r>
              <w:rPr>
                <w:rFonts w:hint="eastAsia" w:eastAsia="宋体" w:cs="Times New Roman"/>
                <w:color w:val="auto"/>
                <w:sz w:val="24"/>
                <w:szCs w:val="24"/>
                <w:highlight w:val="none"/>
                <w:lang w:val="en-US" w:eastAsia="zh-CN" w:bidi="ar"/>
              </w:rPr>
              <w:t>产生量为</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次</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cs="Times New Roman"/>
                <w:color w:val="auto"/>
                <w:sz w:val="24"/>
                <w:szCs w:val="24"/>
                <w:highlight w:val="none"/>
                <w:lang w:eastAsia="zh-CN"/>
              </w:rPr>
              <w:t>。</w:t>
            </w:r>
          </w:p>
          <w:p w14:paraId="72051128">
            <w:pPr>
              <w:adjustRightInd w:val="0"/>
              <w:snapToGrid w:val="0"/>
              <w:spacing w:line="360" w:lineRule="auto"/>
              <w:ind w:firstLine="480" w:firstLineChars="200"/>
              <w:rPr>
                <w:rFonts w:hint="eastAsia"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本项目所有生产废水均为间歇性排水，水量波动较大。因此，本项目设置一个容积为15m</w:t>
            </w:r>
            <w:r>
              <w:rPr>
                <w:rFonts w:hint="eastAsia" w:eastAsia="宋体" w:cs="Times New Roman"/>
                <w:color w:val="auto"/>
                <w:sz w:val="24"/>
                <w:szCs w:val="24"/>
                <w:highlight w:val="none"/>
                <w:vertAlign w:val="superscript"/>
                <w:lang w:val="en-US" w:eastAsia="zh-CN" w:bidi="ar"/>
              </w:rPr>
              <w:t>3</w:t>
            </w:r>
            <w:r>
              <w:rPr>
                <w:rFonts w:hint="eastAsia" w:eastAsia="宋体" w:cs="Times New Roman"/>
                <w:color w:val="auto"/>
                <w:sz w:val="24"/>
                <w:szCs w:val="24"/>
                <w:highlight w:val="none"/>
                <w:lang w:val="en-US" w:eastAsia="zh-CN" w:bidi="ar"/>
              </w:rPr>
              <w:t>的调节池，通过调节池可以有效调节水质水量，具有均衡均质的作用。生产过程产生的废水经厂区内污水管道进入调节池，进行水质与水量的调节。因项目废水呈酸性，同时，污水的后续反应要求废水为弱碱性，通过向废水中投加生石灰，以调节水质，便于</w:t>
            </w:r>
            <w:r>
              <w:rPr>
                <w:rFonts w:hint="eastAsia" w:cs="Times New Roman"/>
                <w:color w:val="auto"/>
                <w:sz w:val="24"/>
                <w:szCs w:val="24"/>
                <w:highlight w:val="none"/>
                <w:lang w:val="en-US" w:eastAsia="zh-CN" w:bidi="ar"/>
              </w:rPr>
              <w:t>生产废水</w:t>
            </w:r>
            <w:r>
              <w:rPr>
                <w:rFonts w:hint="eastAsia" w:eastAsia="宋体" w:cs="Times New Roman"/>
                <w:color w:val="auto"/>
                <w:sz w:val="24"/>
                <w:szCs w:val="24"/>
                <w:highlight w:val="none"/>
                <w:lang w:val="en-US" w:eastAsia="zh-CN" w:bidi="ar"/>
              </w:rPr>
              <w:t>处理</w:t>
            </w:r>
            <w:r>
              <w:rPr>
                <w:rFonts w:hint="eastAsia" w:cs="Times New Roman"/>
                <w:color w:val="auto"/>
                <w:sz w:val="24"/>
                <w:szCs w:val="24"/>
                <w:highlight w:val="none"/>
                <w:lang w:val="en-US" w:eastAsia="zh-CN" w:bidi="ar"/>
              </w:rPr>
              <w:t>设施</w:t>
            </w:r>
            <w:r>
              <w:rPr>
                <w:rFonts w:hint="eastAsia" w:eastAsia="宋体" w:cs="Times New Roman"/>
                <w:color w:val="auto"/>
                <w:sz w:val="24"/>
                <w:szCs w:val="24"/>
                <w:highlight w:val="none"/>
                <w:lang w:val="en-US" w:eastAsia="zh-CN" w:bidi="ar"/>
              </w:rPr>
              <w:t>的稳定运行。</w:t>
            </w:r>
          </w:p>
          <w:p w14:paraId="74357DF9">
            <w:pPr>
              <w:pStyle w:val="5"/>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根据工程分析，</w:t>
            </w:r>
            <w:r>
              <w:rPr>
                <w:rFonts w:hint="eastAsia" w:cs="Times New Roman"/>
                <w:color w:val="auto"/>
                <w:sz w:val="24"/>
                <w:szCs w:val="24"/>
                <w:highlight w:val="none"/>
                <w:lang w:eastAsia="zh-CN"/>
              </w:rPr>
              <w:t>本</w:t>
            </w:r>
            <w:r>
              <w:rPr>
                <w:rFonts w:hint="default" w:ascii="Times New Roman" w:hAnsi="Times New Roman" w:cs="Times New Roman"/>
                <w:color w:val="auto"/>
                <w:sz w:val="24"/>
                <w:szCs w:val="24"/>
                <w:highlight w:val="none"/>
              </w:rPr>
              <w:t>项目</w:t>
            </w:r>
            <w:r>
              <w:rPr>
                <w:rFonts w:hint="eastAsia" w:cs="Times New Roman"/>
                <w:color w:val="auto"/>
                <w:sz w:val="24"/>
                <w:szCs w:val="24"/>
                <w:highlight w:val="none"/>
                <w:lang w:eastAsia="zh-CN"/>
              </w:rPr>
              <w:t>生产废水</w:t>
            </w:r>
            <w:r>
              <w:rPr>
                <w:rFonts w:hint="default" w:ascii="Times New Roman" w:hAnsi="Times New Roman" w:cs="Times New Roman"/>
                <w:color w:val="auto"/>
                <w:sz w:val="24"/>
                <w:szCs w:val="24"/>
                <w:highlight w:val="none"/>
              </w:rPr>
              <w:t>产生</w:t>
            </w:r>
            <w:r>
              <w:rPr>
                <w:rFonts w:hint="eastAsia" w:cs="Times New Roman"/>
                <w:color w:val="auto"/>
                <w:sz w:val="24"/>
                <w:szCs w:val="24"/>
                <w:highlight w:val="none"/>
                <w:lang w:eastAsia="zh-CN"/>
              </w:rPr>
              <w:t>量为</w:t>
            </w:r>
            <w:r>
              <w:rPr>
                <w:rFonts w:hint="eastAsia" w:cs="Times New Roman"/>
                <w:color w:val="auto"/>
                <w:sz w:val="24"/>
                <w:szCs w:val="24"/>
                <w:highlight w:val="none"/>
                <w:lang w:val="en-US" w:eastAsia="zh-CN"/>
              </w:rPr>
              <w:t>5.8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次</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69.6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cs="Times New Roman"/>
                <w:color w:val="auto"/>
                <w:sz w:val="24"/>
                <w:szCs w:val="24"/>
                <w:highlight w:val="none"/>
                <w:lang w:eastAsia="zh-CN"/>
              </w:rPr>
              <w:t>，</w:t>
            </w:r>
            <w:r>
              <w:rPr>
                <w:rFonts w:hint="eastAsia" w:eastAsia="宋体" w:cs="Times New Roman"/>
                <w:color w:val="auto"/>
                <w:sz w:val="24"/>
                <w:szCs w:val="24"/>
                <w:highlight w:val="none"/>
                <w:lang w:val="en-US" w:eastAsia="zh-CN" w:bidi="ar"/>
              </w:rPr>
              <w:t>项目设置一个容积为15m</w:t>
            </w:r>
            <w:r>
              <w:rPr>
                <w:rFonts w:hint="eastAsia" w:eastAsia="宋体" w:cs="Times New Roman"/>
                <w:color w:val="auto"/>
                <w:sz w:val="24"/>
                <w:szCs w:val="24"/>
                <w:highlight w:val="none"/>
                <w:vertAlign w:val="superscript"/>
                <w:lang w:val="en-US" w:eastAsia="zh-CN" w:bidi="ar"/>
              </w:rPr>
              <w:t>3</w:t>
            </w:r>
            <w:r>
              <w:rPr>
                <w:rFonts w:hint="eastAsia" w:eastAsia="宋体" w:cs="Times New Roman"/>
                <w:color w:val="auto"/>
                <w:sz w:val="24"/>
                <w:szCs w:val="24"/>
                <w:highlight w:val="none"/>
                <w:lang w:val="en-US" w:eastAsia="zh-CN" w:bidi="ar"/>
              </w:rPr>
              <w:t>的调节池</w:t>
            </w:r>
            <w:r>
              <w:rPr>
                <w:rFonts w:hint="default" w:ascii="Times New Roman" w:hAnsi="Times New Roman" w:cs="Times New Roman"/>
                <w:color w:val="auto"/>
                <w:sz w:val="24"/>
                <w:szCs w:val="24"/>
                <w:highlight w:val="none"/>
              </w:rPr>
              <w:t>，可保证间断产生的废水得到有效的收集和暂存。</w:t>
            </w:r>
            <w:r>
              <w:rPr>
                <w:rFonts w:hint="eastAsia" w:cs="Times New Roman"/>
                <w:color w:val="auto"/>
                <w:sz w:val="24"/>
                <w:szCs w:val="24"/>
                <w:highlight w:val="none"/>
                <w:lang w:eastAsia="zh-CN"/>
              </w:rPr>
              <w:t>同时，</w:t>
            </w:r>
            <w:r>
              <w:rPr>
                <w:rFonts w:hint="default" w:ascii="Times New Roman" w:hAnsi="Times New Roman" w:cs="Times New Roman"/>
                <w:color w:val="auto"/>
                <w:sz w:val="24"/>
                <w:szCs w:val="24"/>
                <w:highlight w:val="none"/>
              </w:rPr>
              <w:t>项目设置的生产废水处理设备处理能力为2m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/d，600m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/a，可保证项目区产生的</w:t>
            </w:r>
            <w:r>
              <w:rPr>
                <w:rFonts w:hint="eastAsia" w:cs="Times New Roman"/>
                <w:color w:val="auto"/>
                <w:sz w:val="24"/>
                <w:szCs w:val="24"/>
                <w:highlight w:val="none"/>
                <w:lang w:eastAsia="zh-CN"/>
              </w:rPr>
              <w:t>所有</w:t>
            </w:r>
            <w:r>
              <w:rPr>
                <w:rFonts w:hint="default" w:ascii="Times New Roman" w:hAnsi="Times New Roman" w:cs="Times New Roman"/>
                <w:color w:val="auto"/>
                <w:sz w:val="24"/>
                <w:szCs w:val="24"/>
                <w:highlight w:val="none"/>
              </w:rPr>
              <w:t>废水得到有效的治理</w:t>
            </w:r>
            <w:r>
              <w:rPr>
                <w:rFonts w:hint="eastAsia" w:cs="Times New Roman"/>
                <w:color w:val="auto"/>
                <w:sz w:val="24"/>
                <w:szCs w:val="24"/>
                <w:highlight w:val="none"/>
                <w:lang w:eastAsia="zh-CN"/>
              </w:rPr>
              <w:t>。综上，本</w:t>
            </w:r>
            <w:r>
              <w:rPr>
                <w:rFonts w:hint="default" w:ascii="Times New Roman" w:hAnsi="Times New Roman" w:cs="Times New Roman"/>
                <w:color w:val="auto"/>
                <w:sz w:val="24"/>
                <w:szCs w:val="24"/>
                <w:highlight w:val="none"/>
              </w:rPr>
              <w:t>项目设置</w:t>
            </w:r>
            <w:r>
              <w:rPr>
                <w:rFonts w:hint="eastAsia" w:cs="Times New Roman"/>
                <w:color w:val="auto"/>
                <w:sz w:val="24"/>
                <w:szCs w:val="24"/>
                <w:highlight w:val="none"/>
                <w:lang w:eastAsia="zh-CN"/>
              </w:rPr>
              <w:t>的调节池和</w:t>
            </w:r>
            <w:r>
              <w:rPr>
                <w:rFonts w:hint="default" w:ascii="Times New Roman" w:hAnsi="Times New Roman" w:cs="Times New Roman"/>
                <w:color w:val="auto"/>
                <w:sz w:val="24"/>
                <w:szCs w:val="24"/>
                <w:highlight w:val="none"/>
              </w:rPr>
              <w:t>处理规模为2m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/d的生产废水处理设备合理可行。</w:t>
            </w:r>
          </w:p>
          <w:p w14:paraId="70F77CF9">
            <w:pPr>
              <w:adjustRightInd w:val="0"/>
              <w:snapToGrid w:val="0"/>
              <w:spacing w:line="360" w:lineRule="auto"/>
              <w:ind w:firstLine="480" w:firstLineChars="200"/>
              <w:rPr>
                <w:rFonts w:hint="default" w:eastAsia="宋体" w:cs="Times New Roman"/>
                <w:color w:val="auto"/>
                <w:sz w:val="24"/>
                <w:szCs w:val="24"/>
                <w:highlight w:val="none"/>
                <w:lang w:val="en-US" w:eastAsia="zh-CN" w:bidi="ar"/>
              </w:rPr>
            </w:pPr>
            <w:r>
              <w:rPr>
                <w:rFonts w:hint="default" w:eastAsia="宋体" w:cs="Times New Roman"/>
                <w:color w:val="auto"/>
                <w:sz w:val="24"/>
                <w:szCs w:val="24"/>
                <w:highlight w:val="none"/>
                <w:lang w:val="en-US" w:eastAsia="zh-CN" w:bidi="ar"/>
              </w:rPr>
              <w:t>②处理工艺的可行性分析</w:t>
            </w:r>
          </w:p>
          <w:p w14:paraId="1C1273FC">
            <w:pPr>
              <w:adjustRightInd w:val="0"/>
              <w:snapToGrid w:val="0"/>
              <w:spacing w:line="360" w:lineRule="auto"/>
              <w:ind w:firstLine="480" w:firstLineChars="200"/>
              <w:rPr>
                <w:rFonts w:hint="default"/>
                <w:color w:val="auto"/>
                <w:highlight w:val="none"/>
                <w:lang w:val="en-US" w:eastAsia="zh-CN"/>
              </w:rPr>
            </w:pPr>
            <w:r>
              <w:rPr>
                <w:rFonts w:hint="eastAsia" w:eastAsia="宋体" w:cs="Times New Roman"/>
                <w:color w:val="auto"/>
                <w:sz w:val="24"/>
                <w:szCs w:val="24"/>
                <w:highlight w:val="none"/>
                <w:lang w:val="en-US" w:eastAsia="zh-CN" w:bidi="ar"/>
              </w:rPr>
              <w:t>本项目生产废水处理采用“调节池+混凝沉淀+过滤”处理工艺，处理能力为2m</w:t>
            </w:r>
            <w:r>
              <w:rPr>
                <w:rFonts w:hint="eastAsia" w:eastAsia="宋体" w:cs="Times New Roman"/>
                <w:color w:val="auto"/>
                <w:sz w:val="24"/>
                <w:szCs w:val="24"/>
                <w:highlight w:val="none"/>
                <w:vertAlign w:val="superscript"/>
                <w:lang w:val="en-US" w:eastAsia="zh-CN" w:bidi="ar"/>
              </w:rPr>
              <w:t>3</w:t>
            </w:r>
            <w:r>
              <w:rPr>
                <w:rFonts w:hint="eastAsia" w:eastAsia="宋体" w:cs="Times New Roman"/>
                <w:color w:val="auto"/>
                <w:sz w:val="24"/>
                <w:szCs w:val="24"/>
                <w:highlight w:val="none"/>
                <w:lang w:val="en-US" w:eastAsia="zh-CN" w:bidi="ar"/>
              </w:rPr>
              <w:t>/d。废水经生产废水处理设施处理达</w:t>
            </w:r>
            <w:r>
              <w:rPr>
                <w:rFonts w:hint="default" w:eastAsia="宋体" w:cs="Times New Roman"/>
                <w:color w:val="auto"/>
                <w:sz w:val="24"/>
                <w:szCs w:val="24"/>
                <w:highlight w:val="none"/>
                <w:lang w:val="en-US" w:eastAsia="zh-CN" w:bidi="ar"/>
              </w:rPr>
              <w:t>《城市污水再生利用工业用水水质》（GB/T19923-2005）中洗涤用水标准要求</w:t>
            </w:r>
            <w:r>
              <w:rPr>
                <w:rFonts w:hint="eastAsia" w:eastAsia="宋体" w:cs="Times New Roman"/>
                <w:color w:val="auto"/>
                <w:sz w:val="24"/>
                <w:szCs w:val="24"/>
                <w:highlight w:val="none"/>
                <w:lang w:val="en-US" w:eastAsia="zh-CN" w:bidi="ar"/>
              </w:rPr>
              <w:t>后</w:t>
            </w:r>
            <w:r>
              <w:rPr>
                <w:rFonts w:hint="default" w:eastAsia="宋体" w:cs="Times New Roman"/>
                <w:color w:val="auto"/>
                <w:sz w:val="24"/>
                <w:szCs w:val="24"/>
                <w:highlight w:val="none"/>
                <w:lang w:val="en-US" w:eastAsia="zh-CN" w:bidi="ar"/>
              </w:rPr>
              <w:t>回用于</w:t>
            </w:r>
            <w:r>
              <w:rPr>
                <w:rFonts w:hint="eastAsia" w:eastAsia="宋体" w:cs="Times New Roman"/>
                <w:color w:val="auto"/>
                <w:sz w:val="24"/>
                <w:szCs w:val="24"/>
                <w:highlight w:val="none"/>
                <w:lang w:val="en-US" w:eastAsia="zh-CN" w:bidi="ar"/>
              </w:rPr>
              <w:t>水洗补水，不外排</w:t>
            </w:r>
            <w:r>
              <w:rPr>
                <w:rFonts w:hint="default" w:eastAsia="宋体" w:cs="Times New Roman"/>
                <w:color w:val="auto"/>
                <w:sz w:val="24"/>
                <w:szCs w:val="24"/>
                <w:highlight w:val="none"/>
                <w:lang w:val="en-US" w:eastAsia="zh-CN" w:bidi="ar"/>
              </w:rPr>
              <w:t>。</w:t>
            </w:r>
            <w:r>
              <w:rPr>
                <w:rFonts w:hint="eastAsia" w:eastAsia="宋体" w:cs="Times New Roman"/>
                <w:color w:val="auto"/>
                <w:sz w:val="24"/>
                <w:szCs w:val="24"/>
                <w:highlight w:val="none"/>
                <w:lang w:val="en-US" w:eastAsia="zh-CN" w:bidi="ar"/>
              </w:rPr>
              <w:t>生产废水处理工艺见下图：</w:t>
            </w:r>
          </w:p>
          <w:p w14:paraId="649DE236">
            <w:pPr>
              <w:pStyle w:val="23"/>
              <w:adjustRightInd w:val="0"/>
              <w:spacing w:after="0" w:line="360" w:lineRule="auto"/>
              <w:ind w:left="0" w:leftChars="0" w:firstLine="0" w:firstLineChars="0"/>
              <w:jc w:val="center"/>
              <w:rPr>
                <w:rFonts w:hint="eastAsia" w:eastAsia="宋体" w:cs="Times New Roman"/>
                <w:color w:val="auto"/>
                <w:sz w:val="24"/>
                <w:szCs w:val="24"/>
                <w:highlight w:val="none"/>
                <w:lang w:eastAsia="zh-CN"/>
              </w:rPr>
            </w:pPr>
            <w:r>
              <w:rPr>
                <w:rFonts w:hint="eastAsia" w:eastAsia="宋体" w:cs="Times New Roman"/>
                <w:color w:val="auto"/>
                <w:sz w:val="24"/>
                <w:szCs w:val="24"/>
                <w:highlight w:val="none"/>
                <w:lang w:eastAsia="zh-CN"/>
              </w:rPr>
              <w:object>
                <v:shape id="_x0000_i1034" o:spt="75" type="#_x0000_t75" style="height:107.15pt;width:362.65pt;" o:ole="t" filled="f" o:preferrelative="t" stroked="f" coordsize="21600,21600">
                  <v:path/>
                  <v:fill on="f" focussize="0,0"/>
                  <v:stroke on="f"/>
                  <v:imagedata r:id="rId29" o:title=""/>
                  <o:lock v:ext="edit" aspectratio="f"/>
                  <w10:wrap type="none"/>
                  <w10:anchorlock/>
                </v:shape>
                <o:OLEObject Type="Embed" ProgID="Visio.Drawing.15" ShapeID="_x0000_i1034" DrawAspect="Content" ObjectID="_1468075734" r:id="rId28">
                  <o:LockedField>false</o:LockedField>
                </o:OLEObject>
              </w:object>
            </w:r>
          </w:p>
          <w:p w14:paraId="4026DAF2">
            <w:pPr>
              <w:pStyle w:val="23"/>
              <w:adjustRightInd w:val="0"/>
              <w:spacing w:after="0" w:line="360" w:lineRule="auto"/>
              <w:ind w:left="0" w:leftChars="0" w:firstLine="0" w:firstLineChars="0"/>
              <w:jc w:val="center"/>
              <w:rPr>
                <w:rFonts w:hint="default"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eastAsia="zh-CN"/>
              </w:rPr>
              <w:t>图</w:t>
            </w:r>
            <w:r>
              <w:rPr>
                <w:rFonts w:hint="eastAsia" w:eastAsia="宋体" w:cs="Times New Roman"/>
                <w:b/>
                <w:bCs/>
                <w:color w:val="auto"/>
                <w:sz w:val="21"/>
                <w:szCs w:val="21"/>
                <w:highlight w:val="none"/>
                <w:lang w:val="en-US" w:eastAsia="zh-CN"/>
              </w:rPr>
              <w:t>4-1  生产废水处理工艺流程图</w:t>
            </w:r>
          </w:p>
          <w:p w14:paraId="4E81CD7C">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具体流程为：生产废水</w:t>
            </w:r>
            <w:r>
              <w:rPr>
                <w:rFonts w:hint="eastAsia" w:cs="Times New Roman"/>
                <w:color w:val="auto"/>
                <w:sz w:val="24"/>
                <w:highlight w:val="none"/>
                <w:lang w:eastAsia="zh-CN"/>
              </w:rPr>
              <w:t>统一收集</w:t>
            </w:r>
            <w:r>
              <w:rPr>
                <w:rFonts w:hint="default" w:ascii="Times New Roman" w:hAnsi="Times New Roman" w:cs="Times New Roman"/>
                <w:color w:val="auto"/>
                <w:sz w:val="24"/>
                <w:highlight w:val="none"/>
              </w:rPr>
              <w:t>进入调节池</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加入生石灰进行中和调节（调节酸性废水</w:t>
            </w:r>
            <w:r>
              <w:rPr>
                <w:rFonts w:hint="eastAsia" w:cs="Times New Roman"/>
                <w:color w:val="auto"/>
                <w:sz w:val="24"/>
                <w:szCs w:val="24"/>
                <w:highlight w:val="none"/>
                <w:lang w:val="en-US" w:eastAsia="zh-CN"/>
              </w:rPr>
              <w:t>pH值为中性</w:t>
            </w:r>
            <w:r>
              <w:rPr>
                <w:rFonts w:hint="eastAsia" w:cs="Times New Roman"/>
                <w:color w:val="auto"/>
                <w:sz w:val="24"/>
                <w:szCs w:val="24"/>
                <w:highlight w:val="none"/>
                <w:lang w:eastAsia="zh-CN"/>
              </w:rPr>
              <w:t>），并去除硫酸根离子和氟离子（生成硫酸钙和氟化钙沉淀物）。</w:t>
            </w:r>
            <w:r>
              <w:rPr>
                <w:rFonts w:hint="default" w:ascii="Times New Roman" w:hAnsi="Times New Roman" w:cs="Times New Roman"/>
                <w:color w:val="auto"/>
                <w:sz w:val="24"/>
                <w:highlight w:val="none"/>
              </w:rPr>
              <w:t>调节池的目的是调节污水的水量和水质，使废水水质均化。调节池出水进入</w:t>
            </w:r>
            <w:r>
              <w:rPr>
                <w:rFonts w:hint="eastAsia" w:cs="Times New Roman"/>
                <w:color w:val="auto"/>
                <w:sz w:val="24"/>
                <w:highlight w:val="none"/>
                <w:lang w:eastAsia="zh-CN"/>
              </w:rPr>
              <w:t>混凝沉淀系统</w:t>
            </w:r>
            <w:r>
              <w:rPr>
                <w:rFonts w:hint="default" w:ascii="Times New Roman" w:hAnsi="Times New Roman" w:cs="Times New Roman"/>
                <w:color w:val="auto"/>
                <w:sz w:val="24"/>
                <w:highlight w:val="none"/>
              </w:rPr>
              <w:t>，通过</w:t>
            </w:r>
            <w:r>
              <w:rPr>
                <w:rFonts w:hint="eastAsia" w:cs="Times New Roman"/>
                <w:color w:val="auto"/>
                <w:sz w:val="24"/>
                <w:highlight w:val="none"/>
                <w:lang w:eastAsia="zh-CN"/>
              </w:rPr>
              <w:t>投加絮凝剂（</w:t>
            </w:r>
            <w:r>
              <w:rPr>
                <w:rFonts w:hint="eastAsia" w:cs="Times New Roman"/>
                <w:color w:val="auto"/>
                <w:sz w:val="24"/>
                <w:highlight w:val="none"/>
                <w:lang w:val="en-US" w:eastAsia="zh-CN"/>
              </w:rPr>
              <w:t>P</w:t>
            </w:r>
            <w:r>
              <w:rPr>
                <w:rFonts w:hint="default" w:ascii="Times New Roman" w:hAnsi="Times New Roman" w:cs="Times New Roman"/>
                <w:color w:val="auto"/>
                <w:sz w:val="24"/>
                <w:highlight w:val="none"/>
              </w:rPr>
              <w:t>AC和PAM</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，废水中的悬浮物凝聚成团，生成大的絮状物沉淀，从而去除</w:t>
            </w:r>
            <w:r>
              <w:rPr>
                <w:rFonts w:hint="eastAsia" w:cs="Times New Roman"/>
                <w:color w:val="auto"/>
                <w:sz w:val="24"/>
                <w:highlight w:val="none"/>
                <w:lang w:val="en-US" w:eastAsia="zh-CN"/>
              </w:rPr>
              <w:t>SS及部分COD</w:t>
            </w:r>
            <w:r>
              <w:rPr>
                <w:rFonts w:hint="default" w:ascii="Times New Roman" w:hAnsi="Times New Roman" w:cs="Times New Roman"/>
                <w:color w:val="auto"/>
                <w:sz w:val="24"/>
                <w:highlight w:val="none"/>
              </w:rPr>
              <w:t>。出水再经石英砂过滤及活性炭过滤</w:t>
            </w:r>
            <w:r>
              <w:rPr>
                <w:rFonts w:hint="eastAsia" w:cs="Times New Roman"/>
                <w:color w:val="auto"/>
                <w:sz w:val="24"/>
                <w:highlight w:val="none"/>
                <w:lang w:eastAsia="zh-CN"/>
              </w:rPr>
              <w:t>后</w:t>
            </w:r>
            <w:r>
              <w:rPr>
                <w:rFonts w:hint="default" w:ascii="Times New Roman" w:hAnsi="Times New Roman" w:cs="Times New Roman"/>
                <w:color w:val="auto"/>
                <w:sz w:val="24"/>
                <w:highlight w:val="none"/>
              </w:rPr>
              <w:t>达标</w:t>
            </w:r>
            <w:r>
              <w:rPr>
                <w:rFonts w:hint="eastAsia" w:cs="Times New Roman"/>
                <w:color w:val="auto"/>
                <w:sz w:val="24"/>
                <w:highlight w:val="none"/>
                <w:lang w:eastAsia="zh-CN"/>
              </w:rPr>
              <w:t>回用</w:t>
            </w:r>
            <w:r>
              <w:rPr>
                <w:rFonts w:hint="default" w:ascii="Times New Roman" w:hAnsi="Times New Roman" w:cs="Times New Roman"/>
                <w:color w:val="auto"/>
                <w:sz w:val="24"/>
                <w:highlight w:val="none"/>
              </w:rPr>
              <w:t>。</w:t>
            </w:r>
          </w:p>
          <w:p w14:paraId="7854DFAA">
            <w:pPr>
              <w:adjustRightInd w:val="0"/>
              <w:snapToGrid w:val="0"/>
              <w:spacing w:line="360" w:lineRule="auto"/>
              <w:ind w:firstLine="480" w:firstLineChars="200"/>
              <w:rPr>
                <w:rFonts w:hint="default"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《石灰沉淀法除氟的应用》（李雪玲、刘俊峰、李培元  水处理技术 第26卷 第2期）中指出含氟废水沉淀剂石灰为碱性物质，为控制pH值在一定的范围之内，必须限值石灰的加入量，要使出水氟降到排放标准以下，又必须保证钙离子有一定甚至很大的过剩量，为解决这一矛盾可采取石灰和可溶性钙盐（如CaCl</w:t>
            </w:r>
            <w:r>
              <w:rPr>
                <w:rFonts w:hint="eastAsia" w:eastAsia="宋体" w:cs="Times New Roman"/>
                <w:color w:val="auto"/>
                <w:sz w:val="24"/>
                <w:szCs w:val="24"/>
                <w:highlight w:val="none"/>
                <w:vertAlign w:val="subscript"/>
                <w:lang w:val="en-US" w:eastAsia="zh-CN" w:bidi="ar"/>
              </w:rPr>
              <w:t>2</w:t>
            </w:r>
            <w:r>
              <w:rPr>
                <w:rFonts w:hint="eastAsia" w:eastAsia="宋体" w:cs="Times New Roman"/>
                <w:color w:val="auto"/>
                <w:sz w:val="24"/>
                <w:szCs w:val="24"/>
                <w:highlight w:val="none"/>
                <w:lang w:val="en-US" w:eastAsia="zh-CN" w:bidi="ar"/>
              </w:rPr>
              <w:t>等）联合处理法。本项目生产废水中含氯离子，可以达到提高钙离子的浓度的作用，提高除氟效率。</w:t>
            </w:r>
          </w:p>
          <w:p w14:paraId="5AC77B1F">
            <w:pPr>
              <w:adjustRightInd w:val="0"/>
              <w:snapToGrid w:val="0"/>
              <w:spacing w:line="360" w:lineRule="auto"/>
              <w:ind w:firstLine="480" w:firstLineChars="200"/>
              <w:rPr>
                <w:rFonts w:hint="eastAsia"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A、调节池</w:t>
            </w:r>
          </w:p>
          <w:p w14:paraId="477DDD3F">
            <w:pPr>
              <w:adjustRightInd w:val="0"/>
              <w:snapToGrid w:val="0"/>
              <w:spacing w:line="360" w:lineRule="auto"/>
              <w:ind w:firstLine="480" w:firstLineChars="200"/>
              <w:rPr>
                <w:rFonts w:hint="default"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由于本项目废水特点为间歇性排水，水量波动较大。因此，通过调节池可以有效调节水质水量，具有均衡均质的作用。生产过程产生的废水经厂区内污水管道进入调节池，进行水质与水量的调节，因项目废水呈酸性，同时，污水的后续反应要求废水为弱碱性，通过向废水中投加生石灰，以调节水质，便于</w:t>
            </w:r>
            <w:r>
              <w:rPr>
                <w:rFonts w:hint="eastAsia" w:cs="Times New Roman"/>
                <w:color w:val="auto"/>
                <w:sz w:val="24"/>
                <w:szCs w:val="24"/>
                <w:highlight w:val="none"/>
                <w:lang w:val="en-US" w:eastAsia="zh-CN" w:bidi="ar"/>
              </w:rPr>
              <w:t>生产废水处理设施</w:t>
            </w:r>
            <w:r>
              <w:rPr>
                <w:rFonts w:hint="eastAsia" w:eastAsia="宋体" w:cs="Times New Roman"/>
                <w:color w:val="auto"/>
                <w:sz w:val="24"/>
                <w:szCs w:val="24"/>
                <w:highlight w:val="none"/>
                <w:lang w:val="en-US" w:eastAsia="zh-CN" w:bidi="ar"/>
              </w:rPr>
              <w:t>的稳定运行。本项目调节pH采用生石灰，主要是通过生石灰与废水中的</w:t>
            </w:r>
            <w:r>
              <w:rPr>
                <w:rFonts w:hint="eastAsia" w:cs="Times New Roman"/>
                <w:color w:val="auto"/>
                <w:sz w:val="24"/>
                <w:szCs w:val="24"/>
                <w:highlight w:val="none"/>
                <w:lang w:eastAsia="zh-CN"/>
              </w:rPr>
              <w:t>硫酸根离子和氟离子</w:t>
            </w:r>
            <w:r>
              <w:rPr>
                <w:rFonts w:hint="eastAsia" w:eastAsia="宋体" w:cs="Times New Roman"/>
                <w:color w:val="auto"/>
                <w:sz w:val="24"/>
                <w:szCs w:val="24"/>
                <w:highlight w:val="none"/>
                <w:lang w:val="en-US" w:eastAsia="zh-CN" w:bidi="ar"/>
              </w:rPr>
              <w:t>发生反应，生成硫酸钙和氟化钙沉淀物，可去除水质的</w:t>
            </w:r>
            <w:r>
              <w:rPr>
                <w:rFonts w:hint="eastAsia" w:cs="Times New Roman"/>
                <w:color w:val="auto"/>
                <w:sz w:val="24"/>
                <w:szCs w:val="24"/>
                <w:highlight w:val="none"/>
                <w:lang w:eastAsia="zh-CN"/>
              </w:rPr>
              <w:t>硫酸根离子和氟离子</w:t>
            </w:r>
            <w:r>
              <w:rPr>
                <w:rFonts w:hint="eastAsia" w:eastAsia="宋体" w:cs="Times New Roman"/>
                <w:color w:val="auto"/>
                <w:sz w:val="24"/>
                <w:szCs w:val="24"/>
                <w:highlight w:val="none"/>
                <w:lang w:val="en-US" w:eastAsia="zh-CN" w:bidi="ar"/>
              </w:rPr>
              <w:t>。此外，调节池应安装除泥装置，污泥进入污泥处理系统。</w:t>
            </w:r>
          </w:p>
          <w:p w14:paraId="179ECA15">
            <w:pPr>
              <w:adjustRightInd w:val="0"/>
              <w:snapToGrid w:val="0"/>
              <w:spacing w:line="360" w:lineRule="auto"/>
              <w:ind w:firstLine="480" w:firstLineChars="200"/>
              <w:rPr>
                <w:rFonts w:hint="eastAsia"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B、混凝沉淀</w:t>
            </w:r>
          </w:p>
          <w:p w14:paraId="4700A309">
            <w:pPr>
              <w:adjustRightInd w:val="0"/>
              <w:snapToGrid w:val="0"/>
              <w:spacing w:line="360" w:lineRule="auto"/>
              <w:ind w:firstLine="480" w:firstLineChars="200"/>
              <w:rPr>
                <w:rFonts w:hint="eastAsia"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本项目混凝沉淀采用混凝沉淀一体机，通过向水中添加絮凝剂（PAC、PAM），使水中难以沉淀的颗粒能互相聚合而形成胶体，然后与水中的杂质结合形成更大的絮凝体。絮凝体具有强大吸附力，不仅能吸附悬浮物，还能吸附部分细菌和溶解性物质。絮凝体通过吸附，体积增大而下沉。结合本项目具体情况废水中含有少量微小悬浮物、粉尘等污染物，通过混凝沉淀可有效去除废水中的悬浮物、粉尘等可溶解性污染物，污泥进入污泥处理系统。</w:t>
            </w:r>
          </w:p>
          <w:p w14:paraId="407D4A00">
            <w:pPr>
              <w:adjustRightInd w:val="0"/>
              <w:snapToGrid w:val="0"/>
              <w:spacing w:line="360" w:lineRule="auto"/>
              <w:ind w:firstLine="480" w:firstLineChars="200"/>
              <w:rPr>
                <w:rFonts w:hint="eastAsia"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C、石英砂过滤器</w:t>
            </w:r>
          </w:p>
          <w:p w14:paraId="582EA760">
            <w:pPr>
              <w:adjustRightInd w:val="0"/>
              <w:snapToGrid w:val="0"/>
              <w:spacing w:line="360" w:lineRule="auto"/>
              <w:ind w:firstLine="480" w:firstLineChars="200"/>
              <w:rPr>
                <w:rFonts w:hint="eastAsia"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它是利用石英砂作为过滤介质，在一定的压力下，把浊度较高的水通过一定厚度的粒状或非粒的石英砂过滤，有效的截留除去水中的悬浮物、有机物、胶质颗粒、微生物、氯、溴味及部分金属离子等，最终达到降低水浊度、净化水质效果的一种高效过滤设备。石英砂过滤是去除水中悬浮物最有效手段之一，是污水深度处理、污水回用和给水处理中重要的单元，其作用是将水中已经絮凝的污染物进一步去除，它通过滤料的截留、沉降和吸附作用，达到净水的目的。</w:t>
            </w:r>
          </w:p>
          <w:p w14:paraId="53ACD0F4">
            <w:pPr>
              <w:adjustRightInd w:val="0"/>
              <w:snapToGrid w:val="0"/>
              <w:spacing w:line="360" w:lineRule="auto"/>
              <w:ind w:firstLine="480" w:firstLineChars="200"/>
              <w:rPr>
                <w:rFonts w:hint="eastAsia"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D、活性炭过滤器</w:t>
            </w:r>
          </w:p>
          <w:p w14:paraId="696C7FF1">
            <w:pPr>
              <w:adjustRightInd w:val="0"/>
              <w:snapToGrid w:val="0"/>
              <w:spacing w:line="360" w:lineRule="auto"/>
              <w:ind w:firstLine="480" w:firstLineChars="200"/>
              <w:rPr>
                <w:rFonts w:hint="eastAsia" w:eastAsia="宋体" w:cs="Times New Roman"/>
                <w:color w:val="auto"/>
                <w:sz w:val="24"/>
                <w:szCs w:val="24"/>
                <w:highlight w:val="none"/>
                <w:lang w:val="en-US" w:eastAsia="zh-CN" w:bidi="ar"/>
              </w:rPr>
            </w:pPr>
            <w:r>
              <w:rPr>
                <w:rFonts w:hint="eastAsia" w:eastAsia="宋体" w:cs="Times New Roman"/>
                <w:color w:val="auto"/>
                <w:sz w:val="24"/>
                <w:szCs w:val="24"/>
                <w:highlight w:val="none"/>
                <w:lang w:val="en-US" w:eastAsia="zh-CN" w:bidi="ar"/>
              </w:rPr>
              <w:t>活性炭过滤可有效去除水中的异味、有机物、胶体等，降低水体中的浊度、色度，以达到净化水质的目的。</w:t>
            </w:r>
          </w:p>
          <w:p w14:paraId="25E96BEF">
            <w:pPr>
              <w:pStyle w:val="15"/>
              <w:adjustRightInd w:val="0"/>
              <w:snapToGrid w:val="0"/>
              <w:spacing w:line="360" w:lineRule="auto"/>
              <w:ind w:firstLine="480" w:firstLineChars="200"/>
              <w:rPr>
                <w:rFonts w:hint="default" w:ascii="Times New Roman" w:hAnsi="Times New Roman" w:cs="Times New Roman"/>
                <w:color w:val="auto"/>
                <w:sz w:val="24"/>
                <w:szCs w:val="24"/>
                <w:highlight w:val="none"/>
                <w:lang w:bidi="en-US"/>
              </w:rPr>
            </w:pPr>
            <w:r>
              <w:rPr>
                <w:rFonts w:hint="default" w:ascii="Times New Roman" w:hAnsi="Times New Roman" w:eastAsia="宋体" w:cs="Times New Roman"/>
                <w:color w:val="auto"/>
                <w:sz w:val="24"/>
                <w:szCs w:val="24"/>
                <w:highlight w:val="none"/>
                <w:lang w:val="zh-CN"/>
              </w:rPr>
              <w:t>该处理工艺属于</w:t>
            </w:r>
            <w:r>
              <w:rPr>
                <w:rFonts w:hint="eastAsia" w:cs="Times New Roman"/>
                <w:b w:val="0"/>
                <w:bCs w:val="0"/>
                <w:color w:val="auto"/>
                <w:kern w:val="2"/>
                <w:sz w:val="24"/>
                <w:szCs w:val="24"/>
                <w:highlight w:val="none"/>
                <w:lang w:val="en-US" w:eastAsia="zh-CN" w:bidi="ar-SA"/>
              </w:rPr>
              <w:t>《排污许可证申请与核发技术规范 玻璃工业—平板玻璃》（(HJ856—2017 2017-09-12实施）</w:t>
            </w:r>
            <w:r>
              <w:rPr>
                <w:rFonts w:hint="default" w:ascii="Times New Roman" w:hAnsi="Times New Roman" w:eastAsia="宋体" w:cs="Times New Roman"/>
                <w:color w:val="auto"/>
                <w:sz w:val="24"/>
                <w:highlight w:val="none"/>
                <w:lang w:val="en-US" w:eastAsia="zh-CN"/>
              </w:rPr>
              <w:t>表</w:t>
            </w:r>
            <w:r>
              <w:rPr>
                <w:rFonts w:hint="eastAsia" w:ascii="Times New Roman" w:hAnsi="Times New Roman" w:cs="Times New Roman"/>
                <w:color w:val="auto"/>
                <w:sz w:val="24"/>
                <w:highlight w:val="none"/>
                <w:lang w:val="en-US" w:eastAsia="zh-CN"/>
              </w:rPr>
              <w:t>7 平板玻璃工业废水</w:t>
            </w:r>
            <w:r>
              <w:rPr>
                <w:rFonts w:hint="default" w:ascii="Times New Roman" w:hAnsi="Times New Roman" w:eastAsia="宋体" w:cs="Times New Roman"/>
                <w:color w:val="auto"/>
                <w:sz w:val="24"/>
                <w:highlight w:val="none"/>
                <w:lang w:val="en-US" w:eastAsia="zh-CN"/>
              </w:rPr>
              <w:t>污染防治可行技术中的可行技术</w:t>
            </w:r>
            <w:r>
              <w:rPr>
                <w:rFonts w:hint="default"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zh-CN"/>
              </w:rPr>
              <w:t>因此，本项目生产废水处理工艺可行。</w:t>
            </w:r>
          </w:p>
          <w:p w14:paraId="44A73122">
            <w:pPr>
              <w:adjustRightInd w:val="0"/>
              <w:snapToGrid w:val="0"/>
              <w:spacing w:line="360" w:lineRule="auto"/>
              <w:ind w:firstLine="480" w:firstLineChars="200"/>
              <w:rPr>
                <w:rFonts w:hint="default" w:eastAsia="宋体" w:cs="Times New Roman"/>
                <w:color w:val="auto"/>
                <w:sz w:val="24"/>
                <w:szCs w:val="24"/>
                <w:highlight w:val="none"/>
                <w:lang w:val="en-US" w:eastAsia="zh-CN" w:bidi="ar"/>
              </w:rPr>
            </w:pPr>
            <w:r>
              <w:rPr>
                <w:rFonts w:hint="default" w:eastAsia="宋体" w:cs="Times New Roman"/>
                <w:color w:val="auto"/>
                <w:sz w:val="24"/>
                <w:szCs w:val="24"/>
                <w:highlight w:val="none"/>
                <w:lang w:val="en-US" w:eastAsia="zh-CN" w:bidi="ar"/>
              </w:rPr>
              <w:t>③达标</w:t>
            </w:r>
            <w:r>
              <w:rPr>
                <w:rFonts w:hint="eastAsia" w:eastAsia="宋体" w:cs="Times New Roman"/>
                <w:color w:val="auto"/>
                <w:sz w:val="24"/>
                <w:szCs w:val="24"/>
                <w:highlight w:val="none"/>
                <w:lang w:val="en-US" w:eastAsia="zh-CN" w:bidi="ar"/>
              </w:rPr>
              <w:t>回用</w:t>
            </w:r>
            <w:r>
              <w:rPr>
                <w:rFonts w:hint="default" w:eastAsia="宋体" w:cs="Times New Roman"/>
                <w:color w:val="auto"/>
                <w:sz w:val="24"/>
                <w:szCs w:val="24"/>
                <w:highlight w:val="none"/>
                <w:lang w:val="en-US" w:eastAsia="zh-CN" w:bidi="ar"/>
              </w:rPr>
              <w:t>可行性分析</w:t>
            </w:r>
          </w:p>
          <w:p w14:paraId="0012AF22">
            <w:pPr>
              <w:adjustRightInd w:val="0"/>
              <w:snapToGrid w:val="0"/>
              <w:spacing w:line="360" w:lineRule="auto"/>
              <w:ind w:firstLine="480" w:firstLineChars="200"/>
              <w:rPr>
                <w:rFonts w:hint="default" w:eastAsia="宋体" w:cs="Times New Roman"/>
                <w:color w:val="auto"/>
                <w:sz w:val="24"/>
                <w:szCs w:val="24"/>
                <w:highlight w:val="none"/>
                <w:lang w:val="en-US" w:eastAsia="zh-CN" w:bidi="ar"/>
              </w:rPr>
            </w:pPr>
            <w:r>
              <w:rPr>
                <w:rFonts w:hint="default" w:eastAsia="宋体" w:cs="Times New Roman"/>
                <w:color w:val="auto"/>
                <w:sz w:val="24"/>
                <w:szCs w:val="24"/>
                <w:highlight w:val="none"/>
                <w:lang w:val="en-US" w:eastAsia="zh-CN" w:bidi="ar"/>
              </w:rPr>
              <w:t>本项目</w:t>
            </w:r>
            <w:r>
              <w:rPr>
                <w:rFonts w:hint="eastAsia" w:eastAsia="宋体" w:cs="Times New Roman"/>
                <w:color w:val="auto"/>
                <w:sz w:val="24"/>
                <w:szCs w:val="24"/>
                <w:highlight w:val="none"/>
                <w:lang w:val="en-US" w:eastAsia="zh-CN" w:bidi="ar"/>
              </w:rPr>
              <w:t>生产废</w:t>
            </w:r>
            <w:r>
              <w:rPr>
                <w:rFonts w:hint="default" w:eastAsia="宋体" w:cs="Times New Roman"/>
                <w:color w:val="auto"/>
                <w:sz w:val="24"/>
                <w:szCs w:val="24"/>
                <w:highlight w:val="none"/>
                <w:lang w:val="en-US" w:eastAsia="zh-CN" w:bidi="ar"/>
              </w:rPr>
              <w:t>水处理站处理效率见下表</w:t>
            </w:r>
          </w:p>
          <w:p w14:paraId="195C5BED">
            <w:pPr>
              <w:pStyle w:val="24"/>
              <w:jc w:val="center"/>
              <w:rPr>
                <w:rFonts w:hint="default" w:ascii="Times New Roman" w:hAnsi="Times New Roman" w:eastAsia="宋体" w:cs="Times New Roman"/>
                <w:b/>
                <w:bCs/>
                <w:color w:val="auto"/>
                <w:szCs w:val="21"/>
                <w:highlight w:val="none"/>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-1</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w:t>
            </w:r>
            <w:r>
              <w:rPr>
                <w:rFonts w:hint="eastAsia" w:cs="Times New Roman"/>
                <w:b/>
                <w:bCs/>
                <w:color w:val="auto"/>
                <w:sz w:val="21"/>
                <w:szCs w:val="21"/>
                <w:highlight w:val="none"/>
                <w:lang w:eastAsia="zh-CN"/>
              </w:rPr>
              <w:t>本</w:t>
            </w:r>
            <w:r>
              <w:rPr>
                <w:rFonts w:hint="default" w:ascii="Times New Roman" w:hAnsi="Times New Roman" w:cs="Times New Roman"/>
                <w:b/>
                <w:bCs/>
                <w:color w:val="auto"/>
                <w:sz w:val="21"/>
                <w:szCs w:val="21"/>
                <w:highlight w:val="none"/>
              </w:rPr>
              <w:t>项目生产废水处理站处理效率一览表  mg/L</w:t>
            </w:r>
          </w:p>
          <w:tbl>
            <w:tblPr>
              <w:tblStyle w:val="25"/>
              <w:tblW w:w="4961"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767"/>
              <w:gridCol w:w="834"/>
              <w:gridCol w:w="873"/>
              <w:gridCol w:w="780"/>
              <w:gridCol w:w="2940"/>
              <w:gridCol w:w="685"/>
            </w:tblGrid>
            <w:tr w14:paraId="335539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74" w:type="pct"/>
                  <w:tcBorders>
                    <w:tl2br w:val="nil"/>
                    <w:tr2bl w:val="nil"/>
                  </w:tcBorders>
                  <w:vAlign w:val="center"/>
                </w:tcPr>
                <w:p w14:paraId="7C310600">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1060" w:type="pct"/>
                  <w:tcBorders>
                    <w:tl2br w:val="nil"/>
                    <w:tr2bl w:val="nil"/>
                  </w:tcBorders>
                  <w:vAlign w:val="center"/>
                </w:tcPr>
                <w:p w14:paraId="42F371F8">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500" w:type="pct"/>
                  <w:tcBorders>
                    <w:tl2br w:val="nil"/>
                    <w:tr2bl w:val="nil"/>
                  </w:tcBorders>
                  <w:vAlign w:val="center"/>
                </w:tcPr>
                <w:p w14:paraId="344418A0">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产生浓度</w:t>
                  </w:r>
                </w:p>
              </w:tc>
              <w:tc>
                <w:tcPr>
                  <w:tcW w:w="523" w:type="pct"/>
                  <w:tcBorders>
                    <w:tl2br w:val="nil"/>
                    <w:tr2bl w:val="nil"/>
                  </w:tcBorders>
                  <w:vAlign w:val="center"/>
                </w:tcPr>
                <w:p w14:paraId="062FF39A">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处理方式</w:t>
                  </w:r>
                </w:p>
              </w:tc>
              <w:tc>
                <w:tcPr>
                  <w:tcW w:w="467" w:type="pct"/>
                  <w:tcBorders>
                    <w:tl2br w:val="nil"/>
                    <w:tr2bl w:val="nil"/>
                  </w:tcBorders>
                  <w:vAlign w:val="center"/>
                </w:tcPr>
                <w:p w14:paraId="60E729CA">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处理后</w:t>
                  </w:r>
                  <w:r>
                    <w:rPr>
                      <w:rFonts w:hint="default" w:ascii="Times New Roman" w:hAnsi="Times New Roman" w:eastAsia="宋体" w:cs="Times New Roman"/>
                      <w:b/>
                      <w:bCs/>
                      <w:color w:val="auto"/>
                      <w:szCs w:val="21"/>
                      <w:highlight w:val="none"/>
                    </w:rPr>
                    <w:t>浓度</w:t>
                  </w:r>
                </w:p>
              </w:tc>
              <w:tc>
                <w:tcPr>
                  <w:tcW w:w="1763" w:type="pct"/>
                  <w:tcBorders>
                    <w:tl2br w:val="nil"/>
                    <w:tr2bl w:val="nil"/>
                  </w:tcBorders>
                  <w:vAlign w:val="center"/>
                </w:tcPr>
                <w:p w14:paraId="292BFC4F">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《城市污水再生利用 工业用水水质》（GB/T 19923-2005）中的洗涤用水标准</w:t>
                  </w:r>
                </w:p>
              </w:tc>
              <w:tc>
                <w:tcPr>
                  <w:tcW w:w="410" w:type="pct"/>
                  <w:tcBorders>
                    <w:tl2br w:val="nil"/>
                    <w:tr2bl w:val="nil"/>
                  </w:tcBorders>
                  <w:vAlign w:val="center"/>
                </w:tcPr>
                <w:p w14:paraId="1BABA07E">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达标情况</w:t>
                  </w:r>
                </w:p>
              </w:tc>
            </w:tr>
            <w:tr w14:paraId="50E8DEF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74" w:type="pct"/>
                  <w:vMerge w:val="restart"/>
                  <w:tcBorders>
                    <w:tl2br w:val="nil"/>
                    <w:tr2bl w:val="nil"/>
                  </w:tcBorders>
                  <w:vAlign w:val="center"/>
                </w:tcPr>
                <w:p w14:paraId="0BE78D23">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生产废水</w:t>
                  </w:r>
                </w:p>
              </w:tc>
              <w:tc>
                <w:tcPr>
                  <w:tcW w:w="1060" w:type="pct"/>
                  <w:tcBorders>
                    <w:tl2br w:val="nil"/>
                    <w:tr2bl w:val="nil"/>
                  </w:tcBorders>
                  <w:vAlign w:val="center"/>
                </w:tcPr>
                <w:p w14:paraId="6106C5A7">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500" w:type="pct"/>
                  <w:tcBorders>
                    <w:tl2br w:val="nil"/>
                    <w:tr2bl w:val="nil"/>
                  </w:tcBorders>
                  <w:vAlign w:val="center"/>
                </w:tcPr>
                <w:p w14:paraId="55A303C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523" w:type="pct"/>
                  <w:vMerge w:val="restart"/>
                  <w:tcBorders>
                    <w:tl2br w:val="nil"/>
                    <w:tr2bl w:val="nil"/>
                  </w:tcBorders>
                  <w:vAlign w:val="center"/>
                </w:tcPr>
                <w:p w14:paraId="22CBADCA">
                  <w:pPr>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调节池+</w:t>
                  </w:r>
                  <w:r>
                    <w:rPr>
                      <w:rFonts w:hint="eastAsia" w:eastAsia="宋体" w:cs="Times New Roman"/>
                      <w:color w:val="auto"/>
                      <w:kern w:val="0"/>
                      <w:sz w:val="21"/>
                      <w:szCs w:val="21"/>
                      <w:highlight w:val="none"/>
                      <w:lang w:val="en-US" w:eastAsia="zh-CN" w:bidi="ar"/>
                    </w:rPr>
                    <w:t>混凝</w:t>
                  </w:r>
                  <w:r>
                    <w:rPr>
                      <w:rFonts w:hint="default" w:ascii="Times New Roman" w:hAnsi="Times New Roman" w:eastAsia="宋体" w:cs="Times New Roman"/>
                      <w:color w:val="auto"/>
                      <w:kern w:val="0"/>
                      <w:sz w:val="21"/>
                      <w:szCs w:val="21"/>
                      <w:highlight w:val="none"/>
                      <w:lang w:val="en-US" w:eastAsia="zh-CN" w:bidi="ar"/>
                    </w:rPr>
                    <w:t>沉淀+过滤</w:t>
                  </w:r>
                </w:p>
              </w:tc>
              <w:tc>
                <w:tcPr>
                  <w:tcW w:w="467" w:type="pct"/>
                  <w:tcBorders>
                    <w:tl2br w:val="nil"/>
                    <w:tr2bl w:val="nil"/>
                  </w:tcBorders>
                  <w:vAlign w:val="center"/>
                </w:tcPr>
                <w:p w14:paraId="391F6A54">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bidi="ar"/>
                    </w:rPr>
                  </w:pPr>
                  <w:r>
                    <w:rPr>
                      <w:rFonts w:hint="eastAsia" w:ascii="Times New Roman" w:hAnsi="Times New Roman" w:eastAsia="宋体" w:cs="Times New Roman"/>
                      <w:i w:val="0"/>
                      <w:iCs w:val="0"/>
                      <w:color w:val="auto"/>
                      <w:kern w:val="0"/>
                      <w:sz w:val="21"/>
                      <w:szCs w:val="21"/>
                      <w:highlight w:val="none"/>
                      <w:u w:val="none"/>
                      <w:lang w:val="en-US" w:eastAsia="zh-CN" w:bidi="ar"/>
                    </w:rPr>
                    <w:t>7.31</w:t>
                  </w:r>
                </w:p>
              </w:tc>
              <w:tc>
                <w:tcPr>
                  <w:tcW w:w="1763" w:type="pct"/>
                  <w:tcBorders>
                    <w:tl2br w:val="nil"/>
                    <w:tr2bl w:val="nil"/>
                  </w:tcBorders>
                  <w:vAlign w:val="center"/>
                </w:tcPr>
                <w:p w14:paraId="1D086944">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6.5-</w:t>
                  </w:r>
                  <w:r>
                    <w:rPr>
                      <w:rFonts w:hint="eastAsia" w:ascii="Times New Roman" w:hAnsi="Times New Roman" w:eastAsia="宋体" w:cs="Times New Roman"/>
                      <w:i w:val="0"/>
                      <w:iCs w:val="0"/>
                      <w:color w:val="auto"/>
                      <w:kern w:val="0"/>
                      <w:sz w:val="21"/>
                      <w:szCs w:val="21"/>
                      <w:highlight w:val="none"/>
                      <w:u w:val="none"/>
                      <w:lang w:val="en-US" w:eastAsia="zh-CN" w:bidi="ar"/>
                    </w:rPr>
                    <w:t>9.0</w:t>
                  </w:r>
                </w:p>
              </w:tc>
              <w:tc>
                <w:tcPr>
                  <w:tcW w:w="410" w:type="pct"/>
                  <w:tcBorders>
                    <w:tl2br w:val="nil"/>
                    <w:tr2bl w:val="nil"/>
                  </w:tcBorders>
                  <w:vAlign w:val="center"/>
                </w:tcPr>
                <w:p w14:paraId="28E0ECE1">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082678B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74" w:type="pct"/>
                  <w:vMerge w:val="continue"/>
                  <w:tcBorders>
                    <w:tl2br w:val="nil"/>
                    <w:tr2bl w:val="nil"/>
                  </w:tcBorders>
                  <w:vAlign w:val="center"/>
                </w:tcPr>
                <w:p w14:paraId="2AB15558">
                  <w:pPr>
                    <w:jc w:val="center"/>
                    <w:rPr>
                      <w:rFonts w:hint="default" w:ascii="Times New Roman" w:hAnsi="Times New Roman" w:eastAsia="宋体" w:cs="Times New Roman"/>
                      <w:color w:val="auto"/>
                      <w:szCs w:val="21"/>
                      <w:highlight w:val="none"/>
                    </w:rPr>
                  </w:pPr>
                </w:p>
              </w:tc>
              <w:tc>
                <w:tcPr>
                  <w:tcW w:w="1060" w:type="pct"/>
                  <w:tcBorders>
                    <w:tl2br w:val="nil"/>
                    <w:tr2bl w:val="nil"/>
                  </w:tcBorders>
                  <w:vAlign w:val="center"/>
                </w:tcPr>
                <w:p w14:paraId="38D5DF18">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500" w:type="pct"/>
                  <w:tcBorders>
                    <w:tl2br w:val="nil"/>
                    <w:tr2bl w:val="nil"/>
                  </w:tcBorders>
                  <w:vAlign w:val="center"/>
                </w:tcPr>
                <w:p w14:paraId="5496CD5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400</w:t>
                  </w:r>
                </w:p>
              </w:tc>
              <w:tc>
                <w:tcPr>
                  <w:tcW w:w="523" w:type="pct"/>
                  <w:vMerge w:val="continue"/>
                  <w:tcBorders>
                    <w:tl2br w:val="nil"/>
                    <w:tr2bl w:val="nil"/>
                  </w:tcBorders>
                  <w:vAlign w:val="center"/>
                </w:tcPr>
                <w:p w14:paraId="05B26FCC">
                  <w:pPr>
                    <w:jc w:val="center"/>
                    <w:rPr>
                      <w:rFonts w:hint="default" w:ascii="Times New Roman" w:hAnsi="Times New Roman" w:eastAsia="宋体" w:cs="Times New Roman"/>
                      <w:color w:val="auto"/>
                      <w:kern w:val="0"/>
                      <w:sz w:val="21"/>
                      <w:szCs w:val="21"/>
                      <w:highlight w:val="none"/>
                      <w:lang w:bidi="ar"/>
                    </w:rPr>
                  </w:pPr>
                </w:p>
              </w:tc>
              <w:tc>
                <w:tcPr>
                  <w:tcW w:w="467" w:type="pct"/>
                  <w:tcBorders>
                    <w:tl2br w:val="nil"/>
                    <w:tr2bl w:val="nil"/>
                  </w:tcBorders>
                  <w:vAlign w:val="center"/>
                </w:tcPr>
                <w:p w14:paraId="7F903E6E">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bidi="ar"/>
                    </w:rPr>
                  </w:pPr>
                  <w:r>
                    <w:rPr>
                      <w:rFonts w:hint="eastAsia" w:ascii="Times New Roman" w:hAnsi="Times New Roman" w:eastAsia="宋体" w:cs="Times New Roman"/>
                      <w:i w:val="0"/>
                      <w:iCs w:val="0"/>
                      <w:color w:val="auto"/>
                      <w:kern w:val="0"/>
                      <w:sz w:val="21"/>
                      <w:szCs w:val="21"/>
                      <w:highlight w:val="none"/>
                      <w:u w:val="none"/>
                      <w:lang w:val="en-US" w:eastAsia="zh-CN" w:bidi="ar"/>
                    </w:rPr>
                    <w:t>132</w:t>
                  </w:r>
                </w:p>
              </w:tc>
              <w:tc>
                <w:tcPr>
                  <w:tcW w:w="1763" w:type="pct"/>
                  <w:tcBorders>
                    <w:tl2br w:val="nil"/>
                    <w:tr2bl w:val="nil"/>
                  </w:tcBorders>
                  <w:vAlign w:val="center"/>
                </w:tcPr>
                <w:p w14:paraId="074C2C49">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10" w:type="pct"/>
                  <w:tcBorders>
                    <w:tl2br w:val="nil"/>
                    <w:tr2bl w:val="nil"/>
                  </w:tcBorders>
                  <w:vAlign w:val="center"/>
                </w:tcPr>
                <w:p w14:paraId="6EC31D77">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539F52D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74" w:type="pct"/>
                  <w:vMerge w:val="continue"/>
                  <w:tcBorders>
                    <w:tl2br w:val="nil"/>
                    <w:tr2bl w:val="nil"/>
                  </w:tcBorders>
                  <w:vAlign w:val="center"/>
                </w:tcPr>
                <w:p w14:paraId="0D8D9CF2">
                  <w:pPr>
                    <w:jc w:val="center"/>
                    <w:rPr>
                      <w:rFonts w:hint="default" w:ascii="Times New Roman" w:hAnsi="Times New Roman" w:eastAsia="宋体" w:cs="Times New Roman"/>
                      <w:color w:val="auto"/>
                      <w:szCs w:val="21"/>
                      <w:highlight w:val="none"/>
                    </w:rPr>
                  </w:pPr>
                </w:p>
              </w:tc>
              <w:tc>
                <w:tcPr>
                  <w:tcW w:w="1060" w:type="pct"/>
                  <w:tcBorders>
                    <w:tl2br w:val="nil"/>
                    <w:tr2bl w:val="nil"/>
                  </w:tcBorders>
                  <w:vAlign w:val="center"/>
                </w:tcPr>
                <w:p w14:paraId="6E0DA568">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500" w:type="pct"/>
                  <w:tcBorders>
                    <w:tl2br w:val="nil"/>
                    <w:tr2bl w:val="nil"/>
                  </w:tcBorders>
                  <w:vAlign w:val="center"/>
                </w:tcPr>
                <w:p w14:paraId="25DDA428">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523" w:type="pct"/>
                  <w:vMerge w:val="continue"/>
                  <w:tcBorders>
                    <w:tl2br w:val="nil"/>
                    <w:tr2bl w:val="nil"/>
                  </w:tcBorders>
                  <w:vAlign w:val="center"/>
                </w:tcPr>
                <w:p w14:paraId="553754A1">
                  <w:pPr>
                    <w:jc w:val="center"/>
                    <w:rPr>
                      <w:rFonts w:hint="default" w:ascii="Times New Roman" w:hAnsi="Times New Roman" w:eastAsia="宋体" w:cs="Times New Roman"/>
                      <w:color w:val="auto"/>
                      <w:kern w:val="0"/>
                      <w:szCs w:val="21"/>
                      <w:highlight w:val="none"/>
                      <w:lang w:bidi="ar"/>
                    </w:rPr>
                  </w:pPr>
                </w:p>
              </w:tc>
              <w:tc>
                <w:tcPr>
                  <w:tcW w:w="467" w:type="pct"/>
                  <w:tcBorders>
                    <w:tl2br w:val="nil"/>
                    <w:tr2bl w:val="nil"/>
                  </w:tcBorders>
                  <w:vAlign w:val="center"/>
                </w:tcPr>
                <w:p w14:paraId="36A0ED25">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bidi="ar"/>
                    </w:rPr>
                  </w:pPr>
                  <w:r>
                    <w:rPr>
                      <w:rFonts w:hint="eastAsia" w:ascii="Times New Roman" w:hAnsi="Times New Roman" w:eastAsia="宋体" w:cs="Times New Roman"/>
                      <w:i w:val="0"/>
                      <w:iCs w:val="0"/>
                      <w:color w:val="auto"/>
                      <w:kern w:val="0"/>
                      <w:sz w:val="21"/>
                      <w:szCs w:val="21"/>
                      <w:highlight w:val="none"/>
                      <w:u w:val="none"/>
                      <w:lang w:val="en-US" w:eastAsia="zh-CN" w:bidi="ar"/>
                    </w:rPr>
                    <w:t>29</w:t>
                  </w:r>
                </w:p>
              </w:tc>
              <w:tc>
                <w:tcPr>
                  <w:tcW w:w="1763" w:type="pct"/>
                  <w:tcBorders>
                    <w:tl2br w:val="nil"/>
                    <w:tr2bl w:val="nil"/>
                  </w:tcBorders>
                  <w:vAlign w:val="center"/>
                </w:tcPr>
                <w:p w14:paraId="78E64FB8">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410" w:type="pct"/>
                  <w:tcBorders>
                    <w:tl2br w:val="nil"/>
                    <w:tr2bl w:val="nil"/>
                  </w:tcBorders>
                  <w:vAlign w:val="center"/>
                </w:tcPr>
                <w:p w14:paraId="0A483591">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3402883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74" w:type="pct"/>
                  <w:vMerge w:val="continue"/>
                  <w:tcBorders>
                    <w:tl2br w:val="nil"/>
                    <w:tr2bl w:val="nil"/>
                  </w:tcBorders>
                  <w:vAlign w:val="center"/>
                </w:tcPr>
                <w:p w14:paraId="3243AFED">
                  <w:pPr>
                    <w:jc w:val="center"/>
                    <w:rPr>
                      <w:rFonts w:hint="default" w:ascii="Times New Roman" w:hAnsi="Times New Roman" w:eastAsia="宋体" w:cs="Times New Roman"/>
                      <w:color w:val="auto"/>
                      <w:szCs w:val="21"/>
                      <w:highlight w:val="none"/>
                    </w:rPr>
                  </w:pPr>
                </w:p>
              </w:tc>
              <w:tc>
                <w:tcPr>
                  <w:tcW w:w="1060" w:type="pct"/>
                  <w:tcBorders>
                    <w:tl2br w:val="nil"/>
                    <w:tr2bl w:val="nil"/>
                  </w:tcBorders>
                  <w:vAlign w:val="center"/>
                </w:tcPr>
                <w:p w14:paraId="1B9AB1B5">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氟化物</w:t>
                  </w:r>
                  <w:r>
                    <w:rPr>
                      <w:rFonts w:hint="eastAsia" w:ascii="Times New Roman" w:hAnsi="Times New Roman" w:eastAsia="宋体" w:cs="Times New Roman"/>
                      <w:color w:val="auto"/>
                      <w:sz w:val="21"/>
                      <w:szCs w:val="21"/>
                      <w:highlight w:val="none"/>
                      <w:lang w:val="en-US" w:eastAsia="zh-CN"/>
                    </w:rPr>
                    <w:t>（以F</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c>
                <w:tcPr>
                  <w:tcW w:w="500" w:type="pct"/>
                  <w:tcBorders>
                    <w:tl2br w:val="nil"/>
                    <w:tr2bl w:val="nil"/>
                  </w:tcBorders>
                  <w:vAlign w:val="center"/>
                </w:tcPr>
                <w:p w14:paraId="1CD12217">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523" w:type="pct"/>
                  <w:vMerge w:val="continue"/>
                  <w:tcBorders>
                    <w:tl2br w:val="nil"/>
                    <w:tr2bl w:val="nil"/>
                  </w:tcBorders>
                  <w:vAlign w:val="center"/>
                </w:tcPr>
                <w:p w14:paraId="0290E219">
                  <w:pPr>
                    <w:jc w:val="center"/>
                    <w:rPr>
                      <w:rFonts w:hint="default" w:ascii="Times New Roman" w:hAnsi="Times New Roman" w:eastAsia="宋体" w:cs="Times New Roman"/>
                      <w:color w:val="auto"/>
                      <w:kern w:val="0"/>
                      <w:szCs w:val="21"/>
                      <w:highlight w:val="none"/>
                      <w:lang w:bidi="ar"/>
                    </w:rPr>
                  </w:pPr>
                </w:p>
              </w:tc>
              <w:tc>
                <w:tcPr>
                  <w:tcW w:w="467" w:type="pct"/>
                  <w:tcBorders>
                    <w:tl2br w:val="nil"/>
                    <w:tr2bl w:val="nil"/>
                  </w:tcBorders>
                  <w:vAlign w:val="center"/>
                </w:tcPr>
                <w:p w14:paraId="21AF5D0D">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bidi="ar"/>
                    </w:rPr>
                  </w:pPr>
                  <w:r>
                    <w:rPr>
                      <w:rFonts w:hint="eastAsia" w:ascii="Times New Roman" w:hAnsi="Times New Roman" w:eastAsia="宋体" w:cs="Times New Roman"/>
                      <w:i w:val="0"/>
                      <w:iCs w:val="0"/>
                      <w:color w:val="auto"/>
                      <w:kern w:val="0"/>
                      <w:sz w:val="21"/>
                      <w:szCs w:val="21"/>
                      <w:highlight w:val="none"/>
                      <w:u w:val="none"/>
                      <w:lang w:val="en-US" w:eastAsia="zh-CN" w:bidi="ar"/>
                    </w:rPr>
                    <w:t>0.909</w:t>
                  </w:r>
                </w:p>
              </w:tc>
              <w:tc>
                <w:tcPr>
                  <w:tcW w:w="1763" w:type="pct"/>
                  <w:tcBorders>
                    <w:tl2br w:val="nil"/>
                    <w:tr2bl w:val="nil"/>
                  </w:tcBorders>
                  <w:vAlign w:val="center"/>
                </w:tcPr>
                <w:p w14:paraId="789140F6">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10" w:type="pct"/>
                  <w:tcBorders>
                    <w:tl2br w:val="nil"/>
                    <w:tr2bl w:val="nil"/>
                  </w:tcBorders>
                  <w:vAlign w:val="center"/>
                </w:tcPr>
                <w:p w14:paraId="213B0E64">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3214FCB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74" w:type="pct"/>
                  <w:vMerge w:val="continue"/>
                  <w:tcBorders>
                    <w:tl2br w:val="nil"/>
                    <w:tr2bl w:val="nil"/>
                  </w:tcBorders>
                  <w:vAlign w:val="center"/>
                </w:tcPr>
                <w:p w14:paraId="6B9F8773">
                  <w:pPr>
                    <w:jc w:val="center"/>
                    <w:rPr>
                      <w:rFonts w:hint="default" w:ascii="Times New Roman" w:hAnsi="Times New Roman" w:eastAsia="宋体" w:cs="Times New Roman"/>
                      <w:color w:val="auto"/>
                      <w:szCs w:val="21"/>
                      <w:highlight w:val="none"/>
                    </w:rPr>
                  </w:pPr>
                </w:p>
              </w:tc>
              <w:tc>
                <w:tcPr>
                  <w:tcW w:w="1060" w:type="pct"/>
                  <w:tcBorders>
                    <w:tl2br w:val="nil"/>
                    <w:tr2bl w:val="nil"/>
                  </w:tcBorders>
                  <w:vAlign w:val="center"/>
                </w:tcPr>
                <w:p w14:paraId="317E97AB">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 w:val="21"/>
                      <w:szCs w:val="21"/>
                      <w:highlight w:val="none"/>
                      <w:lang w:val="en-US" w:eastAsia="zh-CN"/>
                    </w:rPr>
                    <w:t>氯化物（以Cl</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c>
                <w:tcPr>
                  <w:tcW w:w="500" w:type="pct"/>
                  <w:tcBorders>
                    <w:tl2br w:val="nil"/>
                    <w:tr2bl w:val="nil"/>
                  </w:tcBorders>
                  <w:vAlign w:val="center"/>
                </w:tcPr>
                <w:p w14:paraId="24E10AFC">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493</w:t>
                  </w:r>
                </w:p>
              </w:tc>
              <w:tc>
                <w:tcPr>
                  <w:tcW w:w="523" w:type="pct"/>
                  <w:vMerge w:val="continue"/>
                  <w:tcBorders>
                    <w:tl2br w:val="nil"/>
                    <w:tr2bl w:val="nil"/>
                  </w:tcBorders>
                  <w:vAlign w:val="center"/>
                </w:tcPr>
                <w:p w14:paraId="3780BE83">
                  <w:pPr>
                    <w:jc w:val="center"/>
                    <w:rPr>
                      <w:rFonts w:hint="default" w:ascii="Times New Roman" w:hAnsi="Times New Roman" w:eastAsia="宋体" w:cs="Times New Roman"/>
                      <w:color w:val="auto"/>
                      <w:kern w:val="0"/>
                      <w:szCs w:val="21"/>
                      <w:highlight w:val="none"/>
                      <w:lang w:bidi="ar"/>
                    </w:rPr>
                  </w:pPr>
                </w:p>
              </w:tc>
              <w:tc>
                <w:tcPr>
                  <w:tcW w:w="467" w:type="pct"/>
                  <w:tcBorders>
                    <w:tl2br w:val="nil"/>
                    <w:tr2bl w:val="nil"/>
                  </w:tcBorders>
                  <w:vAlign w:val="center"/>
                </w:tcPr>
                <w:p w14:paraId="6E012629">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146</w:t>
                  </w:r>
                </w:p>
              </w:tc>
              <w:tc>
                <w:tcPr>
                  <w:tcW w:w="1763" w:type="pct"/>
                  <w:tcBorders>
                    <w:tl2br w:val="nil"/>
                    <w:tr2bl w:val="nil"/>
                  </w:tcBorders>
                  <w:vAlign w:val="center"/>
                </w:tcPr>
                <w:p w14:paraId="1E0621D0">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250</w:t>
                  </w:r>
                </w:p>
              </w:tc>
              <w:tc>
                <w:tcPr>
                  <w:tcW w:w="410" w:type="pct"/>
                  <w:tcBorders>
                    <w:tl2br w:val="nil"/>
                    <w:tr2bl w:val="nil"/>
                  </w:tcBorders>
                  <w:vAlign w:val="center"/>
                </w:tcPr>
                <w:p w14:paraId="00A72AAC">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bl>
          <w:p w14:paraId="6ACE4334">
            <w:pPr>
              <w:pStyle w:val="24"/>
              <w:jc w:val="center"/>
              <w:rPr>
                <w:rFonts w:hint="default" w:ascii="Times New Roman" w:hAnsi="Times New Roman" w:cs="Times New Roman"/>
                <w:b/>
                <w:bCs/>
                <w:color w:val="auto"/>
                <w:sz w:val="21"/>
                <w:szCs w:val="21"/>
                <w:highlight w:val="none"/>
              </w:rPr>
            </w:pPr>
          </w:p>
          <w:p w14:paraId="52C0D0B1">
            <w:pPr>
              <w:pStyle w:val="15"/>
              <w:adjustRightInd w:val="0"/>
              <w:snapToGrid w:val="0"/>
              <w:spacing w:line="360" w:lineRule="auto"/>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rPr>
              <w:t>由上表可知，本项</w:t>
            </w:r>
            <w:r>
              <w:rPr>
                <w:rFonts w:hint="eastAsia" w:ascii="Times New Roman" w:hAnsi="Times New Roman" w:cs="Times New Roman"/>
                <w:color w:val="auto"/>
                <w:sz w:val="24"/>
                <w:highlight w:val="none"/>
                <w:lang w:eastAsia="zh-CN"/>
              </w:rPr>
              <w:t>运营过程中产生的</w:t>
            </w:r>
            <w:r>
              <w:rPr>
                <w:rFonts w:hint="default" w:ascii="Times New Roman" w:hAnsi="Times New Roman" w:cs="Times New Roman"/>
                <w:color w:val="auto"/>
                <w:sz w:val="24"/>
                <w:highlight w:val="none"/>
              </w:rPr>
              <w:t>生产废水经生产废水处理设备处理后能满足《城市污水再生利用工业用水水质》（GB/T19923-2005）中洗涤用水标准要求</w:t>
            </w:r>
            <w:r>
              <w:rPr>
                <w:rFonts w:hint="default" w:ascii="Times New Roman" w:hAnsi="Times New Roman" w:cs="Times New Roman"/>
                <w:color w:val="auto"/>
                <w:sz w:val="24"/>
                <w:highlight w:val="none"/>
                <w:lang w:val="zh-CN"/>
              </w:rPr>
              <w:t>。</w:t>
            </w:r>
            <w:r>
              <w:rPr>
                <w:rFonts w:hint="eastAsia" w:ascii="Times New Roman" w:hAnsi="Times New Roman" w:cs="Times New Roman"/>
                <w:color w:val="auto"/>
                <w:sz w:val="24"/>
                <w:highlight w:val="none"/>
                <w:lang w:val="zh-CN"/>
              </w:rPr>
              <w:t>同时，本项目</w:t>
            </w:r>
            <w:r>
              <w:rPr>
                <w:rFonts w:hint="eastAsia" w:ascii="Times New Roman" w:hAnsi="Times New Roman" w:cs="Times New Roman"/>
                <w:snapToGrid w:val="0"/>
                <w:color w:val="auto"/>
                <w:sz w:val="24"/>
                <w:szCs w:val="24"/>
                <w:highlight w:val="none"/>
                <w:lang w:val="en-US" w:eastAsia="zh-CN"/>
              </w:rPr>
              <w:t>水洗过程年补</w:t>
            </w:r>
            <w:r>
              <w:rPr>
                <w:rFonts w:hint="default" w:ascii="Times New Roman" w:hAnsi="Times New Roman" w:eastAsia="宋体" w:cs="Times New Roman"/>
                <w:color w:val="auto"/>
                <w:sz w:val="24"/>
                <w:szCs w:val="24"/>
                <w:highlight w:val="none"/>
                <w:lang w:val="en-US" w:eastAsia="zh-CN"/>
              </w:rPr>
              <w:t>水量</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360</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大于</w:t>
            </w:r>
            <w:r>
              <w:rPr>
                <w:rFonts w:hint="eastAsia" w:ascii="Times New Roman" w:hAnsi="Times New Roman" w:eastAsia="宋体" w:cs="Times New Roman"/>
                <w:color w:val="auto"/>
                <w:sz w:val="24"/>
                <w:szCs w:val="24"/>
                <w:highlight w:val="none"/>
                <w:lang w:val="en-US" w:eastAsia="zh-CN"/>
              </w:rPr>
              <w:t>项目生产</w:t>
            </w:r>
            <w:r>
              <w:rPr>
                <w:rFonts w:hint="default" w:ascii="Times New Roman" w:hAnsi="Times New Roman" w:eastAsia="宋体"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产生量</w:t>
            </w:r>
            <w:r>
              <w:rPr>
                <w:rFonts w:hint="eastAsia" w:ascii="Times New Roman" w:hAnsi="Times New Roman" w:eastAsia="宋体" w:cs="Times New Roman"/>
                <w:color w:val="auto"/>
                <w:sz w:val="24"/>
                <w:szCs w:val="24"/>
                <w:highlight w:val="none"/>
                <w:lang w:val="en-US" w:eastAsia="zh-CN"/>
              </w:rPr>
              <w:t>（69.6m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完全能消纳</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cs="Times New Roman"/>
                <w:color w:val="auto"/>
                <w:sz w:val="24"/>
                <w:szCs w:val="24"/>
                <w:highlight w:val="none"/>
                <w:lang w:eastAsia="zh-CN"/>
              </w:rPr>
              <w:t>产生的生产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eastAsia="zh-CN"/>
              </w:rPr>
              <w:t>故项目运营期</w:t>
            </w:r>
            <w:r>
              <w:rPr>
                <w:rFonts w:hint="eastAsia" w:ascii="Times New Roman" w:hAnsi="Times New Roman"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val="en-US" w:eastAsia="zh-CN"/>
              </w:rPr>
              <w:t>废水经生产废水处理设施处理后</w:t>
            </w:r>
            <w:r>
              <w:rPr>
                <w:rFonts w:hint="default" w:ascii="Times New Roman" w:hAnsi="Times New Roman" w:eastAsia="宋体" w:cs="Times New Roman"/>
                <w:color w:val="auto"/>
                <w:sz w:val="24"/>
                <w:szCs w:val="24"/>
                <w:highlight w:val="none"/>
              </w:rPr>
              <w:t>全部</w:t>
            </w:r>
            <w:r>
              <w:rPr>
                <w:rFonts w:hint="default" w:ascii="Times New Roman" w:hAnsi="Times New Roman" w:eastAsia="宋体" w:cs="Times New Roman"/>
                <w:color w:val="auto"/>
                <w:sz w:val="24"/>
                <w:szCs w:val="24"/>
                <w:highlight w:val="none"/>
                <w:lang w:val="en-US" w:eastAsia="zh-CN"/>
              </w:rPr>
              <w:t>回用</w:t>
            </w:r>
            <w:r>
              <w:rPr>
                <w:rFonts w:hint="eastAsia" w:ascii="Times New Roman" w:hAnsi="Times New Roman" w:eastAsia="宋体" w:cs="Times New Roman"/>
                <w:color w:val="auto"/>
                <w:sz w:val="24"/>
                <w:szCs w:val="24"/>
                <w:highlight w:val="none"/>
                <w:lang w:val="en-US" w:eastAsia="zh-CN"/>
              </w:rPr>
              <w:t>于</w:t>
            </w:r>
            <w:r>
              <w:rPr>
                <w:rFonts w:hint="eastAsia" w:ascii="Times New Roman" w:hAnsi="Times New Roman" w:cs="Times New Roman"/>
                <w:color w:val="auto"/>
                <w:sz w:val="24"/>
                <w:szCs w:val="24"/>
                <w:highlight w:val="none"/>
                <w:lang w:val="en-US" w:eastAsia="zh-CN"/>
              </w:rPr>
              <w:t>水洗</w:t>
            </w:r>
            <w:r>
              <w:rPr>
                <w:rFonts w:hint="default" w:ascii="Times New Roman" w:hAnsi="Times New Roman" w:eastAsia="宋体" w:cs="Times New Roman"/>
                <w:color w:val="auto"/>
                <w:sz w:val="24"/>
                <w:szCs w:val="24"/>
                <w:highlight w:val="none"/>
                <w:lang w:val="en-US" w:eastAsia="zh-CN"/>
              </w:rPr>
              <w:t>补水</w:t>
            </w:r>
            <w:r>
              <w:rPr>
                <w:rFonts w:hint="default" w:ascii="Times New Roman" w:hAnsi="Times New Roman" w:eastAsia="宋体" w:cs="Times New Roman"/>
                <w:color w:val="auto"/>
                <w:sz w:val="24"/>
                <w:szCs w:val="24"/>
                <w:highlight w:val="none"/>
              </w:rPr>
              <w:t>是可行的。</w:t>
            </w:r>
          </w:p>
          <w:p w14:paraId="63065D6F">
            <w:pPr>
              <w:pStyle w:val="15"/>
              <w:adjustRightInd w:val="0"/>
              <w:snapToGrid w:val="0"/>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lang w:bidi="en-US"/>
              </w:rPr>
              <w:t>因此，本项目生产废水处理站设置合理，项目生产废水收集</w:t>
            </w:r>
            <w:r>
              <w:rPr>
                <w:rFonts w:hint="eastAsia" w:cs="Times New Roman"/>
                <w:color w:val="auto"/>
                <w:sz w:val="24"/>
                <w:szCs w:val="24"/>
                <w:highlight w:val="none"/>
                <w:lang w:eastAsia="zh-CN" w:bidi="en-US"/>
              </w:rPr>
              <w:t>设施</w:t>
            </w:r>
            <w:r>
              <w:rPr>
                <w:rFonts w:hint="default" w:ascii="Times New Roman" w:hAnsi="Times New Roman" w:cs="Times New Roman"/>
                <w:color w:val="auto"/>
                <w:sz w:val="24"/>
                <w:szCs w:val="24"/>
                <w:highlight w:val="none"/>
                <w:lang w:bidi="en-US"/>
              </w:rPr>
              <w:t>及生产废水处理</w:t>
            </w:r>
            <w:r>
              <w:rPr>
                <w:rFonts w:hint="eastAsia" w:cs="Times New Roman"/>
                <w:color w:val="auto"/>
                <w:sz w:val="24"/>
                <w:szCs w:val="24"/>
                <w:highlight w:val="none"/>
                <w:lang w:eastAsia="zh-CN" w:bidi="en-US"/>
              </w:rPr>
              <w:t>设施</w:t>
            </w:r>
            <w:r>
              <w:rPr>
                <w:rFonts w:hint="default" w:ascii="Times New Roman" w:hAnsi="Times New Roman" w:cs="Times New Roman"/>
                <w:color w:val="auto"/>
                <w:sz w:val="24"/>
                <w:szCs w:val="24"/>
                <w:highlight w:val="none"/>
                <w:lang w:bidi="en-US"/>
              </w:rPr>
              <w:t>可行。</w:t>
            </w:r>
          </w:p>
          <w:p w14:paraId="66766508">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highlight w:val="none"/>
                <w:lang w:val="zh-CN"/>
              </w:rPr>
              <w:t>生</w:t>
            </w:r>
            <w:r>
              <w:rPr>
                <w:rFonts w:hint="eastAsia" w:eastAsia="宋体" w:cs="Times New Roman"/>
                <w:color w:val="auto"/>
                <w:sz w:val="24"/>
                <w:highlight w:val="none"/>
                <w:lang w:val="zh-CN"/>
              </w:rPr>
              <w:t>活污水</w:t>
            </w:r>
            <w:r>
              <w:rPr>
                <w:rFonts w:hint="default" w:ascii="Times New Roman" w:hAnsi="Times New Roman" w:eastAsia="宋体" w:cs="Times New Roman"/>
                <w:color w:val="auto"/>
                <w:sz w:val="24"/>
                <w:highlight w:val="none"/>
                <w:lang w:val="zh-CN"/>
              </w:rPr>
              <w:t>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lang w:val="zh-CN"/>
              </w:rPr>
              <w:t>可行性分析</w:t>
            </w:r>
          </w:p>
          <w:p w14:paraId="25FC6F43">
            <w:pPr>
              <w:tabs>
                <w:tab w:val="left" w:pos="5300"/>
              </w:tabs>
              <w:adjustRightInd w:val="0"/>
              <w:snapToGrid w:val="0"/>
              <w:spacing w:line="360" w:lineRule="auto"/>
              <w:ind w:firstLine="480" w:firstLineChars="200"/>
              <w:rPr>
                <w:rFonts w:ascii="宋体" w:hAnsi="宋体" w:cs="宋体"/>
                <w:color w:val="auto"/>
                <w:sz w:val="24"/>
                <w:highlight w:val="none"/>
                <w:lang w:bidi="ar"/>
              </w:rPr>
            </w:pPr>
            <w:r>
              <w:rPr>
                <w:rFonts w:hint="eastAsia" w:ascii="宋体" w:hAnsi="宋体" w:cs="宋体"/>
                <w:color w:val="auto"/>
                <w:sz w:val="24"/>
                <w:highlight w:val="none"/>
                <w:lang w:bidi="ar"/>
              </w:rPr>
              <w:t>①隔油池</w:t>
            </w:r>
          </w:p>
          <w:p w14:paraId="6B21787D">
            <w:pPr>
              <w:pStyle w:val="15"/>
              <w:adjustRightInd w:val="0"/>
              <w:snapToGrid w:val="0"/>
              <w:spacing w:line="360" w:lineRule="auto"/>
              <w:ind w:firstLine="480" w:firstLineChars="200"/>
              <w:rPr>
                <w:rFonts w:hint="eastAsia"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本项目</w:t>
            </w:r>
            <w:r>
              <w:rPr>
                <w:rFonts w:ascii="Times New Roman" w:hAnsi="Times New Roman"/>
                <w:color w:val="auto"/>
                <w:sz w:val="24"/>
                <w:highlight w:val="none"/>
              </w:rPr>
              <w:t>食堂废水</w:t>
            </w:r>
            <w:r>
              <w:rPr>
                <w:rFonts w:hint="eastAsia" w:ascii="Times New Roman" w:hAnsi="Times New Roman"/>
                <w:color w:val="auto"/>
                <w:sz w:val="24"/>
                <w:highlight w:val="none"/>
                <w:lang w:val="en-US" w:eastAsia="zh-CN"/>
              </w:rPr>
              <w:t>产生量为0.24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原项目食堂废水产生量为</w:t>
            </w:r>
            <w:r>
              <w:rPr>
                <w:rFonts w:hint="eastAsia" w:ascii="Times New Roman" w:hAnsi="Times New Roman" w:cs="Times New Roman"/>
                <w:color w:val="auto"/>
                <w:sz w:val="24"/>
                <w:szCs w:val="24"/>
                <w:highlight w:val="none"/>
                <w:lang w:val="en-US" w:eastAsia="zh-CN" w:bidi="ar"/>
              </w:rPr>
              <w:t>0.48</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扩建完成后食堂废水合计产生量为</w:t>
            </w:r>
            <w:r>
              <w:rPr>
                <w:rFonts w:hint="eastAsia" w:ascii="Times New Roman" w:hAnsi="Times New Roman" w:cs="Times New Roman"/>
                <w:color w:val="auto"/>
                <w:sz w:val="24"/>
                <w:szCs w:val="24"/>
                <w:highlight w:val="none"/>
                <w:lang w:val="en-US" w:eastAsia="zh-CN" w:bidi="ar"/>
              </w:rPr>
              <w:t>0.72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ascii="Times New Roman" w:hAnsi="Times New Roman" w:eastAsia="宋体" w:cs="Times New Roman"/>
                <w:color w:val="auto"/>
                <w:sz w:val="24"/>
                <w:szCs w:val="24"/>
                <w:highlight w:val="none"/>
                <w:lang w:eastAsia="zh-CN" w:bidi="ar"/>
              </w:rPr>
              <w:t>。</w:t>
            </w:r>
          </w:p>
          <w:p w14:paraId="47CC2D3A">
            <w:pPr>
              <w:spacing w:line="348"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根据中华人民共和国国家环境保护标准《饮食业环境保护技术规范》（HJ554-2010），隔油池设计符合下列规定：</w:t>
            </w:r>
          </w:p>
          <w:p w14:paraId="6E6337EC">
            <w:pPr>
              <w:spacing w:line="348"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14:paraId="52DBBA5C">
            <w:pPr>
              <w:spacing w:line="348"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14:paraId="18D03E92">
            <w:pPr>
              <w:spacing w:line="348"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14:paraId="1B58FF22">
            <w:pPr>
              <w:spacing w:line="348"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14:paraId="34D9C6FB">
            <w:pPr>
              <w:pStyle w:val="15"/>
              <w:adjustRightInd w:val="0"/>
              <w:snapToGrid w:val="0"/>
              <w:spacing w:line="360" w:lineRule="auto"/>
              <w:ind w:firstLine="480" w:firstLineChars="200"/>
              <w:rPr>
                <w:rFonts w:hint="eastAsia"/>
                <w:color w:val="auto"/>
                <w:sz w:val="24"/>
                <w:highlight w:val="none"/>
                <w:lang w:eastAsia="zh-CN"/>
              </w:rPr>
            </w:pPr>
            <w:r>
              <w:rPr>
                <w:rFonts w:ascii="Times New Roman" w:hAnsi="Times New Roman"/>
                <w:color w:val="auto"/>
                <w:sz w:val="24"/>
                <w:highlight w:val="none"/>
              </w:rPr>
              <w:t>本项目食堂废水</w:t>
            </w:r>
            <w:r>
              <w:rPr>
                <w:rFonts w:hint="eastAsia" w:ascii="Times New Roman" w:hAnsi="Times New Roman"/>
                <w:color w:val="auto"/>
                <w:sz w:val="24"/>
                <w:highlight w:val="none"/>
                <w:lang w:val="en-US" w:eastAsia="zh-CN"/>
              </w:rPr>
              <w:t>依托原有已建容积为0.5m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的</w:t>
            </w:r>
            <w:r>
              <w:rPr>
                <w:rFonts w:ascii="Times New Roman" w:hAnsi="Times New Roman"/>
                <w:color w:val="auto"/>
                <w:sz w:val="24"/>
                <w:highlight w:val="none"/>
              </w:rPr>
              <w:t>隔油池处理</w:t>
            </w:r>
            <w:r>
              <w:rPr>
                <w:rFonts w:hint="eastAsia"/>
                <w:color w:val="auto"/>
                <w:sz w:val="24"/>
                <w:highlight w:val="none"/>
                <w:lang w:eastAsia="zh-CN"/>
              </w:rPr>
              <w:t>，</w:t>
            </w:r>
            <w:r>
              <w:rPr>
                <w:rFonts w:ascii="Times New Roman" w:hAnsi="Times New Roman"/>
                <w:color w:val="auto"/>
                <w:sz w:val="24"/>
                <w:highlight w:val="none"/>
              </w:rPr>
              <w:t>食堂运营每天按</w:t>
            </w:r>
            <w:r>
              <w:rPr>
                <w:rFonts w:hint="eastAsia" w:ascii="Times New Roman" w:hAnsi="Times New Roman"/>
                <w:color w:val="auto"/>
                <w:sz w:val="24"/>
                <w:highlight w:val="none"/>
                <w:lang w:val="en-US" w:eastAsia="zh-CN"/>
              </w:rPr>
              <w:t>6</w:t>
            </w:r>
            <w:r>
              <w:rPr>
                <w:rFonts w:ascii="Times New Roman" w:hAnsi="Times New Roman"/>
                <w:color w:val="auto"/>
                <w:sz w:val="24"/>
                <w:highlight w:val="none"/>
              </w:rPr>
              <w:t>小时进行计算</w:t>
            </w:r>
            <w:r>
              <w:rPr>
                <w:rFonts w:hint="eastAsia"/>
                <w:color w:val="auto"/>
                <w:sz w:val="24"/>
                <w:highlight w:val="none"/>
                <w:lang w:eastAsia="zh-CN"/>
              </w:rPr>
              <w:t>。</w:t>
            </w:r>
          </w:p>
          <w:p w14:paraId="4890BAF7">
            <w:pPr>
              <w:pStyle w:val="15"/>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default" w:ascii="Times New Roman" w:hAnsi="Times New Roman" w:cs="Times New Roman"/>
                <w:color w:val="auto"/>
                <w:sz w:val="24"/>
                <w:highlight w:val="none"/>
                <w:shd w:val="clear" w:color="auto" w:fill="FFFFFF"/>
              </w:rPr>
              <w:t>餐饮隔油池容积计算公式：</w:t>
            </w:r>
          </w:p>
          <w:p w14:paraId="7CE717D5">
            <w:pPr>
              <w:pStyle w:val="15"/>
              <w:adjustRightInd w:val="0"/>
              <w:snapToGrid w:val="0"/>
              <w:spacing w:line="360" w:lineRule="auto"/>
              <w:ind w:firstLine="420" w:firstLineChars="200"/>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position w:val="-12"/>
                <w:szCs w:val="21"/>
                <w:highlight w:val="none"/>
                <w:shd w:val="clear" w:color="auto" w:fill="FFFFFF"/>
              </w:rPr>
              <w:object>
                <v:shape id="_x0000_i1035" o:spt="75" type="#_x0000_t75" style="height:18pt;width:78.95pt;" o:ole="t" filled="f" o:preferrelative="t" stroked="f" coordsize="21600,21600">
                  <v:path/>
                  <v:fill on="f" focussize="0,0"/>
                  <v:stroke on="f"/>
                  <v:imagedata r:id="rId31" o:title=""/>
                  <o:lock v:ext="edit" aspectratio="t"/>
                  <w10:wrap type="none"/>
                  <w10:anchorlock/>
                </v:shape>
                <o:OLEObject Type="Embed" ProgID="Equation.KSEE3" ShapeID="_x0000_i1035" DrawAspect="Content" ObjectID="_1468075735" r:id="rId30">
                  <o:LockedField>false</o:LockedField>
                </o:OLEObject>
              </w:object>
            </w:r>
          </w:p>
          <w:p w14:paraId="13E88E88">
            <w:pPr>
              <w:pStyle w:val="15"/>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式中：V-----隔油池有效容积，m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23085FF2">
            <w:pPr>
              <w:pStyle w:val="15"/>
              <w:adjustRightInd w:val="0"/>
              <w:snapToGrid w:val="0"/>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max</w:t>
            </w:r>
            <w:r>
              <w:rPr>
                <w:rFonts w:hint="default" w:ascii="Times New Roman" w:hAnsi="Times New Roman" w:cs="Times New Roman"/>
                <w:color w:val="auto"/>
                <w:sz w:val="24"/>
                <w:highlight w:val="none"/>
              </w:rPr>
              <w:t>-----最大秒流量，</w:t>
            </w:r>
            <w:r>
              <w:rPr>
                <w:rFonts w:hint="eastAsia" w:ascii="Times New Roman" w:hAnsi="Times New Roman" w:cs="Times New Roman"/>
                <w:color w:val="auto"/>
                <w:sz w:val="24"/>
                <w:highlight w:val="none"/>
                <w:lang w:val="en-US" w:eastAsia="zh-CN"/>
              </w:rPr>
              <w:t>0.72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h÷3600s≈0.000</w:t>
            </w:r>
            <w:r>
              <w:rPr>
                <w:rFonts w:hint="eastAsia" w:ascii="Times New Roman" w:hAnsi="Times New Roman" w:cs="Times New Roman"/>
                <w:color w:val="auto"/>
                <w:sz w:val="24"/>
                <w:highlight w:val="none"/>
                <w:lang w:val="en-US" w:eastAsia="zh-CN"/>
              </w:rPr>
              <w:t>033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/s；</w:t>
            </w:r>
          </w:p>
          <w:p w14:paraId="20AFF447">
            <w:pPr>
              <w:pStyle w:val="15"/>
              <w:adjustRightInd w:val="0"/>
              <w:snapToGrid w:val="0"/>
              <w:spacing w:line="360" w:lineRule="auto"/>
              <w:ind w:firstLine="1200" w:firstLineChars="500"/>
              <w:rPr>
                <w:rFonts w:hint="default" w:ascii="Times New Roman" w:hAnsi="Times New Roman" w:eastAsia="宋体" w:cs="Times New Roman"/>
                <w:color w:val="auto"/>
                <w:szCs w:val="21"/>
                <w:highlight w:val="none"/>
                <w:shd w:val="clear" w:color="auto" w:fill="FFFFFF"/>
                <w:lang w:eastAsia="zh-CN"/>
              </w:rPr>
            </w:pPr>
            <w:r>
              <w:rPr>
                <w:rFonts w:hint="default" w:ascii="Times New Roman" w:hAnsi="Times New Roman" w:cs="Times New Roman"/>
                <w:color w:val="auto"/>
                <w:sz w:val="24"/>
                <w:highlight w:val="none"/>
              </w:rPr>
              <w:t>t-----停留时间，本项目取值</w:t>
            </w:r>
            <w:r>
              <w:rPr>
                <w:rFonts w:hint="default"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min</w:t>
            </w:r>
            <w:r>
              <w:rPr>
                <w:rFonts w:hint="default" w:ascii="Times New Roman" w:hAnsi="Times New Roman" w:cs="Times New Roman"/>
                <w:color w:val="auto"/>
                <w:sz w:val="24"/>
                <w:highlight w:val="none"/>
                <w:lang w:eastAsia="zh-CN"/>
              </w:rPr>
              <w:t>。</w:t>
            </w:r>
          </w:p>
          <w:p w14:paraId="740800C5">
            <w:pPr>
              <w:pStyle w:val="9"/>
              <w:adjustRightInd w:val="0"/>
              <w:snapToGrid w:val="0"/>
              <w:spacing w:after="0" w:line="360" w:lineRule="auto"/>
              <w:ind w:firstLine="480" w:firstLineChars="200"/>
              <w:rPr>
                <w:rFonts w:hint="default" w:ascii="Times New Roman" w:hAnsi="Times New Roman" w:eastAsia="宋体" w:cs="Times New Roman"/>
                <w:color w:val="auto"/>
                <w:spacing w:val="-4"/>
                <w:sz w:val="24"/>
                <w:szCs w:val="24"/>
                <w:highlight w:val="none"/>
              </w:rPr>
            </w:pPr>
            <w:r>
              <w:rPr>
                <w:rFonts w:hint="default" w:ascii="Times New Roman" w:hAnsi="Times New Roman" w:cs="Times New Roman"/>
                <w:color w:val="auto"/>
                <w:sz w:val="24"/>
                <w:highlight w:val="none"/>
              </w:rPr>
              <w:t>经计算，隔油池有效容积至少为</w:t>
            </w:r>
            <w:r>
              <w:rPr>
                <w:rFonts w:hint="eastAsia" w:ascii="Times New Roman" w:hAnsi="Times New Roman" w:cs="Times New Roman"/>
                <w:color w:val="auto"/>
                <w:sz w:val="24"/>
                <w:highlight w:val="none"/>
                <w:lang w:val="en-US" w:eastAsia="zh-CN"/>
              </w:rPr>
              <w:t>0.06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。选取1.2的系数，则隔油池的容积应不小于</w:t>
            </w:r>
            <w:r>
              <w:rPr>
                <w:rFonts w:hint="eastAsia" w:ascii="Times New Roman" w:hAnsi="Times New Roman" w:cs="Times New Roman"/>
                <w:color w:val="auto"/>
                <w:sz w:val="24"/>
                <w:highlight w:val="none"/>
                <w:lang w:val="en-US" w:eastAsia="zh-CN"/>
              </w:rPr>
              <w:t>0.072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项目已建有1个容积为</w:t>
            </w:r>
            <w:r>
              <w:rPr>
                <w:rFonts w:hint="eastAsia" w:ascii="Times New Roman" w:hAnsi="Times New Roman" w:cs="Times New Roman"/>
                <w:color w:val="auto"/>
                <w:sz w:val="24"/>
                <w:highlight w:val="none"/>
                <w:lang w:val="en-US" w:eastAsia="zh-CN"/>
              </w:rPr>
              <w:t>0.5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的隔油池，</w:t>
            </w:r>
            <w:r>
              <w:rPr>
                <w:rFonts w:hint="default" w:ascii="Times New Roman" w:hAnsi="Times New Roman" w:eastAsia="宋体" w:cs="Times New Roman"/>
                <w:color w:val="auto"/>
                <w:sz w:val="24"/>
                <w:szCs w:val="24"/>
                <w:highlight w:val="none"/>
              </w:rPr>
              <w:t>隔油池容积能够满足</w:t>
            </w:r>
            <w:r>
              <w:rPr>
                <w:rFonts w:hint="eastAsia" w:eastAsia="宋体" w:cs="Times New Roman"/>
                <w:color w:val="auto"/>
                <w:sz w:val="24"/>
                <w:szCs w:val="24"/>
                <w:highlight w:val="none"/>
                <w:lang w:val="en-US" w:eastAsia="zh-CN"/>
              </w:rPr>
              <w:t>全厂食堂</w:t>
            </w:r>
            <w:r>
              <w:rPr>
                <w:rFonts w:hint="eastAsia" w:eastAsia="宋体" w:cs="Times New Roman"/>
                <w:color w:val="auto"/>
                <w:sz w:val="24"/>
                <w:szCs w:val="24"/>
                <w:highlight w:val="none"/>
                <w:lang w:eastAsia="zh-CN"/>
              </w:rPr>
              <w:t>废</w:t>
            </w:r>
            <w:r>
              <w:rPr>
                <w:rFonts w:hint="default" w:ascii="Times New Roman" w:hAnsi="Times New Roman" w:eastAsia="宋体" w:cs="Times New Roman"/>
                <w:color w:val="auto"/>
                <w:sz w:val="24"/>
                <w:szCs w:val="24"/>
                <w:highlight w:val="none"/>
              </w:rPr>
              <w:t>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14:paraId="03108A49">
            <w:pPr>
              <w:tabs>
                <w:tab w:val="left" w:pos="5300"/>
              </w:tabs>
              <w:adjustRightInd w:val="0"/>
              <w:snapToGrid w:val="0"/>
              <w:spacing w:line="360" w:lineRule="auto"/>
              <w:ind w:firstLine="480" w:firstLineChars="200"/>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②化粪池</w:t>
            </w:r>
          </w:p>
          <w:p w14:paraId="75E75436">
            <w:pPr>
              <w:pStyle w:val="15"/>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cs="Times New Roman"/>
                <w:color w:val="auto"/>
                <w:sz w:val="24"/>
                <w:highlight w:val="none"/>
                <w:lang w:val="en-US" w:eastAsia="zh-CN"/>
              </w:rPr>
              <w:t>本项目生活污水产生量为</w:t>
            </w:r>
            <w:r>
              <w:rPr>
                <w:rFonts w:hint="eastAsia" w:ascii="Times New Roman" w:hAnsi="Times New Roman" w:cs="Times New Roman"/>
                <w:color w:val="auto"/>
                <w:sz w:val="24"/>
                <w:highlight w:val="none"/>
                <w:lang w:val="en-US" w:eastAsia="zh-CN"/>
              </w:rPr>
              <w:t>1.2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原项目生活污水产生量为</w:t>
            </w:r>
            <w:r>
              <w:rPr>
                <w:rFonts w:hint="eastAsia" w:ascii="Times New Roman" w:hAnsi="Times New Roman" w:cs="Times New Roman"/>
                <w:color w:val="auto"/>
                <w:sz w:val="24"/>
                <w:szCs w:val="24"/>
                <w:highlight w:val="none"/>
                <w:lang w:val="en-US" w:eastAsia="zh-CN" w:bidi="ar"/>
              </w:rPr>
              <w:t>2.18</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扩建完成后生活污水合计产生量为</w:t>
            </w:r>
            <w:r>
              <w:rPr>
                <w:rFonts w:hint="eastAsia" w:ascii="Times New Roman" w:hAnsi="Times New Roman" w:cs="Times New Roman"/>
                <w:color w:val="auto"/>
                <w:sz w:val="24"/>
                <w:szCs w:val="24"/>
                <w:highlight w:val="none"/>
                <w:lang w:val="en-US" w:eastAsia="zh-CN" w:bidi="ar"/>
              </w:rPr>
              <w:t>3.38</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p>
          <w:p w14:paraId="1AAC745D">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eastAsia" w:eastAsia="宋体" w:cs="Times New Roman"/>
                <w:color w:val="auto"/>
                <w:sz w:val="24"/>
                <w:szCs w:val="24"/>
                <w:highlight w:val="none"/>
                <w:lang w:eastAsia="zh-CN"/>
              </w:rPr>
              <w:t>原项目</w:t>
            </w:r>
            <w:r>
              <w:rPr>
                <w:rFonts w:hint="default" w:ascii="Times New Roman" w:hAnsi="Times New Roman" w:eastAsia="宋体" w:cs="Times New Roman"/>
                <w:color w:val="auto"/>
                <w:sz w:val="24"/>
                <w:szCs w:val="24"/>
                <w:highlight w:val="none"/>
                <w:lang w:val="en-US" w:eastAsia="zh-CN"/>
              </w:rPr>
              <w:t>已设置的</w:t>
            </w:r>
            <w:r>
              <w:rPr>
                <w:rFonts w:hint="default" w:ascii="Times New Roman" w:hAnsi="Times New Roman" w:eastAsia="宋体" w:cs="Times New Roman"/>
                <w:color w:val="auto"/>
                <w:sz w:val="24"/>
                <w:szCs w:val="24"/>
                <w:highlight w:val="none"/>
              </w:rPr>
              <w:t>化粪池容积为</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，用于预处理项目区所有生活污水。</w:t>
            </w:r>
            <w:r>
              <w:rPr>
                <w:rFonts w:hint="default" w:ascii="Times New Roman" w:hAnsi="Times New Roman" w:eastAsia="宋体" w:cs="Times New Roman"/>
                <w:color w:val="auto"/>
                <w:sz w:val="24"/>
                <w:szCs w:val="24"/>
                <w:highlight w:val="none"/>
                <w:lang w:val="en-US" w:eastAsia="zh-CN"/>
              </w:rPr>
              <w:t>已设置的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项目生活污水经化粪池处理</w:t>
            </w:r>
            <w:r>
              <w:rPr>
                <w:rFonts w:hint="eastAsia"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rPr>
              <w:t>可大大降低后端</w:t>
            </w:r>
            <w:r>
              <w:rPr>
                <w:rFonts w:hint="default" w:ascii="Times New Roman" w:hAnsi="Times New Roman" w:eastAsia="宋体" w:cs="Times New Roman"/>
                <w:color w:val="auto"/>
                <w:sz w:val="24"/>
                <w:szCs w:val="24"/>
                <w:highlight w:val="none"/>
                <w:lang w:val="en-US" w:eastAsia="zh-CN"/>
              </w:rPr>
              <w:t>一体化</w:t>
            </w:r>
            <w:r>
              <w:rPr>
                <w:rFonts w:hint="eastAsia"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rPr>
              <w:t>污水处理</w:t>
            </w:r>
            <w:r>
              <w:rPr>
                <w:rFonts w:hint="default" w:ascii="Times New Roman" w:hAnsi="Times New Roman" w:eastAsia="宋体" w:cs="Times New Roman"/>
                <w:color w:val="auto"/>
                <w:sz w:val="24"/>
                <w:szCs w:val="24"/>
                <w:highlight w:val="none"/>
                <w:lang w:val="en-US" w:eastAsia="zh-CN"/>
              </w:rPr>
              <w:t>站</w:t>
            </w:r>
            <w:r>
              <w:rPr>
                <w:rFonts w:hint="default" w:ascii="Times New Roman" w:hAnsi="Times New Roman" w:eastAsia="宋体" w:cs="Times New Roman"/>
                <w:color w:val="auto"/>
                <w:sz w:val="24"/>
                <w:szCs w:val="24"/>
                <w:highlight w:val="none"/>
              </w:rPr>
              <w:t>的运行负荷。</w:t>
            </w:r>
          </w:p>
          <w:p w14:paraId="51304E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因此，本项目</w:t>
            </w:r>
            <w:r>
              <w:rPr>
                <w:rFonts w:hint="default" w:ascii="Times New Roman" w:hAnsi="Times New Roman" w:eastAsia="宋体" w:cs="Times New Roman"/>
                <w:color w:val="auto"/>
                <w:sz w:val="24"/>
                <w:szCs w:val="24"/>
                <w:highlight w:val="none"/>
                <w:lang w:val="en-US" w:eastAsia="zh-CN"/>
              </w:rPr>
              <w:t>沿用原项目已设置的化粪池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14:paraId="1D5F0DA2">
            <w:pPr>
              <w:pStyle w:val="35"/>
              <w:keepNext w:val="0"/>
              <w:keepLines w:val="0"/>
              <w:suppressLineNumbers w:val="0"/>
              <w:spacing w:before="0" w:beforeAutospacing="0" w:after="0" w:afterAutospacing="0"/>
              <w:ind w:firstLine="470"/>
              <w:jc w:val="both"/>
              <w:rPr>
                <w:rFonts w:hint="default" w:hAnsi="Times New Roman"/>
                <w:color w:val="auto"/>
                <w:sz w:val="24"/>
                <w:szCs w:val="24"/>
                <w:highlight w:val="none"/>
                <w:lang w:val="en-US" w:eastAsia="zh-CN"/>
              </w:rPr>
            </w:pPr>
            <w:r>
              <w:rPr>
                <w:rFonts w:hint="default" w:hAnsi="Times New Roman"/>
                <w:color w:val="auto"/>
                <w:sz w:val="24"/>
                <w:szCs w:val="24"/>
                <w:highlight w:val="none"/>
              </w:rPr>
              <w:fldChar w:fldCharType="begin"/>
            </w:r>
            <w:r>
              <w:rPr>
                <w:rFonts w:hint="default" w:hAnsi="Times New Roman"/>
                <w:color w:val="auto"/>
                <w:sz w:val="24"/>
                <w:szCs w:val="24"/>
                <w:highlight w:val="none"/>
              </w:rPr>
              <w:instrText xml:space="preserve"> = 3 \* GB3 \* MERGEFORMAT </w:instrText>
            </w:r>
            <w:r>
              <w:rPr>
                <w:rFonts w:hint="default" w:hAnsi="Times New Roman"/>
                <w:color w:val="auto"/>
                <w:sz w:val="24"/>
                <w:szCs w:val="24"/>
                <w:highlight w:val="none"/>
              </w:rPr>
              <w:fldChar w:fldCharType="separate"/>
            </w:r>
            <w:r>
              <w:rPr>
                <w:rFonts w:hint="default" w:hAnsi="Times New Roman"/>
                <w:color w:val="auto"/>
                <w:sz w:val="24"/>
                <w:szCs w:val="24"/>
                <w:highlight w:val="none"/>
              </w:rPr>
              <w:t>③</w:t>
            </w:r>
            <w:r>
              <w:rPr>
                <w:rFonts w:hint="default" w:hAnsi="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bidi="ar"/>
              </w:rPr>
              <w:t>一体化</w:t>
            </w:r>
            <w:r>
              <w:rPr>
                <w:rFonts w:hint="eastAsia" w:eastAsia="宋体" w:cs="Times New Roman"/>
                <w:color w:val="auto"/>
                <w:sz w:val="24"/>
                <w:szCs w:val="24"/>
                <w:highlight w:val="none"/>
                <w:lang w:eastAsia="zh-CN" w:bidi="ar"/>
              </w:rPr>
              <w:t>生活</w:t>
            </w:r>
            <w:r>
              <w:rPr>
                <w:rFonts w:hint="default" w:ascii="Times New Roman" w:hAnsi="Times New Roman" w:eastAsia="宋体" w:cs="Times New Roman"/>
                <w:color w:val="auto"/>
                <w:sz w:val="24"/>
                <w:szCs w:val="24"/>
                <w:highlight w:val="none"/>
                <w:lang w:val="en-US" w:eastAsia="zh-CN"/>
              </w:rPr>
              <w:t>污水处理站</w:t>
            </w:r>
          </w:p>
          <w:p w14:paraId="022F25B5">
            <w:pPr>
              <w:spacing w:line="348"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根据调查，本项目一体化</w:t>
            </w:r>
            <w:r>
              <w:rPr>
                <w:rFonts w:hint="eastAsia"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lang w:eastAsia="zh-CN"/>
              </w:rPr>
              <w:t>污水处理站采用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vertAlign w:val="baseline"/>
                <w:lang w:val="en-US" w:eastAsia="zh-CN"/>
              </w:rPr>
              <w:t>MBR膜生物反应</w:t>
            </w:r>
            <w:r>
              <w:rPr>
                <w:rFonts w:hint="default" w:ascii="Times New Roman" w:hAnsi="Times New Roman" w:eastAsia="宋体" w:cs="Times New Roman"/>
                <w:color w:val="auto"/>
                <w:sz w:val="24"/>
                <w:szCs w:val="24"/>
                <w:highlight w:val="none"/>
              </w:rPr>
              <w:t>”工艺处理项目运营过程中产生的</w:t>
            </w:r>
            <w:r>
              <w:rPr>
                <w:rFonts w:hint="eastAsia" w:eastAsia="宋体" w:cs="Times New Roman"/>
                <w:color w:val="auto"/>
                <w:sz w:val="24"/>
                <w:szCs w:val="24"/>
                <w:highlight w:val="none"/>
                <w:lang w:eastAsia="zh-CN"/>
              </w:rPr>
              <w:t>生活污水</w:t>
            </w:r>
            <w:r>
              <w:rPr>
                <w:rFonts w:hint="default" w:ascii="Times New Roman" w:hAnsi="Times New Roman" w:eastAsia="宋体" w:cs="Times New Roman"/>
                <w:color w:val="auto"/>
                <w:sz w:val="24"/>
                <w:szCs w:val="24"/>
                <w:highlight w:val="none"/>
              </w:rPr>
              <w:t>。一体化</w:t>
            </w:r>
            <w:r>
              <w:rPr>
                <w:rFonts w:hint="eastAsia"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污水处理设备运行操作简单，运行成本低，能高效去除污水中的有机污染物。根据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eastAsia" w:ascii="Times New Roman" w:hAnsi="Times New Roman" w:eastAsia="宋体" w:cs="Times New Roman"/>
                <w:color w:val="auto"/>
                <w:sz w:val="24"/>
                <w:highlight w:val="none"/>
                <w:lang w:val="en-US" w:eastAsia="zh-CN"/>
              </w:rPr>
              <w:t>本项目生活污水产生量为1.2m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/d，原项目生活污水产生量为2.18m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/d，扩建完成后全厂的生活污水合计产生量为3.38m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/d。原</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设置的</w:t>
            </w:r>
            <w:r>
              <w:rPr>
                <w:rFonts w:hint="default" w:ascii="Times New Roman" w:hAnsi="Times New Roman" w:eastAsia="宋体" w:cs="Times New Roman"/>
                <w:color w:val="auto"/>
                <w:sz w:val="24"/>
                <w:szCs w:val="24"/>
                <w:highlight w:val="none"/>
              </w:rPr>
              <w:t>一体化</w:t>
            </w:r>
            <w:r>
              <w:rPr>
                <w:rFonts w:hint="eastAsia"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污水处理设</w:t>
            </w:r>
            <w:r>
              <w:rPr>
                <w:rFonts w:hint="default" w:ascii="Times New Roman" w:hAnsi="Times New Roman" w:eastAsia="宋体" w:cs="Times New Roman"/>
                <w:color w:val="auto"/>
                <w:sz w:val="24"/>
                <w:szCs w:val="24"/>
                <w:highlight w:val="none"/>
                <w:lang w:eastAsia="zh-CN"/>
              </w:rPr>
              <w:t>备</w:t>
            </w:r>
            <w:r>
              <w:rPr>
                <w:rFonts w:hint="default" w:ascii="Times New Roman" w:hAnsi="Times New Roman" w:eastAsia="宋体" w:cs="Times New Roman"/>
                <w:color w:val="auto"/>
                <w:sz w:val="24"/>
                <w:szCs w:val="24"/>
                <w:highlight w:val="none"/>
              </w:rPr>
              <w:t>处理规模</w:t>
            </w:r>
            <w:r>
              <w:rPr>
                <w:rFonts w:hint="default" w:ascii="Times New Roman" w:hAnsi="Times New Roman" w:eastAsia="宋体" w:cs="Times New Roman"/>
                <w:color w:val="auto"/>
                <w:sz w:val="24"/>
                <w:szCs w:val="24"/>
                <w:highlight w:val="none"/>
                <w:lang w:eastAsia="zh-CN"/>
              </w:rPr>
              <w:t>为</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，可</w:t>
            </w:r>
            <w:r>
              <w:rPr>
                <w:rFonts w:hint="default" w:ascii="Times New Roman" w:hAnsi="Times New Roman" w:eastAsia="宋体" w:cs="Times New Roman"/>
                <w:color w:val="auto"/>
                <w:sz w:val="24"/>
                <w:szCs w:val="24"/>
                <w:highlight w:val="none"/>
                <w:lang w:val="en-US" w:eastAsia="zh-CN"/>
              </w:rPr>
              <w:t>完全</w:t>
            </w:r>
            <w:r>
              <w:rPr>
                <w:rFonts w:hint="default" w:ascii="Times New Roman" w:hAnsi="Times New Roman" w:eastAsia="宋体" w:cs="Times New Roman"/>
                <w:color w:val="auto"/>
                <w:sz w:val="24"/>
                <w:szCs w:val="24"/>
                <w:highlight w:val="none"/>
                <w:lang w:eastAsia="zh-CN"/>
              </w:rPr>
              <w:t>容纳</w:t>
            </w:r>
            <w:r>
              <w:rPr>
                <w:rFonts w:hint="default" w:ascii="Times New Roman" w:hAnsi="Times New Roman" w:eastAsia="宋体" w:cs="Times New Roman"/>
                <w:color w:val="auto"/>
                <w:sz w:val="24"/>
                <w:szCs w:val="24"/>
                <w:highlight w:val="none"/>
                <w:lang w:val="en-US" w:eastAsia="zh-CN"/>
              </w:rPr>
              <w:t>处理</w:t>
            </w:r>
            <w:r>
              <w:rPr>
                <w:rFonts w:hint="eastAsia" w:eastAsia="宋体" w:cs="Times New Roman"/>
                <w:color w:val="auto"/>
                <w:sz w:val="24"/>
                <w:szCs w:val="24"/>
                <w:highlight w:val="none"/>
                <w:lang w:eastAsia="zh-CN"/>
              </w:rPr>
              <w:t>扩建完成后全厂</w:t>
            </w:r>
            <w:r>
              <w:rPr>
                <w:rFonts w:hint="default" w:ascii="Times New Roman" w:hAnsi="Times New Roman" w:eastAsia="宋体" w:cs="Times New Roman"/>
                <w:color w:val="auto"/>
                <w:sz w:val="24"/>
                <w:szCs w:val="24"/>
                <w:highlight w:val="none"/>
                <w:lang w:eastAsia="zh-CN"/>
              </w:rPr>
              <w:t>产生</w:t>
            </w:r>
            <w:r>
              <w:rPr>
                <w:rFonts w:hint="default" w:ascii="Times New Roman" w:hAnsi="Times New Roman" w:eastAsia="宋体" w:cs="Times New Roman"/>
                <w:color w:val="auto"/>
                <w:sz w:val="24"/>
                <w:szCs w:val="24"/>
                <w:highlight w:val="none"/>
                <w:lang w:val="en-US" w:eastAsia="zh-CN"/>
              </w:rPr>
              <w:t>的生活污水。</w:t>
            </w:r>
          </w:p>
          <w:p w14:paraId="0B5FD8F2">
            <w:pPr>
              <w:keepNext w:val="0"/>
              <w:keepLines w:val="0"/>
              <w:pageBreakBefore w:val="0"/>
              <w:widowControl w:val="0"/>
              <w:kinsoku/>
              <w:wordWrap/>
              <w:overflowPunct/>
              <w:topLinePunct w:val="0"/>
              <w:autoSpaceDE/>
              <w:autoSpaceDN/>
              <w:bidi w:val="0"/>
              <w:adjustRightInd/>
              <w:spacing w:line="360" w:lineRule="auto"/>
              <w:ind w:firstLine="460" w:firstLineChars="19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一体化</w:t>
            </w:r>
            <w:r>
              <w:rPr>
                <w:rFonts w:hint="eastAsia"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污水处理</w:t>
            </w:r>
            <w:r>
              <w:rPr>
                <w:rFonts w:hint="default" w:ascii="Times New Roman" w:hAnsi="Times New Roman" w:eastAsia="宋体" w:cs="Times New Roman"/>
                <w:color w:val="auto"/>
                <w:sz w:val="24"/>
                <w:szCs w:val="24"/>
                <w:highlight w:val="none"/>
                <w:lang w:val="en-US" w:eastAsia="zh-CN"/>
              </w:rPr>
              <w:t>站</w:t>
            </w:r>
            <w:r>
              <w:rPr>
                <w:rFonts w:hint="default" w:ascii="Times New Roman" w:hAnsi="Times New Roman" w:eastAsia="宋体" w:cs="Times New Roman"/>
                <w:color w:val="auto"/>
                <w:sz w:val="24"/>
                <w:highlight w:val="none"/>
              </w:rPr>
              <w:t>处理前后水质情况如下表所示。</w:t>
            </w:r>
          </w:p>
          <w:p w14:paraId="2DEF7418">
            <w:pPr>
              <w:jc w:val="center"/>
              <w:rPr>
                <w:rFonts w:hint="default" w:ascii="Times New Roman" w:hAnsi="Times New Roman" w:eastAsia="宋体" w:cs="Times New Roman"/>
                <w:b/>
                <w:bCs/>
                <w:color w:val="auto"/>
                <w:szCs w:val="21"/>
                <w:highlight w:val="none"/>
              </w:rPr>
            </w:pPr>
          </w:p>
          <w:p w14:paraId="0ECA46D9">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表4-1</w:t>
            </w:r>
            <w:r>
              <w:rPr>
                <w:rFonts w:hint="eastAsia"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 xml:space="preserve">   一体化污水处理</w:t>
            </w:r>
            <w:r>
              <w:rPr>
                <w:rFonts w:hint="default" w:ascii="Times New Roman" w:hAnsi="Times New Roman" w:eastAsia="宋体" w:cs="Times New Roman"/>
                <w:b/>
                <w:bCs/>
                <w:color w:val="auto"/>
                <w:szCs w:val="21"/>
                <w:highlight w:val="none"/>
                <w:lang w:val="en-US" w:eastAsia="zh-CN"/>
              </w:rPr>
              <w:t>站</w:t>
            </w:r>
            <w:r>
              <w:rPr>
                <w:rFonts w:hint="default" w:ascii="Times New Roman" w:hAnsi="Times New Roman" w:eastAsia="宋体" w:cs="Times New Roman"/>
                <w:b/>
                <w:bCs/>
                <w:color w:val="auto"/>
                <w:szCs w:val="21"/>
                <w:highlight w:val="none"/>
              </w:rPr>
              <w:t>进出</w:t>
            </w:r>
            <w:r>
              <w:rPr>
                <w:rFonts w:hint="eastAsia" w:cs="Times New Roman"/>
                <w:b/>
                <w:bCs/>
                <w:color w:val="auto"/>
                <w:szCs w:val="21"/>
                <w:highlight w:val="none"/>
                <w:lang w:eastAsia="zh-CN"/>
              </w:rPr>
              <w:t>口</w:t>
            </w:r>
            <w:r>
              <w:rPr>
                <w:rFonts w:hint="default" w:ascii="Times New Roman" w:hAnsi="Times New Roman" w:eastAsia="宋体" w:cs="Times New Roman"/>
                <w:b/>
                <w:bCs/>
                <w:color w:val="auto"/>
                <w:szCs w:val="21"/>
                <w:highlight w:val="none"/>
              </w:rPr>
              <w:t>水质一览表   单位：</w:t>
            </w:r>
            <w:r>
              <w:rPr>
                <w:rFonts w:hint="default" w:ascii="Times New Roman" w:hAnsi="Times New Roman" w:eastAsia="宋体" w:cs="Times New Roman"/>
                <w:b/>
                <w:bCs/>
                <w:color w:val="auto"/>
                <w:kern w:val="0"/>
                <w:szCs w:val="21"/>
                <w:highlight w:val="none"/>
                <w:lang w:val="zh-CN"/>
              </w:rPr>
              <w:t>mg/L</w:t>
            </w:r>
          </w:p>
          <w:tbl>
            <w:tblPr>
              <w:tblStyle w:val="25"/>
              <w:tblW w:w="498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062"/>
              <w:gridCol w:w="755"/>
              <w:gridCol w:w="941"/>
              <w:gridCol w:w="819"/>
              <w:gridCol w:w="3649"/>
              <w:gridCol w:w="685"/>
            </w:tblGrid>
            <w:tr w14:paraId="27ABEAA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73" w:type="pct"/>
                  <w:tcBorders>
                    <w:tl2br w:val="nil"/>
                    <w:tr2bl w:val="nil"/>
                  </w:tcBorders>
                  <w:vAlign w:val="center"/>
                </w:tcPr>
                <w:p w14:paraId="30F5B9FF">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634" w:type="pct"/>
                  <w:tcBorders>
                    <w:tl2br w:val="nil"/>
                    <w:tr2bl w:val="nil"/>
                  </w:tcBorders>
                  <w:vAlign w:val="center"/>
                </w:tcPr>
                <w:p w14:paraId="2044F64E">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451" w:type="pct"/>
                  <w:tcBorders>
                    <w:tl2br w:val="nil"/>
                    <w:tr2bl w:val="nil"/>
                  </w:tcBorders>
                  <w:vAlign w:val="center"/>
                </w:tcPr>
                <w:p w14:paraId="50C6127B">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产生浓度</w:t>
                  </w:r>
                </w:p>
              </w:tc>
              <w:tc>
                <w:tcPr>
                  <w:tcW w:w="562" w:type="pct"/>
                  <w:tcBorders>
                    <w:tl2br w:val="nil"/>
                    <w:tr2bl w:val="nil"/>
                  </w:tcBorders>
                  <w:vAlign w:val="center"/>
                </w:tcPr>
                <w:p w14:paraId="22CA7BD6">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处理方式</w:t>
                  </w:r>
                </w:p>
              </w:tc>
              <w:tc>
                <w:tcPr>
                  <w:tcW w:w="489" w:type="pct"/>
                  <w:tcBorders>
                    <w:tl2br w:val="nil"/>
                    <w:tr2bl w:val="nil"/>
                  </w:tcBorders>
                  <w:vAlign w:val="center"/>
                </w:tcPr>
                <w:p w14:paraId="66CB0070">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处理后</w:t>
                  </w:r>
                  <w:r>
                    <w:rPr>
                      <w:rFonts w:hint="default" w:ascii="Times New Roman" w:hAnsi="Times New Roman" w:eastAsia="宋体" w:cs="Times New Roman"/>
                      <w:b/>
                      <w:bCs/>
                      <w:color w:val="auto"/>
                      <w:szCs w:val="21"/>
                      <w:highlight w:val="none"/>
                    </w:rPr>
                    <w:t>浓度</w:t>
                  </w:r>
                </w:p>
              </w:tc>
              <w:tc>
                <w:tcPr>
                  <w:tcW w:w="2179" w:type="pct"/>
                  <w:tcBorders>
                    <w:tl2br w:val="nil"/>
                    <w:tr2bl w:val="nil"/>
                  </w:tcBorders>
                  <w:vAlign w:val="center"/>
                </w:tcPr>
                <w:p w14:paraId="2632D87A">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《城市污水再生利用 城市杂用水水质》（GB/T18920-2020）中的城市绿化、道路清扫、消防、建筑施工标准</w:t>
                  </w:r>
                </w:p>
              </w:tc>
              <w:tc>
                <w:tcPr>
                  <w:tcW w:w="409" w:type="pct"/>
                  <w:tcBorders>
                    <w:tl2br w:val="nil"/>
                    <w:tr2bl w:val="nil"/>
                  </w:tcBorders>
                  <w:vAlign w:val="center"/>
                </w:tcPr>
                <w:p w14:paraId="32A446C5">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达标情况</w:t>
                  </w:r>
                </w:p>
              </w:tc>
            </w:tr>
            <w:tr w14:paraId="75790FF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73" w:type="pct"/>
                  <w:vMerge w:val="restart"/>
                  <w:tcBorders>
                    <w:tl2br w:val="nil"/>
                    <w:tr2bl w:val="nil"/>
                  </w:tcBorders>
                  <w:vAlign w:val="center"/>
                </w:tcPr>
                <w:p w14:paraId="59031AC3">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生活污</w:t>
                  </w:r>
                  <w:r>
                    <w:rPr>
                      <w:rFonts w:hint="default" w:ascii="Times New Roman" w:hAnsi="Times New Roman" w:eastAsia="宋体" w:cs="Times New Roman"/>
                      <w:color w:val="auto"/>
                      <w:szCs w:val="21"/>
                      <w:highlight w:val="none"/>
                    </w:rPr>
                    <w:t>水</w:t>
                  </w:r>
                </w:p>
              </w:tc>
              <w:tc>
                <w:tcPr>
                  <w:tcW w:w="634" w:type="pct"/>
                  <w:tcBorders>
                    <w:tl2br w:val="nil"/>
                    <w:tr2bl w:val="nil"/>
                  </w:tcBorders>
                  <w:vAlign w:val="center"/>
                </w:tcPr>
                <w:p w14:paraId="482264C2">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COD</w:t>
                  </w:r>
                </w:p>
              </w:tc>
              <w:tc>
                <w:tcPr>
                  <w:tcW w:w="451" w:type="pct"/>
                  <w:tcBorders>
                    <w:tl2br w:val="nil"/>
                    <w:tr2bl w:val="nil"/>
                  </w:tcBorders>
                  <w:vAlign w:val="center"/>
                </w:tcPr>
                <w:p w14:paraId="376A9958">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400</w:t>
                  </w:r>
                </w:p>
              </w:tc>
              <w:tc>
                <w:tcPr>
                  <w:tcW w:w="562" w:type="pct"/>
                  <w:vMerge w:val="restart"/>
                  <w:tcBorders>
                    <w:tl2br w:val="nil"/>
                    <w:tr2bl w:val="nil"/>
                  </w:tcBorders>
                  <w:vAlign w:val="center"/>
                </w:tcPr>
                <w:p w14:paraId="26CC4C95">
                  <w:pPr>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化粪池</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rPr>
                    <w:t>一体化</w:t>
                  </w:r>
                  <w:r>
                    <w:rPr>
                      <w:rFonts w:hint="eastAsia" w:cs="Times New Roman"/>
                      <w:color w:val="auto"/>
                      <w:sz w:val="21"/>
                      <w:szCs w:val="21"/>
                      <w:highlight w:val="none"/>
                      <w:lang w:eastAsia="zh-CN"/>
                    </w:rPr>
                    <w:t>生活</w:t>
                  </w:r>
                  <w:r>
                    <w:rPr>
                      <w:rFonts w:hint="default" w:ascii="Times New Roman" w:hAnsi="Times New Roman" w:eastAsia="宋体" w:cs="Times New Roman"/>
                      <w:color w:val="auto"/>
                      <w:sz w:val="21"/>
                      <w:szCs w:val="21"/>
                      <w:highlight w:val="none"/>
                    </w:rPr>
                    <w:t>污水处理</w:t>
                  </w:r>
                  <w:r>
                    <w:rPr>
                      <w:rFonts w:hint="default" w:ascii="Times New Roman" w:hAnsi="Times New Roman" w:eastAsia="宋体" w:cs="Times New Roman"/>
                      <w:color w:val="auto"/>
                      <w:sz w:val="21"/>
                      <w:szCs w:val="21"/>
                      <w:highlight w:val="none"/>
                      <w:lang w:val="en-US" w:eastAsia="zh-CN"/>
                    </w:rPr>
                    <w:t>站</w:t>
                  </w:r>
                </w:p>
              </w:tc>
              <w:tc>
                <w:tcPr>
                  <w:tcW w:w="489" w:type="pct"/>
                  <w:tcBorders>
                    <w:tl2br w:val="nil"/>
                    <w:tr2bl w:val="nil"/>
                  </w:tcBorders>
                  <w:vAlign w:val="center"/>
                </w:tcPr>
                <w:p w14:paraId="653449BC">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bidi="ar"/>
                    </w:rPr>
                  </w:pPr>
                  <w:r>
                    <w:rPr>
                      <w:rFonts w:hint="eastAsia" w:eastAsia="宋体" w:cs="Times New Roman"/>
                      <w:i w:val="0"/>
                      <w:iCs w:val="0"/>
                      <w:color w:val="auto"/>
                      <w:kern w:val="0"/>
                      <w:sz w:val="21"/>
                      <w:szCs w:val="21"/>
                      <w:highlight w:val="none"/>
                      <w:u w:val="none"/>
                      <w:lang w:val="en-US" w:eastAsia="zh-CN" w:bidi="ar"/>
                    </w:rPr>
                    <w:t>32</w:t>
                  </w:r>
                </w:p>
              </w:tc>
              <w:tc>
                <w:tcPr>
                  <w:tcW w:w="2179" w:type="pct"/>
                  <w:tcBorders>
                    <w:tl2br w:val="nil"/>
                    <w:tr2bl w:val="nil"/>
                  </w:tcBorders>
                  <w:vAlign w:val="center"/>
                </w:tcPr>
                <w:p w14:paraId="5AD6A0B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409" w:type="pct"/>
                  <w:tcBorders>
                    <w:tl2br w:val="nil"/>
                    <w:tr2bl w:val="nil"/>
                  </w:tcBorders>
                  <w:vAlign w:val="center"/>
                </w:tcPr>
                <w:p w14:paraId="04DC9358">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4DBFFCF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73" w:type="pct"/>
                  <w:vMerge w:val="continue"/>
                  <w:tcBorders>
                    <w:tl2br w:val="nil"/>
                    <w:tr2bl w:val="nil"/>
                  </w:tcBorders>
                  <w:vAlign w:val="center"/>
                </w:tcPr>
                <w:p w14:paraId="30E7F180">
                  <w:pP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14:paraId="108E6C3B">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BOD</w:t>
                  </w:r>
                  <w:r>
                    <w:rPr>
                      <w:rFonts w:hint="default" w:ascii="Times New Roman" w:hAnsi="Times New Roman" w:eastAsia="宋体" w:cs="Times New Roman"/>
                      <w:color w:val="auto"/>
                      <w:kern w:val="0"/>
                      <w:szCs w:val="21"/>
                      <w:highlight w:val="none"/>
                      <w:vertAlign w:val="subscript"/>
                      <w:lang w:bidi="ar"/>
                    </w:rPr>
                    <w:t>5</w:t>
                  </w:r>
                </w:p>
              </w:tc>
              <w:tc>
                <w:tcPr>
                  <w:tcW w:w="451" w:type="pct"/>
                  <w:tcBorders>
                    <w:tl2br w:val="nil"/>
                    <w:tr2bl w:val="nil"/>
                  </w:tcBorders>
                  <w:vAlign w:val="center"/>
                </w:tcPr>
                <w:p w14:paraId="2927CC19">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161</w:t>
                  </w:r>
                </w:p>
              </w:tc>
              <w:tc>
                <w:tcPr>
                  <w:tcW w:w="562" w:type="pct"/>
                  <w:vMerge w:val="continue"/>
                  <w:tcBorders>
                    <w:tl2br w:val="nil"/>
                    <w:tr2bl w:val="nil"/>
                  </w:tcBorders>
                  <w:vAlign w:val="center"/>
                </w:tcPr>
                <w:p w14:paraId="03C587B9">
                  <w:pPr>
                    <w:jc w:val="center"/>
                    <w:rPr>
                      <w:rFonts w:hint="default" w:ascii="Times New Roman" w:hAnsi="Times New Roman" w:eastAsia="宋体" w:cs="Times New Roman"/>
                      <w:color w:val="auto"/>
                      <w:kern w:val="0"/>
                      <w:sz w:val="21"/>
                      <w:szCs w:val="21"/>
                      <w:highlight w:val="none"/>
                      <w:lang w:bidi="ar"/>
                    </w:rPr>
                  </w:pPr>
                </w:p>
              </w:tc>
              <w:tc>
                <w:tcPr>
                  <w:tcW w:w="489" w:type="pct"/>
                  <w:tcBorders>
                    <w:tl2br w:val="nil"/>
                    <w:tr2bl w:val="nil"/>
                  </w:tcBorders>
                  <w:vAlign w:val="center"/>
                </w:tcPr>
                <w:p w14:paraId="7793944F">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bidi="ar"/>
                    </w:rPr>
                  </w:pPr>
                  <w:r>
                    <w:rPr>
                      <w:rFonts w:hint="eastAsia" w:eastAsia="宋体" w:cs="Times New Roman"/>
                      <w:i w:val="0"/>
                      <w:iCs w:val="0"/>
                      <w:color w:val="auto"/>
                      <w:kern w:val="0"/>
                      <w:sz w:val="21"/>
                      <w:szCs w:val="21"/>
                      <w:highlight w:val="none"/>
                      <w:u w:val="none"/>
                      <w:lang w:val="en-US" w:eastAsia="zh-CN" w:bidi="ar"/>
                    </w:rPr>
                    <w:t>9.4</w:t>
                  </w:r>
                </w:p>
              </w:tc>
              <w:tc>
                <w:tcPr>
                  <w:tcW w:w="2179" w:type="pct"/>
                  <w:tcBorders>
                    <w:tl2br w:val="nil"/>
                    <w:tr2bl w:val="nil"/>
                  </w:tcBorders>
                  <w:vAlign w:val="center"/>
                </w:tcPr>
                <w:p w14:paraId="5136AB16">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10</w:t>
                  </w:r>
                </w:p>
              </w:tc>
              <w:tc>
                <w:tcPr>
                  <w:tcW w:w="409" w:type="pct"/>
                  <w:tcBorders>
                    <w:tl2br w:val="nil"/>
                    <w:tr2bl w:val="nil"/>
                  </w:tcBorders>
                  <w:vAlign w:val="center"/>
                </w:tcPr>
                <w:p w14:paraId="5D052AA4">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49611DA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73" w:type="pct"/>
                  <w:vMerge w:val="continue"/>
                  <w:tcBorders>
                    <w:tl2br w:val="nil"/>
                    <w:tr2bl w:val="nil"/>
                  </w:tcBorders>
                  <w:vAlign w:val="center"/>
                </w:tcPr>
                <w:p w14:paraId="0AAAC82A">
                  <w:pP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14:paraId="69D4249D">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SS</w:t>
                  </w:r>
                </w:p>
              </w:tc>
              <w:tc>
                <w:tcPr>
                  <w:tcW w:w="451" w:type="pct"/>
                  <w:tcBorders>
                    <w:tl2br w:val="nil"/>
                    <w:tr2bl w:val="nil"/>
                  </w:tcBorders>
                  <w:vAlign w:val="center"/>
                </w:tcPr>
                <w:p w14:paraId="0F15981F">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eastAsia="宋体" w:cs="Times New Roman"/>
                      <w:color w:val="auto"/>
                      <w:kern w:val="0"/>
                      <w:szCs w:val="21"/>
                      <w:highlight w:val="none"/>
                      <w:lang w:val="en-US" w:eastAsia="zh-CN" w:bidi="ar"/>
                    </w:rPr>
                    <w:t>150</w:t>
                  </w:r>
                </w:p>
              </w:tc>
              <w:tc>
                <w:tcPr>
                  <w:tcW w:w="562" w:type="pct"/>
                  <w:vMerge w:val="continue"/>
                  <w:tcBorders>
                    <w:tl2br w:val="nil"/>
                    <w:tr2bl w:val="nil"/>
                  </w:tcBorders>
                  <w:vAlign w:val="center"/>
                </w:tcPr>
                <w:p w14:paraId="2A211E63">
                  <w:pPr>
                    <w:jc w:val="center"/>
                    <w:rPr>
                      <w:rFonts w:hint="default" w:ascii="Times New Roman" w:hAnsi="Times New Roman" w:eastAsia="宋体" w:cs="Times New Roman"/>
                      <w:color w:val="auto"/>
                      <w:kern w:val="0"/>
                      <w:szCs w:val="21"/>
                      <w:highlight w:val="none"/>
                      <w:lang w:bidi="ar"/>
                    </w:rPr>
                  </w:pPr>
                </w:p>
              </w:tc>
              <w:tc>
                <w:tcPr>
                  <w:tcW w:w="489" w:type="pct"/>
                  <w:tcBorders>
                    <w:tl2br w:val="nil"/>
                    <w:tr2bl w:val="nil"/>
                  </w:tcBorders>
                  <w:vAlign w:val="center"/>
                </w:tcPr>
                <w:p w14:paraId="26F40796">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bidi="ar"/>
                    </w:rPr>
                  </w:pPr>
                  <w:r>
                    <w:rPr>
                      <w:rFonts w:hint="eastAsia" w:eastAsia="宋体" w:cs="Times New Roman"/>
                      <w:i w:val="0"/>
                      <w:iCs w:val="0"/>
                      <w:color w:val="auto"/>
                      <w:kern w:val="0"/>
                      <w:sz w:val="21"/>
                      <w:szCs w:val="21"/>
                      <w:highlight w:val="none"/>
                      <w:u w:val="none"/>
                      <w:lang w:val="en-US" w:eastAsia="zh-CN" w:bidi="ar"/>
                    </w:rPr>
                    <w:t>18</w:t>
                  </w:r>
                </w:p>
              </w:tc>
              <w:tc>
                <w:tcPr>
                  <w:tcW w:w="2179" w:type="pct"/>
                  <w:tcBorders>
                    <w:tl2br w:val="nil"/>
                    <w:tr2bl w:val="nil"/>
                  </w:tcBorders>
                  <w:vAlign w:val="center"/>
                </w:tcPr>
                <w:p w14:paraId="79E4BD22">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409" w:type="pct"/>
                  <w:tcBorders>
                    <w:tl2br w:val="nil"/>
                    <w:tr2bl w:val="nil"/>
                  </w:tcBorders>
                  <w:vAlign w:val="center"/>
                </w:tcPr>
                <w:p w14:paraId="1D5FE4C1">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15D1204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73" w:type="pct"/>
                  <w:vMerge w:val="continue"/>
                  <w:tcBorders>
                    <w:tl2br w:val="nil"/>
                    <w:tr2bl w:val="nil"/>
                  </w:tcBorders>
                  <w:vAlign w:val="center"/>
                </w:tcPr>
                <w:p w14:paraId="4CB0B461">
                  <w:pP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14:paraId="25F5B85E">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NH</w:t>
                  </w:r>
                  <w:r>
                    <w:rPr>
                      <w:rFonts w:hint="default" w:ascii="Times New Roman" w:hAnsi="Times New Roman" w:eastAsia="宋体" w:cs="Times New Roman"/>
                      <w:color w:val="auto"/>
                      <w:kern w:val="0"/>
                      <w:szCs w:val="21"/>
                      <w:highlight w:val="none"/>
                      <w:vertAlign w:val="subscript"/>
                      <w:lang w:bidi="ar"/>
                    </w:rPr>
                    <w:t>3</w:t>
                  </w:r>
                  <w:r>
                    <w:rPr>
                      <w:rFonts w:hint="default" w:ascii="Times New Roman" w:hAnsi="Times New Roman" w:eastAsia="宋体" w:cs="Times New Roman"/>
                      <w:color w:val="auto"/>
                      <w:kern w:val="0"/>
                      <w:szCs w:val="21"/>
                      <w:highlight w:val="none"/>
                      <w:lang w:bidi="ar"/>
                    </w:rPr>
                    <w:t>-N</w:t>
                  </w:r>
                </w:p>
              </w:tc>
              <w:tc>
                <w:tcPr>
                  <w:tcW w:w="451" w:type="pct"/>
                  <w:tcBorders>
                    <w:tl2br w:val="nil"/>
                    <w:tr2bl w:val="nil"/>
                  </w:tcBorders>
                  <w:vAlign w:val="center"/>
                </w:tcPr>
                <w:p w14:paraId="6C889011">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eastAsia="宋体" w:cs="Times New Roman"/>
                      <w:color w:val="auto"/>
                      <w:kern w:val="0"/>
                      <w:szCs w:val="21"/>
                      <w:highlight w:val="none"/>
                      <w:lang w:val="en-US" w:eastAsia="zh-CN" w:bidi="ar"/>
                    </w:rPr>
                    <w:t>109</w:t>
                  </w:r>
                </w:p>
              </w:tc>
              <w:tc>
                <w:tcPr>
                  <w:tcW w:w="562" w:type="pct"/>
                  <w:vMerge w:val="continue"/>
                  <w:tcBorders>
                    <w:tl2br w:val="nil"/>
                    <w:tr2bl w:val="nil"/>
                  </w:tcBorders>
                  <w:vAlign w:val="center"/>
                </w:tcPr>
                <w:p w14:paraId="60721548">
                  <w:pPr>
                    <w:jc w:val="center"/>
                    <w:rPr>
                      <w:rFonts w:hint="default" w:ascii="Times New Roman" w:hAnsi="Times New Roman" w:eastAsia="宋体" w:cs="Times New Roman"/>
                      <w:color w:val="auto"/>
                      <w:kern w:val="0"/>
                      <w:szCs w:val="21"/>
                      <w:highlight w:val="none"/>
                      <w:lang w:bidi="ar"/>
                    </w:rPr>
                  </w:pPr>
                </w:p>
              </w:tc>
              <w:tc>
                <w:tcPr>
                  <w:tcW w:w="489" w:type="pct"/>
                  <w:tcBorders>
                    <w:tl2br w:val="nil"/>
                    <w:tr2bl w:val="nil"/>
                  </w:tcBorders>
                  <w:vAlign w:val="center"/>
                </w:tcPr>
                <w:p w14:paraId="78A00BD6">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bidi="ar"/>
                    </w:rPr>
                  </w:pPr>
                  <w:r>
                    <w:rPr>
                      <w:rFonts w:hint="eastAsia" w:eastAsia="宋体" w:cs="Times New Roman"/>
                      <w:i w:val="0"/>
                      <w:iCs w:val="0"/>
                      <w:color w:val="auto"/>
                      <w:kern w:val="0"/>
                      <w:sz w:val="21"/>
                      <w:szCs w:val="21"/>
                      <w:highlight w:val="none"/>
                      <w:u w:val="none"/>
                      <w:lang w:val="en-US" w:eastAsia="zh-CN" w:bidi="ar"/>
                    </w:rPr>
                    <w:t>7.38</w:t>
                  </w:r>
                </w:p>
              </w:tc>
              <w:tc>
                <w:tcPr>
                  <w:tcW w:w="2179" w:type="pct"/>
                  <w:tcBorders>
                    <w:tl2br w:val="nil"/>
                    <w:tr2bl w:val="nil"/>
                  </w:tcBorders>
                  <w:vAlign w:val="center"/>
                </w:tcPr>
                <w:p w14:paraId="319DF38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8</w:t>
                  </w:r>
                </w:p>
              </w:tc>
              <w:tc>
                <w:tcPr>
                  <w:tcW w:w="409" w:type="pct"/>
                  <w:tcBorders>
                    <w:tl2br w:val="nil"/>
                    <w:tr2bl w:val="nil"/>
                  </w:tcBorders>
                  <w:vAlign w:val="center"/>
                </w:tcPr>
                <w:p w14:paraId="41B0C5CF">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065F1DE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273" w:type="pct"/>
                  <w:vMerge w:val="continue"/>
                  <w:tcBorders>
                    <w:tl2br w:val="nil"/>
                    <w:tr2bl w:val="nil"/>
                  </w:tcBorders>
                  <w:vAlign w:val="center"/>
                </w:tcPr>
                <w:p w14:paraId="08DF238F">
                  <w:pP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14:paraId="11045E41">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TP</w:t>
                  </w:r>
                </w:p>
              </w:tc>
              <w:tc>
                <w:tcPr>
                  <w:tcW w:w="451" w:type="pct"/>
                  <w:tcBorders>
                    <w:tl2br w:val="nil"/>
                    <w:tr2bl w:val="nil"/>
                  </w:tcBorders>
                  <w:vAlign w:val="center"/>
                </w:tcPr>
                <w:p w14:paraId="76F9DD97">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8</w:t>
                  </w:r>
                </w:p>
              </w:tc>
              <w:tc>
                <w:tcPr>
                  <w:tcW w:w="562" w:type="pct"/>
                  <w:vMerge w:val="continue"/>
                  <w:tcBorders>
                    <w:tl2br w:val="nil"/>
                    <w:tr2bl w:val="nil"/>
                  </w:tcBorders>
                  <w:vAlign w:val="center"/>
                </w:tcPr>
                <w:p w14:paraId="20383C25">
                  <w:pPr>
                    <w:jc w:val="center"/>
                    <w:rPr>
                      <w:rFonts w:hint="default" w:ascii="Times New Roman" w:hAnsi="Times New Roman" w:eastAsia="宋体" w:cs="Times New Roman"/>
                      <w:color w:val="auto"/>
                      <w:kern w:val="0"/>
                      <w:szCs w:val="21"/>
                      <w:highlight w:val="none"/>
                      <w:lang w:bidi="ar"/>
                    </w:rPr>
                  </w:pPr>
                </w:p>
              </w:tc>
              <w:tc>
                <w:tcPr>
                  <w:tcW w:w="489" w:type="pct"/>
                  <w:tcBorders>
                    <w:tl2br w:val="nil"/>
                    <w:tr2bl w:val="nil"/>
                  </w:tcBorders>
                  <w:vAlign w:val="center"/>
                </w:tcPr>
                <w:p w14:paraId="7AFCD3A3">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eastAsia" w:eastAsia="宋体" w:cs="Times New Roman"/>
                      <w:i w:val="0"/>
                      <w:iCs w:val="0"/>
                      <w:color w:val="auto"/>
                      <w:kern w:val="0"/>
                      <w:sz w:val="21"/>
                      <w:szCs w:val="21"/>
                      <w:highlight w:val="none"/>
                      <w:u w:val="none"/>
                      <w:lang w:val="en-US" w:eastAsia="zh-CN" w:bidi="ar"/>
                    </w:rPr>
                    <w:t>4</w:t>
                  </w:r>
                </w:p>
              </w:tc>
              <w:tc>
                <w:tcPr>
                  <w:tcW w:w="2179" w:type="pct"/>
                  <w:tcBorders>
                    <w:tl2br w:val="nil"/>
                    <w:tr2bl w:val="nil"/>
                  </w:tcBorders>
                  <w:vAlign w:val="center"/>
                </w:tcPr>
                <w:p w14:paraId="193C8A13">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409" w:type="pct"/>
                  <w:tcBorders>
                    <w:tl2br w:val="nil"/>
                    <w:tr2bl w:val="nil"/>
                  </w:tcBorders>
                  <w:vAlign w:val="center"/>
                </w:tcPr>
                <w:p w14:paraId="2F6DB325">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14:paraId="74024CB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73" w:type="pct"/>
                  <w:vMerge w:val="continue"/>
                  <w:tcBorders>
                    <w:tl2br w:val="nil"/>
                    <w:tr2bl w:val="nil"/>
                  </w:tcBorders>
                  <w:vAlign w:val="center"/>
                </w:tcPr>
                <w:p w14:paraId="6B60764C">
                  <w:pP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14:paraId="515C734A">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动植物油</w:t>
                  </w:r>
                </w:p>
              </w:tc>
              <w:tc>
                <w:tcPr>
                  <w:tcW w:w="451" w:type="pct"/>
                  <w:tcBorders>
                    <w:tl2br w:val="nil"/>
                    <w:tr2bl w:val="nil"/>
                  </w:tcBorders>
                  <w:vAlign w:val="center"/>
                </w:tcPr>
                <w:p w14:paraId="1CAE4CE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eastAsia="宋体" w:cs="Times New Roman"/>
                      <w:color w:val="auto"/>
                      <w:kern w:val="0"/>
                      <w:szCs w:val="21"/>
                      <w:highlight w:val="none"/>
                      <w:lang w:val="en-US" w:eastAsia="zh-CN" w:bidi="ar"/>
                    </w:rPr>
                    <w:t>30</w:t>
                  </w:r>
                </w:p>
              </w:tc>
              <w:tc>
                <w:tcPr>
                  <w:tcW w:w="562" w:type="pct"/>
                  <w:vMerge w:val="continue"/>
                  <w:tcBorders>
                    <w:tl2br w:val="nil"/>
                    <w:tr2bl w:val="nil"/>
                  </w:tcBorders>
                  <w:vAlign w:val="center"/>
                </w:tcPr>
                <w:p w14:paraId="4186EA21">
                  <w:pPr>
                    <w:jc w:val="center"/>
                    <w:rPr>
                      <w:rFonts w:hint="default" w:ascii="Times New Roman" w:hAnsi="Times New Roman" w:eastAsia="宋体" w:cs="Times New Roman"/>
                      <w:color w:val="auto"/>
                      <w:kern w:val="0"/>
                      <w:szCs w:val="21"/>
                      <w:highlight w:val="none"/>
                      <w:lang w:bidi="ar"/>
                    </w:rPr>
                  </w:pPr>
                </w:p>
              </w:tc>
              <w:tc>
                <w:tcPr>
                  <w:tcW w:w="489" w:type="pct"/>
                  <w:tcBorders>
                    <w:tl2br w:val="nil"/>
                    <w:tr2bl w:val="nil"/>
                  </w:tcBorders>
                  <w:vAlign w:val="center"/>
                </w:tcPr>
                <w:p w14:paraId="14C0A3CB">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eastAsia" w:eastAsia="宋体" w:cs="Times New Roman"/>
                      <w:i w:val="0"/>
                      <w:iCs w:val="0"/>
                      <w:color w:val="auto"/>
                      <w:kern w:val="0"/>
                      <w:sz w:val="21"/>
                      <w:szCs w:val="21"/>
                      <w:highlight w:val="none"/>
                      <w:u w:val="none"/>
                      <w:lang w:val="en-US" w:eastAsia="zh-CN" w:bidi="ar"/>
                    </w:rPr>
                    <w:t>6</w:t>
                  </w:r>
                </w:p>
              </w:tc>
              <w:tc>
                <w:tcPr>
                  <w:tcW w:w="2179" w:type="pct"/>
                  <w:tcBorders>
                    <w:tl2br w:val="nil"/>
                    <w:tr2bl w:val="nil"/>
                  </w:tcBorders>
                  <w:vAlign w:val="center"/>
                </w:tcPr>
                <w:p w14:paraId="279C8CAA">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409" w:type="pct"/>
                  <w:tcBorders>
                    <w:tl2br w:val="nil"/>
                    <w:tr2bl w:val="nil"/>
                  </w:tcBorders>
                  <w:vAlign w:val="center"/>
                </w:tcPr>
                <w:p w14:paraId="14B8500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达标</w:t>
                  </w:r>
                </w:p>
              </w:tc>
            </w:tr>
          </w:tbl>
          <w:p w14:paraId="1EF0DF00">
            <w:pPr>
              <w:spacing w:line="348" w:lineRule="auto"/>
              <w:ind w:firstLine="480"/>
              <w:rPr>
                <w:rFonts w:hint="default" w:ascii="Times New Roman" w:hAnsi="Times New Roman" w:eastAsia="宋体" w:cs="Times New Roman"/>
                <w:color w:val="auto"/>
                <w:sz w:val="24"/>
                <w:highlight w:val="none"/>
                <w:u w:val="none"/>
                <w:lang w:val="zh-CN"/>
              </w:rPr>
            </w:pP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上表可以看出，生活</w:t>
            </w:r>
            <w:r>
              <w:rPr>
                <w:rFonts w:hint="eastAsia" w:eastAsia="宋体" w:cs="Times New Roman"/>
                <w:b w:val="0"/>
                <w:bCs w:val="0"/>
                <w:color w:val="auto"/>
                <w:sz w:val="24"/>
                <w:szCs w:val="24"/>
                <w:highlight w:val="none"/>
                <w:lang w:val="zh-CN"/>
              </w:rPr>
              <w:t>污</w:t>
            </w:r>
            <w:r>
              <w:rPr>
                <w:rFonts w:hint="default" w:ascii="Times New Roman" w:hAnsi="Times New Roman" w:eastAsia="宋体" w:cs="Times New Roman"/>
                <w:b w:val="0"/>
                <w:bCs w:val="0"/>
                <w:color w:val="auto"/>
                <w:sz w:val="24"/>
                <w:szCs w:val="24"/>
                <w:highlight w:val="none"/>
                <w:lang w:val="zh-CN"/>
              </w:rPr>
              <w:t>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化粪池及</w:t>
            </w:r>
            <w:r>
              <w:rPr>
                <w:rFonts w:hint="default" w:ascii="Times New Roman" w:hAnsi="Times New Roman" w:eastAsia="宋体" w:cs="Times New Roman"/>
                <w:b w:val="0"/>
                <w:bCs w:val="0"/>
                <w:color w:val="auto"/>
                <w:sz w:val="24"/>
                <w:szCs w:val="24"/>
                <w:highlight w:val="none"/>
              </w:rPr>
              <w:t>一体化</w:t>
            </w:r>
            <w:r>
              <w:rPr>
                <w:rFonts w:hint="eastAsia" w:cs="Times New Roman"/>
                <w:b w:val="0"/>
                <w:bCs w:val="0"/>
                <w:color w:val="auto"/>
                <w:sz w:val="24"/>
                <w:szCs w:val="24"/>
                <w:highlight w:val="none"/>
                <w:lang w:eastAsia="zh-CN"/>
              </w:rPr>
              <w:t>生活</w:t>
            </w:r>
            <w:r>
              <w:rPr>
                <w:rFonts w:hint="default" w:ascii="Times New Roman" w:hAnsi="Times New Roman" w:eastAsia="宋体" w:cs="Times New Roman"/>
                <w:b w:val="0"/>
                <w:bCs w:val="0"/>
                <w:color w:val="auto"/>
                <w:sz w:val="24"/>
                <w:szCs w:val="24"/>
                <w:highlight w:val="none"/>
              </w:rPr>
              <w:t>污水处理</w:t>
            </w:r>
            <w:r>
              <w:rPr>
                <w:rFonts w:hint="default" w:ascii="Times New Roman" w:hAnsi="Times New Roman" w:eastAsia="宋体" w:cs="Times New Roman"/>
                <w:b w:val="0"/>
                <w:bCs w:val="0"/>
                <w:color w:val="auto"/>
                <w:sz w:val="24"/>
                <w:szCs w:val="24"/>
                <w:highlight w:val="none"/>
                <w:lang w:val="en-US" w:eastAsia="zh-CN"/>
              </w:rPr>
              <w:t>站</w:t>
            </w:r>
            <w:r>
              <w:rPr>
                <w:rFonts w:hint="default" w:ascii="Times New Roman" w:hAnsi="Times New Roman" w:eastAsia="宋体" w:cs="Times New Roman"/>
                <w:b w:val="0"/>
                <w:bCs w:val="0"/>
                <w:color w:val="auto"/>
                <w:sz w:val="24"/>
                <w:szCs w:val="24"/>
                <w:highlight w:val="none"/>
                <w:lang w:val="zh-CN"/>
              </w:rPr>
              <w:t>处理后，</w:t>
            </w:r>
            <w:r>
              <w:rPr>
                <w:rFonts w:hint="default" w:ascii="Times New Roman" w:hAnsi="Times New Roman" w:eastAsia="宋体" w:cs="Times New Roman"/>
                <w:b w:val="0"/>
                <w:bCs w:val="0"/>
                <w:color w:val="auto"/>
                <w:sz w:val="24"/>
                <w:szCs w:val="24"/>
                <w:highlight w:val="none"/>
              </w:rPr>
              <w:t>出水水质能够</w:t>
            </w:r>
            <w:r>
              <w:rPr>
                <w:rFonts w:hint="default" w:ascii="Times New Roman" w:hAnsi="Times New Roman" w:eastAsia="宋体" w:cs="Times New Roman"/>
                <w:b w:val="0"/>
                <w:bCs w:val="0"/>
                <w:color w:val="auto"/>
                <w:sz w:val="24"/>
                <w:szCs w:val="24"/>
                <w:highlight w:val="none"/>
                <w:lang w:val="en-US" w:eastAsia="zh-CN"/>
              </w:rPr>
              <w:t>满足《城市污水再生利用 城市杂用水水质》（GB/T18920-2020）中的城市绿化、道路清扫、消防、建筑施工标准要求</w:t>
            </w:r>
            <w:r>
              <w:rPr>
                <w:rFonts w:hint="default" w:ascii="Times New Roman" w:hAnsi="Times New Roman" w:eastAsia="宋体" w:cs="Times New Roman"/>
                <w:color w:val="auto"/>
                <w:sz w:val="24"/>
                <w:szCs w:val="24"/>
                <w:highlight w:val="none"/>
              </w:rPr>
              <w:t>。</w:t>
            </w:r>
          </w:p>
          <w:p w14:paraId="59A43DF9">
            <w:pPr>
              <w:autoSpaceDE w:val="0"/>
              <w:autoSpaceDN w:val="0"/>
              <w:adjustRightInd w:val="0"/>
              <w:snapToGrid w:val="0"/>
              <w:spacing w:line="360" w:lineRule="auto"/>
              <w:ind w:firstLine="480" w:firstLineChars="200"/>
              <w:textAlignment w:val="baseline"/>
              <w:rPr>
                <w:rFonts w:hint="default"/>
                <w:color w:val="auto"/>
                <w:highlight w:val="none"/>
                <w:lang w:val="en-US" w:eastAsia="zh-CN"/>
              </w:rPr>
            </w:pPr>
            <w:r>
              <w:rPr>
                <w:rFonts w:hint="eastAsia" w:ascii="Times New Roman" w:hAnsi="Times New Roman" w:eastAsia="宋体" w:cs="Times New Roman"/>
                <w:color w:val="auto"/>
                <w:sz w:val="24"/>
                <w:highlight w:val="none"/>
                <w:lang w:val="en-US" w:eastAsia="zh-CN"/>
              </w:rPr>
              <w:t>综上，项目</w:t>
            </w:r>
            <w:r>
              <w:rPr>
                <w:rFonts w:hint="eastAsia" w:cs="Times New Roman"/>
                <w:color w:val="auto"/>
                <w:sz w:val="24"/>
                <w:highlight w:val="none"/>
                <w:lang w:val="en-US" w:eastAsia="zh-CN"/>
              </w:rPr>
              <w:t>一体化生活</w:t>
            </w:r>
            <w:r>
              <w:rPr>
                <w:rFonts w:hint="eastAsia" w:ascii="Times New Roman" w:hAnsi="Times New Roman" w:eastAsia="宋体" w:cs="Times New Roman"/>
                <w:color w:val="auto"/>
                <w:sz w:val="24"/>
                <w:highlight w:val="none"/>
                <w:lang w:val="en-US" w:eastAsia="zh-CN"/>
              </w:rPr>
              <w:t>污水处理站处理规模、工艺均满足要求。</w:t>
            </w:r>
          </w:p>
          <w:p w14:paraId="3DDC0689">
            <w:pPr>
              <w:tabs>
                <w:tab w:val="left" w:pos="5300"/>
              </w:tabs>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bidi="ar"/>
              </w:rPr>
            </w:pPr>
            <w:r>
              <w:rPr>
                <w:rFonts w:hint="eastAsia" w:cs="Times New Roman"/>
                <w:b/>
                <w:bCs w:val="0"/>
                <w:color w:val="auto"/>
                <w:sz w:val="24"/>
                <w:highlight w:val="none"/>
                <w:lang w:val="en-US" w:eastAsia="zh-CN" w:bidi="ar"/>
              </w:rPr>
              <w:t>④生活污水</w:t>
            </w:r>
            <w:r>
              <w:rPr>
                <w:rFonts w:hint="eastAsia" w:ascii="Times New Roman" w:hAnsi="Times New Roman" w:eastAsia="宋体" w:cs="Times New Roman"/>
                <w:b/>
                <w:bCs w:val="0"/>
                <w:color w:val="auto"/>
                <w:sz w:val="24"/>
                <w:highlight w:val="none"/>
                <w:lang w:val="en-US" w:eastAsia="zh-CN" w:bidi="ar"/>
              </w:rPr>
              <w:t>回用</w:t>
            </w:r>
            <w:r>
              <w:rPr>
                <w:rFonts w:hint="default" w:ascii="Times New Roman" w:hAnsi="Times New Roman" w:eastAsia="宋体" w:cs="Times New Roman"/>
                <w:b/>
                <w:bCs w:val="0"/>
                <w:color w:val="auto"/>
                <w:sz w:val="24"/>
                <w:highlight w:val="none"/>
                <w:lang w:val="en-US" w:eastAsia="zh-CN" w:bidi="ar"/>
              </w:rPr>
              <w:t>可行性分析</w:t>
            </w:r>
          </w:p>
          <w:p w14:paraId="09B1D5B3">
            <w:pPr>
              <w:autoSpaceDE w:val="0"/>
              <w:autoSpaceDN w:val="0"/>
              <w:adjustRightInd w:val="0"/>
              <w:snapToGrid w:val="0"/>
              <w:spacing w:line="360" w:lineRule="auto"/>
              <w:ind w:firstLine="480" w:firstLineChars="200"/>
              <w:textAlignment w:val="baseline"/>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highlight w:val="none"/>
                <w:lang w:val="en-US" w:eastAsia="zh-CN"/>
              </w:rPr>
              <w:t>根据项目水平衡，</w:t>
            </w:r>
            <w:r>
              <w:rPr>
                <w:rFonts w:hint="eastAsia" w:cs="Times New Roman"/>
                <w:color w:val="auto"/>
                <w:sz w:val="24"/>
                <w:highlight w:val="none"/>
                <w:lang w:val="en-US" w:eastAsia="zh-CN"/>
              </w:rPr>
              <w:t>本</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生活污水</w:t>
            </w:r>
            <w:r>
              <w:rPr>
                <w:rFonts w:hint="eastAsia" w:ascii="Times New Roman" w:hAnsi="Times New Roman" w:eastAsia="宋体" w:cs="Times New Roman"/>
                <w:color w:val="auto"/>
                <w:sz w:val="24"/>
                <w:highlight w:val="none"/>
                <w:lang w:val="en-US" w:eastAsia="zh-CN"/>
              </w:rPr>
              <w:t>及原项目</w:t>
            </w:r>
            <w:r>
              <w:rPr>
                <w:rFonts w:hint="eastAsia" w:cs="Times New Roman"/>
                <w:color w:val="auto"/>
                <w:sz w:val="24"/>
                <w:highlight w:val="none"/>
                <w:lang w:val="en-US" w:eastAsia="zh-CN"/>
              </w:rPr>
              <w:t>生活污水</w:t>
            </w:r>
            <w:r>
              <w:rPr>
                <w:rFonts w:hint="eastAsia" w:ascii="Times New Roman" w:hAnsi="Times New Roman" w:eastAsia="宋体" w:cs="Times New Roman"/>
                <w:color w:val="auto"/>
                <w:sz w:val="24"/>
                <w:highlight w:val="none"/>
                <w:lang w:val="en-US" w:eastAsia="zh-CN"/>
              </w:rPr>
              <w:t>产生量合计为</w:t>
            </w:r>
            <w:r>
              <w:rPr>
                <w:rFonts w:hint="eastAsia" w:cs="Times New Roman"/>
                <w:color w:val="auto"/>
                <w:sz w:val="24"/>
                <w:highlight w:val="none"/>
                <w:lang w:val="en-US" w:eastAsia="zh-CN"/>
              </w:rPr>
              <w:t>3.38</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eastAsia" w:cs="Times New Roman"/>
                <w:color w:val="auto"/>
                <w:sz w:val="24"/>
                <w:szCs w:val="24"/>
                <w:highlight w:val="none"/>
                <w:lang w:eastAsia="zh-CN" w:bidi="ar"/>
              </w:rPr>
              <w:t>，</w:t>
            </w:r>
            <w:r>
              <w:rPr>
                <w:rFonts w:hint="eastAsia" w:cs="Times New Roman"/>
                <w:color w:val="auto"/>
                <w:sz w:val="24"/>
                <w:szCs w:val="24"/>
                <w:highlight w:val="none"/>
                <w:lang w:val="en-US" w:eastAsia="zh-CN" w:bidi="ar"/>
              </w:rPr>
              <w:t>1014</w:t>
            </w:r>
            <w:r>
              <w:rPr>
                <w:rFonts w:hint="eastAsia" w:ascii="Times New Roman" w:hAnsi="Times New Roman" w:eastAsia="宋体" w:cs="Times New Roman"/>
                <w:color w:val="auto"/>
                <w:sz w:val="24"/>
                <w:szCs w:val="24"/>
                <w:highlight w:val="none"/>
                <w:lang w:val="en-US" w:eastAsia="zh-CN" w:bidi="ar"/>
              </w:rPr>
              <w:t>m</w:t>
            </w:r>
            <w:r>
              <w:rPr>
                <w:rFonts w:hint="eastAsia" w:ascii="Times New Roman" w:hAnsi="Times New Roman" w:eastAsia="宋体" w:cs="Times New Roman"/>
                <w:color w:val="auto"/>
                <w:sz w:val="24"/>
                <w:szCs w:val="24"/>
                <w:highlight w:val="none"/>
                <w:vertAlign w:val="superscript"/>
                <w:lang w:val="en-US" w:eastAsia="zh-CN" w:bidi="ar"/>
              </w:rPr>
              <w:t>3</w:t>
            </w:r>
            <w:r>
              <w:rPr>
                <w:rFonts w:hint="eastAsia" w:ascii="Times New Roman" w:hAnsi="Times New Roman" w:eastAsia="宋体" w:cs="Times New Roman"/>
                <w:color w:val="auto"/>
                <w:sz w:val="24"/>
                <w:szCs w:val="24"/>
                <w:highlight w:val="none"/>
                <w:lang w:val="en-US" w:eastAsia="zh-CN" w:bidi="ar"/>
              </w:rPr>
              <w:t>/a</w:t>
            </w: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项目区绿化及道路广场浇洒用水量为</w:t>
            </w:r>
            <w:r>
              <w:rPr>
                <w:rFonts w:hint="eastAsia" w:cs="Times New Roman"/>
                <w:color w:val="auto"/>
                <w:kern w:val="2"/>
                <w:sz w:val="24"/>
                <w:szCs w:val="24"/>
                <w:highlight w:val="none"/>
                <w:lang w:val="en-US" w:eastAsia="zh-CN" w:bidi="ar"/>
              </w:rPr>
              <w:t>5.412</w:t>
            </w:r>
            <w:r>
              <w:rPr>
                <w:rFonts w:hint="default" w:ascii="Times New Roman" w:hAnsi="Times New Roman" w:eastAsia="宋体" w:cs="Times New Roman"/>
                <w:color w:val="auto"/>
                <w:kern w:val="2"/>
                <w:sz w:val="24"/>
                <w:szCs w:val="24"/>
                <w:highlight w:val="none"/>
                <w:lang w:val="en-US" w:eastAsia="zh-CN" w:bidi="ar"/>
              </w:rPr>
              <w:t>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hint="default" w:ascii="Times New Roman" w:hAnsi="Times New Roman" w:eastAsia="宋体" w:cs="Times New Roman"/>
                <w:color w:val="auto"/>
                <w:kern w:val="2"/>
                <w:sz w:val="24"/>
                <w:szCs w:val="24"/>
                <w:highlight w:val="none"/>
                <w:lang w:val="en-US" w:eastAsia="zh-CN" w:bidi="ar"/>
              </w:rPr>
              <w:t>/d，</w:t>
            </w:r>
            <w:r>
              <w:rPr>
                <w:rFonts w:hint="eastAsia" w:cs="Times New Roman"/>
                <w:color w:val="auto"/>
                <w:kern w:val="2"/>
                <w:sz w:val="24"/>
                <w:szCs w:val="24"/>
                <w:highlight w:val="none"/>
                <w:lang w:val="en-US" w:eastAsia="zh-CN" w:bidi="ar"/>
              </w:rPr>
              <w:t>1434.18</w:t>
            </w:r>
            <w:r>
              <w:rPr>
                <w:rFonts w:hint="default" w:ascii="Times New Roman" w:hAnsi="Times New Roman" w:eastAsia="宋体" w:cs="Times New Roman"/>
                <w:color w:val="auto"/>
                <w:kern w:val="2"/>
                <w:sz w:val="24"/>
                <w:szCs w:val="24"/>
                <w:highlight w:val="none"/>
                <w:lang w:val="en-US" w:eastAsia="zh-CN" w:bidi="ar"/>
              </w:rPr>
              <w:t>m</w:t>
            </w:r>
            <w:r>
              <w:rPr>
                <w:rFonts w:hint="default" w:ascii="Times New Roman" w:hAnsi="Times New Roman" w:eastAsia="宋体" w:cs="Times New Roman"/>
                <w:color w:val="auto"/>
                <w:kern w:val="2"/>
                <w:sz w:val="24"/>
                <w:szCs w:val="24"/>
                <w:highlight w:val="none"/>
                <w:vertAlign w:val="superscript"/>
                <w:lang w:val="en-US" w:eastAsia="zh-CN" w:bidi="ar"/>
              </w:rPr>
              <w:t>3</w:t>
            </w:r>
            <w:r>
              <w:rPr>
                <w:rFonts w:hint="default" w:ascii="Times New Roman" w:hAnsi="Times New Roman" w:eastAsia="宋体" w:cs="Times New Roman"/>
                <w:color w:val="auto"/>
                <w:kern w:val="2"/>
                <w:sz w:val="24"/>
                <w:szCs w:val="24"/>
                <w:highlight w:val="none"/>
                <w:lang w:val="en-US" w:eastAsia="zh-CN" w:bidi="ar"/>
              </w:rPr>
              <w:t>/a</w:t>
            </w:r>
            <w:r>
              <w:rPr>
                <w:rFonts w:hint="eastAsia" w:cs="Times New Roman"/>
                <w:color w:val="auto"/>
                <w:kern w:val="2"/>
                <w:sz w:val="24"/>
                <w:szCs w:val="24"/>
                <w:highlight w:val="none"/>
                <w:lang w:val="en-US" w:eastAsia="zh-CN" w:bidi="ar"/>
              </w:rPr>
              <w:t>，</w:t>
            </w:r>
            <w:r>
              <w:rPr>
                <w:rFonts w:hint="eastAsia" w:ascii="Times New Roman" w:hAnsi="Times New Roman" w:eastAsia="宋体" w:cs="Times New Roman"/>
                <w:color w:val="auto"/>
                <w:sz w:val="24"/>
                <w:szCs w:val="24"/>
                <w:highlight w:val="none"/>
                <w:lang w:val="en-US" w:eastAsia="zh-CN" w:bidi="ar"/>
              </w:rPr>
              <w:t>项目区绿化及道路广场浇洒</w:t>
            </w:r>
            <w:r>
              <w:rPr>
                <w:rFonts w:hint="default" w:ascii="Times New Roman" w:hAnsi="Times New Roman" w:eastAsia="宋体" w:cs="Times New Roman"/>
                <w:b w:val="0"/>
                <w:bCs w:val="0"/>
                <w:color w:val="auto"/>
                <w:sz w:val="24"/>
                <w:szCs w:val="24"/>
                <w:highlight w:val="none"/>
                <w:lang w:val="en-US" w:eastAsia="zh-CN"/>
              </w:rPr>
              <w:t>所需水量大于</w:t>
            </w:r>
            <w:r>
              <w:rPr>
                <w:rFonts w:hint="eastAsia" w:eastAsia="宋体" w:cs="Times New Roman"/>
                <w:b w:val="0"/>
                <w:bCs w:val="0"/>
                <w:color w:val="auto"/>
                <w:sz w:val="24"/>
                <w:szCs w:val="24"/>
                <w:highlight w:val="none"/>
                <w:lang w:val="en-US" w:eastAsia="zh-CN"/>
              </w:rPr>
              <w:t>全厂</w:t>
            </w:r>
            <w:r>
              <w:rPr>
                <w:rFonts w:hint="default" w:ascii="Times New Roman" w:hAnsi="Times New Roman" w:eastAsia="宋体" w:cs="Times New Roman"/>
                <w:b w:val="0"/>
                <w:bCs w:val="0"/>
                <w:color w:val="auto"/>
                <w:sz w:val="24"/>
                <w:szCs w:val="24"/>
                <w:highlight w:val="none"/>
                <w:lang w:val="en-US" w:eastAsia="zh-CN"/>
              </w:rPr>
              <w:t>生活污水总量，</w:t>
            </w:r>
            <w:r>
              <w:rPr>
                <w:rFonts w:hint="default" w:ascii="Times New Roman" w:hAnsi="Times New Roman" w:eastAsia="宋体" w:cs="Times New Roman"/>
                <w:color w:val="auto"/>
                <w:sz w:val="24"/>
                <w:szCs w:val="24"/>
                <w:highlight w:val="none"/>
                <w:lang w:val="en-US" w:eastAsia="zh-CN"/>
              </w:rPr>
              <w:t>因此一体化生活污水处理站处理后废水</w:t>
            </w:r>
            <w:r>
              <w:rPr>
                <w:rFonts w:hint="eastAsia" w:ascii="Times New Roman" w:hAnsi="Times New Roman" w:eastAsia="宋体" w:cs="Times New Roman"/>
                <w:color w:val="auto"/>
                <w:sz w:val="24"/>
                <w:szCs w:val="24"/>
                <w:highlight w:val="none"/>
                <w:lang w:val="en-US" w:eastAsia="zh-CN" w:bidi="ar"/>
              </w:rPr>
              <w:t>可全部回用于项目区绿化及道路广场浇洒</w:t>
            </w:r>
            <w:r>
              <w:rPr>
                <w:rFonts w:hint="eastAsia" w:cs="Times New Roman"/>
                <w:color w:val="auto"/>
                <w:sz w:val="24"/>
                <w:szCs w:val="24"/>
                <w:highlight w:val="none"/>
                <w:lang w:val="en-US" w:eastAsia="zh-CN" w:bidi="ar"/>
              </w:rPr>
              <w:t>，不外排</w:t>
            </w:r>
            <w:r>
              <w:rPr>
                <w:rFonts w:hint="eastAsia" w:ascii="Times New Roman" w:hAnsi="Times New Roman" w:eastAsia="宋体" w:cs="Times New Roman"/>
                <w:color w:val="auto"/>
                <w:sz w:val="24"/>
                <w:szCs w:val="24"/>
                <w:highlight w:val="none"/>
                <w:lang w:val="en-US" w:eastAsia="zh-CN" w:bidi="ar"/>
              </w:rPr>
              <w:t>。</w:t>
            </w:r>
          </w:p>
          <w:p w14:paraId="5AF0E3E1">
            <w:pPr>
              <w:autoSpaceDE w:val="0"/>
              <w:autoSpaceDN w:val="0"/>
              <w:adjustRightInd w:val="0"/>
              <w:snapToGrid w:val="0"/>
              <w:spacing w:line="360" w:lineRule="auto"/>
              <w:ind w:firstLine="480" w:firstLineChars="200"/>
              <w:textAlignment w:val="baseline"/>
              <w:rPr>
                <w:rFonts w:hint="eastAsia"/>
                <w:color w:val="auto"/>
                <w:sz w:val="24"/>
                <w:highlight w:val="none"/>
                <w:lang w:val="en-US" w:eastAsia="zh-CN"/>
              </w:rPr>
            </w:pPr>
            <w:r>
              <w:rPr>
                <w:rFonts w:hint="eastAsia" w:ascii="Times New Roman" w:hAnsi="Times New Roman" w:eastAsia="宋体" w:cs="Times New Roman"/>
                <w:color w:val="auto"/>
                <w:sz w:val="24"/>
                <w:szCs w:val="24"/>
                <w:highlight w:val="none"/>
                <w:lang w:val="en-US" w:eastAsia="zh-CN" w:bidi="ar"/>
              </w:rPr>
              <w:t>根据分析，项目</w:t>
            </w:r>
            <w:r>
              <w:rPr>
                <w:rFonts w:hint="eastAsia" w:cs="Times New Roman"/>
                <w:color w:val="auto"/>
                <w:sz w:val="24"/>
                <w:szCs w:val="24"/>
                <w:highlight w:val="none"/>
                <w:lang w:val="en-US" w:eastAsia="zh-CN" w:bidi="ar"/>
              </w:rPr>
              <w:t>生活污水</w:t>
            </w:r>
            <w:r>
              <w:rPr>
                <w:rFonts w:hint="eastAsia" w:ascii="Times New Roman" w:hAnsi="Times New Roman" w:eastAsia="宋体" w:cs="Times New Roman"/>
                <w:color w:val="auto"/>
                <w:sz w:val="24"/>
                <w:szCs w:val="24"/>
                <w:highlight w:val="none"/>
                <w:lang w:val="en-US" w:eastAsia="zh-CN" w:bidi="ar"/>
              </w:rPr>
              <w:t>经</w:t>
            </w:r>
            <w:r>
              <w:rPr>
                <w:rFonts w:hint="eastAsia" w:cs="Times New Roman"/>
                <w:color w:val="auto"/>
                <w:sz w:val="24"/>
                <w:szCs w:val="24"/>
                <w:highlight w:val="none"/>
                <w:lang w:val="en-US" w:eastAsia="zh-CN" w:bidi="ar"/>
              </w:rPr>
              <w:t>生活</w:t>
            </w:r>
            <w:r>
              <w:rPr>
                <w:rFonts w:hint="eastAsia" w:ascii="Times New Roman" w:hAnsi="Times New Roman" w:eastAsia="宋体" w:cs="Times New Roman"/>
                <w:color w:val="auto"/>
                <w:sz w:val="24"/>
                <w:szCs w:val="24"/>
                <w:highlight w:val="none"/>
                <w:lang w:val="en-US" w:eastAsia="zh-CN" w:bidi="ar"/>
              </w:rPr>
              <w:t>污水处理站处理后水质满足</w:t>
            </w:r>
            <w:r>
              <w:rPr>
                <w:color w:val="auto"/>
                <w:sz w:val="24"/>
                <w:highlight w:val="none"/>
              </w:rPr>
              <w:t>《城</w:t>
            </w:r>
            <w:r>
              <w:rPr>
                <w:rFonts w:hint="eastAsia"/>
                <w:color w:val="auto"/>
                <w:sz w:val="24"/>
                <w:highlight w:val="none"/>
                <w:lang w:eastAsia="zh-CN"/>
              </w:rPr>
              <w:t>市</w:t>
            </w:r>
            <w:r>
              <w:rPr>
                <w:color w:val="auto"/>
                <w:sz w:val="24"/>
                <w:highlight w:val="none"/>
              </w:rPr>
              <w:t xml:space="preserve">污水再生利用 </w:t>
            </w:r>
            <w:r>
              <w:rPr>
                <w:rFonts w:hint="eastAsia"/>
                <w:color w:val="auto"/>
                <w:sz w:val="24"/>
                <w:highlight w:val="none"/>
                <w:lang w:eastAsia="zh-CN"/>
              </w:rPr>
              <w:t>城市</w:t>
            </w:r>
            <w:r>
              <w:rPr>
                <w:color w:val="auto"/>
                <w:sz w:val="24"/>
                <w:highlight w:val="none"/>
              </w:rPr>
              <w:t>杂用水水质》</w:t>
            </w:r>
            <w:r>
              <w:rPr>
                <w:rFonts w:hint="eastAsia"/>
                <w:color w:val="auto"/>
                <w:sz w:val="24"/>
                <w:highlight w:val="none"/>
              </w:rPr>
              <w:t>（</w:t>
            </w:r>
            <w:r>
              <w:rPr>
                <w:color w:val="auto"/>
                <w:sz w:val="24"/>
                <w:highlight w:val="none"/>
              </w:rPr>
              <w:t>GB/T1892</w:t>
            </w:r>
            <w:r>
              <w:rPr>
                <w:rFonts w:hint="eastAsia"/>
                <w:color w:val="auto"/>
                <w:sz w:val="24"/>
                <w:highlight w:val="none"/>
                <w:lang w:val="en-US" w:eastAsia="zh-CN"/>
              </w:rPr>
              <w:t>0-2020</w:t>
            </w:r>
            <w:r>
              <w:rPr>
                <w:rFonts w:hint="eastAsia"/>
                <w:color w:val="auto"/>
                <w:sz w:val="24"/>
                <w:highlight w:val="none"/>
              </w:rPr>
              <w:t>）</w:t>
            </w:r>
            <w:r>
              <w:rPr>
                <w:rFonts w:hint="default" w:hAnsi="Times New Roman"/>
                <w:color w:val="auto"/>
                <w:sz w:val="24"/>
                <w:szCs w:val="24"/>
                <w:highlight w:val="none"/>
              </w:rPr>
              <w:t>中</w:t>
            </w:r>
            <w:r>
              <w:rPr>
                <w:rFonts w:hint="eastAsia"/>
                <w:color w:val="auto"/>
                <w:sz w:val="24"/>
                <w:szCs w:val="24"/>
                <w:highlight w:val="none"/>
              </w:rPr>
              <w:t>城市绿化、</w:t>
            </w:r>
            <w:r>
              <w:rPr>
                <w:rFonts w:hint="eastAsia"/>
                <w:color w:val="auto"/>
                <w:sz w:val="24"/>
                <w:szCs w:val="24"/>
                <w:highlight w:val="none"/>
                <w:lang w:eastAsia="zh-CN"/>
              </w:rPr>
              <w:t>道路广场浇洒</w:t>
            </w:r>
            <w:r>
              <w:rPr>
                <w:rFonts w:hint="eastAsia"/>
                <w:color w:val="auto"/>
                <w:sz w:val="24"/>
                <w:szCs w:val="24"/>
                <w:highlight w:val="none"/>
              </w:rPr>
              <w:t>、消防、建筑施工标准</w:t>
            </w:r>
            <w:r>
              <w:rPr>
                <w:rFonts w:hint="eastAsia"/>
                <w:color w:val="auto"/>
                <w:sz w:val="24"/>
                <w:highlight w:val="none"/>
                <w:lang w:eastAsia="zh-CN"/>
              </w:rPr>
              <w:t>，</w:t>
            </w:r>
            <w:r>
              <w:rPr>
                <w:rFonts w:hint="eastAsia"/>
                <w:color w:val="auto"/>
                <w:sz w:val="24"/>
                <w:highlight w:val="none"/>
                <w:lang w:val="en-US" w:eastAsia="zh-CN"/>
              </w:rPr>
              <w:t>满足回用水质要求。</w:t>
            </w:r>
          </w:p>
          <w:p w14:paraId="02F74CA0">
            <w:pPr>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bidi="ar"/>
              </w:rPr>
            </w:pPr>
            <w:r>
              <w:rPr>
                <w:rFonts w:hint="eastAsia"/>
                <w:color w:val="auto"/>
                <w:sz w:val="24"/>
                <w:highlight w:val="none"/>
                <w:lang w:val="en-US" w:eastAsia="zh-CN"/>
              </w:rPr>
              <w:t>项目区产生的生活污水经一体化生活污水处理站处理后，雨天暂存于蓄水池，待非雨天回用于项目区绿化和道路广场浇洒。</w:t>
            </w:r>
            <w:r>
              <w:rPr>
                <w:rFonts w:hint="eastAsia"/>
                <w:color w:val="auto"/>
                <w:sz w:val="24"/>
                <w:szCs w:val="24"/>
                <w:highlight w:val="none"/>
                <w:lang w:val="en-US" w:eastAsia="zh-CN"/>
              </w:rPr>
              <w:t>原项目配套建设了1个容积为</w:t>
            </w:r>
            <w:r>
              <w:rPr>
                <w:rFonts w:hint="eastAsia" w:cs="Times New Roman"/>
                <w:color w:val="auto"/>
                <w:sz w:val="24"/>
                <w:highlight w:val="none"/>
                <w:lang w:val="en-US" w:eastAsia="zh-CN"/>
              </w:rPr>
              <w:t>15</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的</w:t>
            </w:r>
            <w:r>
              <w:rPr>
                <w:rFonts w:hint="eastAsia" w:cs="Times New Roman"/>
                <w:color w:val="auto"/>
                <w:sz w:val="24"/>
                <w:highlight w:val="none"/>
                <w:lang w:val="en-US" w:eastAsia="zh-CN"/>
              </w:rPr>
              <w:t>蓄水</w:t>
            </w:r>
            <w:r>
              <w:rPr>
                <w:rFonts w:hint="eastAsia" w:ascii="Times New Roman" w:hAnsi="Times New Roman" w:cs="Times New Roman"/>
                <w:color w:val="auto"/>
                <w:sz w:val="24"/>
                <w:highlight w:val="none"/>
                <w:lang w:val="en-US" w:eastAsia="zh-CN"/>
              </w:rPr>
              <w:t>池，容积可满足原项目产生的生活污水</w:t>
            </w:r>
            <w:r>
              <w:rPr>
                <w:rFonts w:hint="eastAsia"/>
                <w:color w:val="auto"/>
                <w:sz w:val="24"/>
                <w:highlight w:val="none"/>
                <w:lang w:val="en-US" w:eastAsia="zh-CN"/>
              </w:rPr>
              <w:t>暂存7天的要求，但本项目扩建以后，蓄水池容积不满足暂存7天的生活污水暂存要求，故项目区蓄水</w:t>
            </w:r>
            <w:r>
              <w:rPr>
                <w:rFonts w:hint="eastAsia" w:ascii="Times New Roman" w:hAnsi="Times New Roman" w:eastAsia="宋体" w:cs="Times New Roman"/>
                <w:color w:val="auto"/>
                <w:sz w:val="24"/>
                <w:szCs w:val="24"/>
                <w:highlight w:val="none"/>
                <w:lang w:val="en-US" w:eastAsia="zh-CN" w:bidi="ar"/>
              </w:rPr>
              <w:t>池应</w:t>
            </w:r>
            <w:r>
              <w:rPr>
                <w:rFonts w:hint="eastAsia" w:cs="Times New Roman"/>
                <w:color w:val="auto"/>
                <w:sz w:val="24"/>
                <w:szCs w:val="24"/>
                <w:highlight w:val="none"/>
                <w:lang w:val="en-US" w:eastAsia="zh-CN" w:bidi="ar"/>
              </w:rPr>
              <w:t>至少</w:t>
            </w:r>
            <w:r>
              <w:rPr>
                <w:rFonts w:hint="eastAsia" w:ascii="Times New Roman" w:hAnsi="Times New Roman" w:eastAsia="宋体" w:cs="Times New Roman"/>
                <w:color w:val="auto"/>
                <w:sz w:val="24"/>
                <w:szCs w:val="24"/>
                <w:highlight w:val="none"/>
                <w:lang w:val="en-US" w:eastAsia="zh-CN" w:bidi="ar"/>
              </w:rPr>
              <w:t>扩容至23.</w:t>
            </w:r>
            <w:r>
              <w:rPr>
                <w:rFonts w:hint="eastAsia" w:cs="Times New Roman"/>
                <w:color w:val="auto"/>
                <w:sz w:val="24"/>
                <w:szCs w:val="24"/>
                <w:highlight w:val="none"/>
                <w:lang w:val="en-US" w:eastAsia="zh-CN" w:bidi="ar"/>
              </w:rPr>
              <w:t>66</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方</w:t>
            </w:r>
            <w:r>
              <w:rPr>
                <w:rFonts w:hint="eastAsia" w:ascii="Times New Roman" w:hAnsi="Times New Roman" w:eastAsia="宋体" w:cs="Times New Roman"/>
                <w:color w:val="auto"/>
                <w:sz w:val="24"/>
                <w:szCs w:val="24"/>
                <w:highlight w:val="none"/>
                <w:lang w:val="en-US" w:eastAsia="zh-CN" w:bidi="ar"/>
              </w:rPr>
              <w:t>可满足暂存要求</w:t>
            </w:r>
            <w:r>
              <w:rPr>
                <w:rFonts w:hint="eastAsia" w:cs="Times New Roman"/>
                <w:color w:val="auto"/>
                <w:sz w:val="24"/>
                <w:szCs w:val="24"/>
                <w:highlight w:val="none"/>
                <w:lang w:val="en-US" w:eastAsia="zh-CN" w:bidi="ar"/>
              </w:rPr>
              <w:t>，本环评要求本次扩建将蓄水池扩容至25</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bidi="ar"/>
              </w:rPr>
              <w:t>。</w:t>
            </w:r>
          </w:p>
          <w:p w14:paraId="07C7C9A1">
            <w:pPr>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bidi="ar"/>
              </w:rPr>
              <w:t>综上分析，项目</w:t>
            </w:r>
            <w:r>
              <w:rPr>
                <w:rFonts w:hint="eastAsia" w:cs="Times New Roman"/>
                <w:color w:val="auto"/>
                <w:sz w:val="24"/>
                <w:szCs w:val="24"/>
                <w:highlight w:val="none"/>
                <w:lang w:val="en-US" w:eastAsia="zh-CN" w:bidi="ar"/>
              </w:rPr>
              <w:t>生活污水</w:t>
            </w:r>
            <w:r>
              <w:rPr>
                <w:rFonts w:hint="eastAsia" w:ascii="Times New Roman" w:hAnsi="Times New Roman" w:eastAsia="宋体" w:cs="Times New Roman"/>
                <w:color w:val="auto"/>
                <w:sz w:val="24"/>
                <w:szCs w:val="24"/>
                <w:highlight w:val="none"/>
                <w:lang w:val="en-US" w:eastAsia="zh-CN" w:bidi="ar"/>
              </w:rPr>
              <w:t>经处理达标后回用于项目区绿化及道路广场浇洒是可行的。</w:t>
            </w: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rPr>
              <w:t>项目运营期产生的废水不外排，对周边地表水环境影响较小。</w:t>
            </w:r>
          </w:p>
          <w:p w14:paraId="7473C460">
            <w:pPr>
              <w:autoSpaceDE w:val="0"/>
              <w:autoSpaceDN w:val="0"/>
              <w:adjustRightInd w:val="0"/>
              <w:snapToGrid w:val="0"/>
              <w:spacing w:line="360" w:lineRule="auto"/>
              <w:ind w:firstLine="482" w:firstLineChars="200"/>
              <w:textAlignment w:val="baseline"/>
              <w:rPr>
                <w:rFonts w:hint="eastAsia" w:ascii="Times New Roman" w:hAnsi="Times New Roman" w:eastAsia="宋体" w:cs="Times New Roman"/>
                <w:b/>
                <w:bCs/>
                <w:color w:val="auto"/>
                <w:sz w:val="24"/>
                <w:szCs w:val="24"/>
                <w:highlight w:val="none"/>
                <w:lang w:val="en-US" w:eastAsia="zh-CN" w:bidi="ar"/>
              </w:rPr>
            </w:pPr>
            <w:r>
              <w:rPr>
                <w:rFonts w:hint="eastAsia" w:ascii="Times New Roman" w:hAnsi="Times New Roman" w:eastAsia="宋体" w:cs="Times New Roman"/>
                <w:b/>
                <w:bCs/>
                <w:color w:val="auto"/>
                <w:sz w:val="24"/>
                <w:szCs w:val="24"/>
                <w:highlight w:val="none"/>
                <w:lang w:val="en-US" w:eastAsia="zh-CN" w:bidi="ar"/>
              </w:rPr>
              <w:t>（</w:t>
            </w:r>
            <w:r>
              <w:rPr>
                <w:rFonts w:hint="eastAsia" w:cs="Times New Roman"/>
                <w:b/>
                <w:bCs/>
                <w:color w:val="auto"/>
                <w:sz w:val="24"/>
                <w:szCs w:val="24"/>
                <w:highlight w:val="none"/>
                <w:lang w:val="en-US" w:eastAsia="zh-CN" w:bidi="ar"/>
              </w:rPr>
              <w:t>4</w:t>
            </w:r>
            <w:r>
              <w:rPr>
                <w:rFonts w:hint="eastAsia" w:ascii="Times New Roman" w:hAnsi="Times New Roman" w:eastAsia="宋体" w:cs="Times New Roman"/>
                <w:b/>
                <w:bCs/>
                <w:color w:val="auto"/>
                <w:sz w:val="24"/>
                <w:szCs w:val="24"/>
                <w:highlight w:val="none"/>
                <w:lang w:val="en-US" w:eastAsia="zh-CN" w:bidi="ar"/>
              </w:rPr>
              <w:t>）监测要求</w:t>
            </w:r>
          </w:p>
          <w:p w14:paraId="222FD345">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根据排污许可技术</w:t>
            </w:r>
            <w:r>
              <w:rPr>
                <w:rFonts w:hint="default" w:ascii="Times New Roman" w:hAnsi="Times New Roman" w:eastAsia="宋体" w:cs="Times New Roman"/>
                <w:bCs/>
                <w:color w:val="auto"/>
                <w:sz w:val="24"/>
                <w:highlight w:val="none"/>
              </w:rPr>
              <w:t>规范可知，项目的废水监测计划如表</w:t>
            </w:r>
            <w:r>
              <w:rPr>
                <w:rFonts w:hint="default" w:ascii="Times New Roman" w:hAnsi="Times New Roman" w:eastAsia="宋体" w:cs="Times New Roman"/>
                <w:bCs/>
                <w:color w:val="auto"/>
                <w:sz w:val="24"/>
                <w:highlight w:val="none"/>
                <w:lang w:val="en-US" w:eastAsia="zh-CN"/>
              </w:rPr>
              <w:t>4-1</w:t>
            </w:r>
            <w:r>
              <w:rPr>
                <w:rFonts w:hint="eastAsia" w:cs="Times New Roman"/>
                <w:bCs/>
                <w:color w:val="auto"/>
                <w:sz w:val="24"/>
                <w:highlight w:val="none"/>
                <w:lang w:val="en-US" w:eastAsia="zh-CN"/>
              </w:rPr>
              <w:t>4</w:t>
            </w:r>
            <w:r>
              <w:rPr>
                <w:rFonts w:hint="default" w:ascii="Times New Roman" w:hAnsi="Times New Roman" w:eastAsia="宋体" w:cs="Times New Roman"/>
                <w:bCs/>
                <w:color w:val="auto"/>
                <w:highlight w:val="none"/>
              </w:rPr>
              <w:t>。</w:t>
            </w:r>
          </w:p>
          <w:p w14:paraId="544E3793">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1</w:t>
            </w:r>
            <w:r>
              <w:rPr>
                <w:rFonts w:hint="eastAsia" w:cs="Times New Roman"/>
                <w:b/>
                <w:bCs w:val="0"/>
                <w:color w:val="auto"/>
                <w:highlight w:val="none"/>
                <w:lang w:val="en-US" w:eastAsia="zh-CN"/>
              </w:rPr>
              <w:t>4</w:t>
            </w:r>
            <w:r>
              <w:rPr>
                <w:rFonts w:hint="default"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rPr>
              <w:t xml:space="preserve">  环境监测计划一览表</w:t>
            </w:r>
          </w:p>
          <w:tbl>
            <w:tblPr>
              <w:tblStyle w:val="25"/>
              <w:tblW w:w="83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0"/>
              <w:gridCol w:w="1125"/>
              <w:gridCol w:w="1785"/>
              <w:gridCol w:w="3495"/>
              <w:gridCol w:w="1473"/>
            </w:tblGrid>
            <w:tr w14:paraId="13C68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450" w:type="dxa"/>
                  <w:vAlign w:val="center"/>
                </w:tcPr>
                <w:p w14:paraId="4084C8EA">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125" w:type="dxa"/>
                  <w:vAlign w:val="center"/>
                </w:tcPr>
                <w:p w14:paraId="3425F791">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1785" w:type="dxa"/>
                  <w:vAlign w:val="center"/>
                </w:tcPr>
                <w:p w14:paraId="31C1B4C0">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3495" w:type="dxa"/>
                  <w:vAlign w:val="center"/>
                </w:tcPr>
                <w:p w14:paraId="1A57CB34">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473" w:type="dxa"/>
                  <w:vAlign w:val="center"/>
                </w:tcPr>
                <w:p w14:paraId="0A9E36A8">
                  <w:pPr>
                    <w:pStyle w:val="105"/>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14:paraId="35F72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450" w:type="dxa"/>
                  <w:vMerge w:val="restart"/>
                  <w:vAlign w:val="center"/>
                </w:tcPr>
                <w:p w14:paraId="67329685">
                  <w:pPr>
                    <w:pStyle w:val="105"/>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125" w:type="dxa"/>
                  <w:vAlign w:val="center"/>
                </w:tcPr>
                <w:p w14:paraId="656F8D7A">
                  <w:pPr>
                    <w:pStyle w:val="105"/>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生产废水处理设施</w:t>
                  </w:r>
                </w:p>
              </w:tc>
              <w:tc>
                <w:tcPr>
                  <w:tcW w:w="1785" w:type="dxa"/>
                  <w:vAlign w:val="center"/>
                </w:tcPr>
                <w:p w14:paraId="0913C6A6">
                  <w:pPr>
                    <w:pStyle w:val="105"/>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pH、COD、SS、氟化物（以F</w:t>
                  </w:r>
                  <w:r>
                    <w:rPr>
                      <w:rFonts w:hint="default" w:ascii="Times New Roman" w:hAnsi="Times New Roman" w:eastAsia="宋体" w:cs="Times New Roman"/>
                      <w:b w:val="0"/>
                      <w:bCs/>
                      <w:color w:val="auto"/>
                      <w:sz w:val="21"/>
                      <w:szCs w:val="21"/>
                      <w:highlight w:val="none"/>
                      <w:vertAlign w:val="superscript"/>
                      <w:lang w:val="en-US" w:eastAsia="zh-CN"/>
                    </w:rPr>
                    <w:t>-</w:t>
                  </w:r>
                  <w:r>
                    <w:rPr>
                      <w:rFonts w:hint="default" w:ascii="Times New Roman" w:hAnsi="Times New Roman" w:eastAsia="宋体" w:cs="Times New Roman"/>
                      <w:b w:val="0"/>
                      <w:bCs/>
                      <w:color w:val="auto"/>
                      <w:sz w:val="21"/>
                      <w:szCs w:val="21"/>
                      <w:highlight w:val="none"/>
                      <w:lang w:val="en-US" w:eastAsia="zh-CN"/>
                    </w:rPr>
                    <w:t>计）、氯化物（以Cl</w:t>
                  </w:r>
                  <w:r>
                    <w:rPr>
                      <w:rFonts w:hint="default" w:ascii="Times New Roman" w:hAnsi="Times New Roman" w:eastAsia="宋体" w:cs="Times New Roman"/>
                      <w:b w:val="0"/>
                      <w:bCs/>
                      <w:color w:val="auto"/>
                      <w:sz w:val="21"/>
                      <w:szCs w:val="21"/>
                      <w:highlight w:val="none"/>
                      <w:vertAlign w:val="superscript"/>
                      <w:lang w:val="en-US" w:eastAsia="zh-CN"/>
                    </w:rPr>
                    <w:t>-</w:t>
                  </w:r>
                  <w:r>
                    <w:rPr>
                      <w:rFonts w:hint="default" w:ascii="Times New Roman" w:hAnsi="Times New Roman" w:eastAsia="宋体" w:cs="Times New Roman"/>
                      <w:b w:val="0"/>
                      <w:bCs/>
                      <w:color w:val="auto"/>
                      <w:sz w:val="21"/>
                      <w:szCs w:val="21"/>
                      <w:highlight w:val="none"/>
                      <w:lang w:val="en-US" w:eastAsia="zh-CN"/>
                    </w:rPr>
                    <w:t>计）</w:t>
                  </w:r>
                </w:p>
              </w:tc>
              <w:tc>
                <w:tcPr>
                  <w:tcW w:w="3495" w:type="dxa"/>
                  <w:vAlign w:val="center"/>
                </w:tcPr>
                <w:p w14:paraId="63FE9196">
                  <w:pPr>
                    <w:pStyle w:val="69"/>
                    <w:spacing w:before="5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《城市污水再生利用 工业用水水质》（GB/T 19923-2005）中的洗涤用水标准</w:t>
                  </w:r>
                </w:p>
              </w:tc>
              <w:tc>
                <w:tcPr>
                  <w:tcW w:w="1473" w:type="dxa"/>
                  <w:vMerge w:val="restart"/>
                  <w:vAlign w:val="center"/>
                </w:tcPr>
                <w:p w14:paraId="54F8542B">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rPr>
                    <w:t>验收时监测一次，后根据国家相关技术规范进行</w:t>
                  </w:r>
                </w:p>
              </w:tc>
            </w:tr>
            <w:tr w14:paraId="71529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0" w:type="dxa"/>
                  <w:vMerge w:val="continue"/>
                  <w:vAlign w:val="center"/>
                </w:tcPr>
                <w:p w14:paraId="086DB7FF">
                  <w:pPr>
                    <w:pStyle w:val="105"/>
                    <w:spacing w:line="240" w:lineRule="auto"/>
                    <w:rPr>
                      <w:rFonts w:hint="default" w:ascii="Times New Roman" w:hAnsi="Times New Roman" w:eastAsia="宋体" w:cs="Times New Roman"/>
                      <w:color w:val="auto"/>
                      <w:sz w:val="21"/>
                      <w:szCs w:val="21"/>
                      <w:highlight w:val="none"/>
                    </w:rPr>
                  </w:pPr>
                </w:p>
              </w:tc>
              <w:tc>
                <w:tcPr>
                  <w:tcW w:w="1125" w:type="dxa"/>
                  <w:vAlign w:val="center"/>
                </w:tcPr>
                <w:p w14:paraId="601BE195">
                  <w:pPr>
                    <w:pStyle w:val="105"/>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一体化</w:t>
                  </w:r>
                  <w:r>
                    <w:rPr>
                      <w:rFonts w:hint="eastAsia" w:cs="Times New Roman"/>
                      <w:b w:val="0"/>
                      <w:bCs/>
                      <w:color w:val="auto"/>
                      <w:sz w:val="21"/>
                      <w:szCs w:val="21"/>
                      <w:highlight w:val="none"/>
                      <w:lang w:val="en-US" w:eastAsia="zh-CN"/>
                    </w:rPr>
                    <w:t>生活</w:t>
                  </w:r>
                  <w:r>
                    <w:rPr>
                      <w:rFonts w:hint="default" w:ascii="Times New Roman" w:hAnsi="Times New Roman" w:eastAsia="宋体" w:cs="Times New Roman"/>
                      <w:b w:val="0"/>
                      <w:bCs/>
                      <w:color w:val="auto"/>
                      <w:sz w:val="21"/>
                      <w:szCs w:val="21"/>
                      <w:highlight w:val="none"/>
                      <w:lang w:val="en-US" w:eastAsia="zh-CN"/>
                    </w:rPr>
                    <w:t>污水处理站</w:t>
                  </w:r>
                  <w:r>
                    <w:rPr>
                      <w:rFonts w:hint="default" w:ascii="Times New Roman" w:hAnsi="Times New Roman" w:eastAsia="宋体" w:cs="Times New Roman"/>
                      <w:b w:val="0"/>
                      <w:bCs/>
                      <w:color w:val="auto"/>
                      <w:sz w:val="21"/>
                      <w:szCs w:val="21"/>
                      <w:highlight w:val="none"/>
                    </w:rPr>
                    <w:t>出口</w:t>
                  </w:r>
                </w:p>
              </w:tc>
              <w:tc>
                <w:tcPr>
                  <w:tcW w:w="1785" w:type="dxa"/>
                  <w:vAlign w:val="center"/>
                </w:tcPr>
                <w:p w14:paraId="7DBAEB34">
                  <w:pPr>
                    <w:pStyle w:val="105"/>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pH、COD、BOD、SS、NH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-N、TP</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动植物油</w:t>
                  </w:r>
                </w:p>
              </w:tc>
              <w:tc>
                <w:tcPr>
                  <w:tcW w:w="3495" w:type="dxa"/>
                  <w:vAlign w:val="center"/>
                </w:tcPr>
                <w:p w14:paraId="6C104674">
                  <w:pPr>
                    <w:pStyle w:val="69"/>
                    <w:spacing w:before="5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《城市污水再生利用 城市杂用水水质》（GB/T18920-2020）中的城市绿化、道路清扫、消防、建筑施工标准</w:t>
                  </w:r>
                </w:p>
              </w:tc>
              <w:tc>
                <w:tcPr>
                  <w:tcW w:w="1473" w:type="dxa"/>
                  <w:vMerge w:val="continue"/>
                  <w:vAlign w:val="center"/>
                </w:tcPr>
                <w:p w14:paraId="65971572">
                  <w:pPr>
                    <w:jc w:val="center"/>
                    <w:rPr>
                      <w:rFonts w:hint="default" w:ascii="Times New Roman" w:hAnsi="Times New Roman" w:eastAsia="宋体" w:cs="Times New Roman"/>
                      <w:bCs/>
                      <w:color w:val="auto"/>
                      <w:kern w:val="2"/>
                      <w:sz w:val="21"/>
                      <w:szCs w:val="21"/>
                      <w:highlight w:val="none"/>
                      <w:lang w:val="en-US" w:eastAsia="zh-CN" w:bidi="ar-SA"/>
                    </w:rPr>
                  </w:pPr>
                </w:p>
              </w:tc>
            </w:tr>
          </w:tbl>
          <w:p w14:paraId="1DB029D6">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14:paraId="73BE192C">
            <w:pPr>
              <w:pStyle w:val="24"/>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Lines="0" w:afterAutospacing="0" w:line="360" w:lineRule="auto"/>
              <w:ind w:right="0" w:firstLine="482" w:firstLineChars="200"/>
              <w:textAlignment w:val="auto"/>
              <w:rPr>
                <w:rFonts w:hint="default" w:ascii="Times New Roman" w:hAnsi="Times New Roman" w:eastAsia="宋体" w:cs="Times New Roman"/>
                <w:b/>
                <w:bCs/>
                <w:color w:val="auto"/>
                <w:sz w:val="24"/>
                <w:szCs w:val="24"/>
                <w:highlight w:val="none"/>
                <w:lang w:val="zh-CN"/>
              </w:rPr>
            </w:pPr>
            <w:r>
              <w:rPr>
                <w:rFonts w:hint="eastAsia"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14:paraId="3CE3FC65">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14:paraId="7803887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highlight w:val="none"/>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固定噪声源</w:t>
            </w:r>
          </w:p>
          <w:p w14:paraId="5CCDE1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outlineLvl w:val="9"/>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。各类机械噪声值在7</w:t>
            </w:r>
            <w:r>
              <w:rPr>
                <w:rFonts w:hint="eastAsia" w:cs="Times New Roman"/>
                <w:color w:val="auto"/>
                <w:sz w:val="24"/>
                <w:highlight w:val="none"/>
                <w:lang w:val="en-US" w:eastAsia="zh-CN" w:bidi="ar"/>
              </w:rPr>
              <w:t>5</w:t>
            </w:r>
            <w:r>
              <w:rPr>
                <w:rFonts w:hint="default" w:ascii="Times New Roman" w:hAnsi="Times New Roman" w:eastAsia="宋体" w:cs="Times New Roman"/>
                <w:color w:val="auto"/>
                <w:sz w:val="24"/>
                <w:highlight w:val="none"/>
                <w:lang w:val="zh-CN" w:bidi="ar"/>
              </w:rPr>
              <w:t>～</w:t>
            </w:r>
            <w:r>
              <w:rPr>
                <w:rFonts w:hint="eastAsia" w:cs="Times New Roman"/>
                <w:color w:val="auto"/>
                <w:sz w:val="24"/>
                <w:highlight w:val="none"/>
                <w:lang w:val="en-US" w:eastAsia="zh-CN" w:bidi="ar"/>
              </w:rPr>
              <w:t>90</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15</w:t>
            </w:r>
            <w:r>
              <w:rPr>
                <w:rFonts w:hint="default" w:ascii="Times New Roman" w:hAnsi="Times New Roman" w:eastAsia="宋体" w:cs="Times New Roman"/>
                <w:color w:val="auto"/>
                <w:sz w:val="24"/>
                <w:highlight w:val="none"/>
              </w:rPr>
              <w:t>。</w:t>
            </w:r>
          </w:p>
        </w:tc>
      </w:tr>
    </w:tbl>
    <w:p w14:paraId="2486632D">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79A9221">
      <w:pPr>
        <w:pStyle w:val="3"/>
        <w:ind w:left="0" w:leftChars="0" w:firstLine="0" w:firstLineChars="0"/>
        <w:jc w:val="center"/>
        <w:rPr>
          <w:rFonts w:hint="default"/>
          <w:color w:val="auto"/>
          <w:sz w:val="21"/>
          <w:szCs w:val="21"/>
          <w:highlight w:val="none"/>
        </w:rPr>
      </w:pPr>
      <w:bookmarkStart w:id="27" w:name="_Toc6881"/>
      <w:bookmarkStart w:id="28" w:name="_Toc9427"/>
      <w:r>
        <w:rPr>
          <w:rFonts w:hint="default" w:ascii="Times New Roman" w:hAnsi="Times New Roman" w:eastAsia="宋体" w:cs="Times New Roman"/>
          <w:b/>
          <w:bCs/>
          <w:color w:val="auto"/>
          <w:sz w:val="21"/>
          <w:szCs w:val="21"/>
          <w:highlight w:val="none"/>
        </w:rPr>
        <w:t>表4-</w:t>
      </w:r>
      <w:r>
        <w:rPr>
          <w:rFonts w:hint="eastAsia" w:ascii="Times New Roman" w:hAnsi="Times New Roman" w:cs="Times New Roman"/>
          <w:b/>
          <w:bCs/>
          <w:color w:val="auto"/>
          <w:sz w:val="21"/>
          <w:szCs w:val="21"/>
          <w:highlight w:val="none"/>
          <w:lang w:val="en-US" w:eastAsia="zh-CN"/>
        </w:rPr>
        <w:t>15</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5"/>
        <w:tblpPr w:leftFromText="180" w:rightFromText="180" w:vertAnchor="text" w:horzAnchor="page" w:tblpXSpec="center" w:tblpY="323"/>
        <w:tblOverlap w:val="never"/>
        <w:tblW w:w="15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915"/>
        <w:gridCol w:w="1047"/>
        <w:gridCol w:w="702"/>
        <w:gridCol w:w="753"/>
        <w:gridCol w:w="525"/>
        <w:gridCol w:w="525"/>
        <w:gridCol w:w="495"/>
        <w:gridCol w:w="510"/>
        <w:gridCol w:w="555"/>
        <w:gridCol w:w="525"/>
        <w:gridCol w:w="540"/>
        <w:gridCol w:w="525"/>
        <w:gridCol w:w="600"/>
        <w:gridCol w:w="585"/>
        <w:gridCol w:w="510"/>
        <w:gridCol w:w="600"/>
        <w:gridCol w:w="555"/>
        <w:gridCol w:w="630"/>
        <w:gridCol w:w="585"/>
        <w:gridCol w:w="555"/>
        <w:gridCol w:w="555"/>
        <w:gridCol w:w="555"/>
        <w:gridCol w:w="495"/>
        <w:gridCol w:w="540"/>
        <w:gridCol w:w="570"/>
      </w:tblGrid>
      <w:tr w14:paraId="1405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390" w:type="dxa"/>
            <w:vMerge w:val="restart"/>
            <w:vAlign w:val="center"/>
          </w:tcPr>
          <w:p w14:paraId="638B80FD">
            <w:pPr>
              <w:jc w:val="center"/>
              <w:rPr>
                <w:rFonts w:hint="eastAsia" w:ascii="宋体" w:hAnsi="宋体" w:eastAsia="宋体" w:cs="宋体"/>
                <w:color w:val="auto"/>
                <w:sz w:val="21"/>
                <w:szCs w:val="21"/>
                <w:highlight w:val="none"/>
              </w:rPr>
            </w:pPr>
            <w:bookmarkStart w:id="29" w:name="PT_6"/>
            <w:r>
              <w:rPr>
                <w:rFonts w:hint="eastAsia" w:ascii="宋体" w:hAnsi="宋体" w:eastAsia="宋体" w:cs="宋体"/>
                <w:b/>
                <w:color w:val="auto"/>
                <w:sz w:val="21"/>
                <w:szCs w:val="21"/>
                <w:highlight w:val="none"/>
              </w:rPr>
              <w:t>序号</w:t>
            </w:r>
          </w:p>
        </w:tc>
        <w:tc>
          <w:tcPr>
            <w:tcW w:w="915" w:type="dxa"/>
            <w:vMerge w:val="restart"/>
            <w:vAlign w:val="center"/>
          </w:tcPr>
          <w:p w14:paraId="28E7F0C3">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建筑物名称</w:t>
            </w:r>
          </w:p>
        </w:tc>
        <w:tc>
          <w:tcPr>
            <w:tcW w:w="1047" w:type="dxa"/>
            <w:vMerge w:val="restart"/>
            <w:vAlign w:val="center"/>
          </w:tcPr>
          <w:p w14:paraId="609FA785">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声源名称</w:t>
            </w:r>
          </w:p>
        </w:tc>
        <w:tc>
          <w:tcPr>
            <w:tcW w:w="702" w:type="dxa"/>
            <w:vAlign w:val="center"/>
          </w:tcPr>
          <w:p w14:paraId="563A0D17">
            <w:pPr>
              <w:jc w:val="center"/>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lang w:eastAsia="zh-CN"/>
              </w:rPr>
              <w:t>声源源强</w:t>
            </w:r>
          </w:p>
        </w:tc>
        <w:tc>
          <w:tcPr>
            <w:tcW w:w="753" w:type="dxa"/>
            <w:vMerge w:val="restart"/>
            <w:vAlign w:val="center"/>
          </w:tcPr>
          <w:p w14:paraId="031EB834">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声源控制措施</w:t>
            </w:r>
          </w:p>
        </w:tc>
        <w:tc>
          <w:tcPr>
            <w:tcW w:w="1545" w:type="dxa"/>
            <w:gridSpan w:val="3"/>
            <w:vAlign w:val="center"/>
          </w:tcPr>
          <w:p w14:paraId="1DB31746">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空间相对位置</w:t>
            </w:r>
            <w:r>
              <w:rPr>
                <w:rFonts w:hint="default" w:ascii="Times New Roman" w:hAnsi="Times New Roman" w:eastAsia="宋体" w:cs="Times New Roman"/>
                <w:b/>
                <w:color w:val="auto"/>
                <w:sz w:val="21"/>
                <w:szCs w:val="21"/>
                <w:highlight w:val="none"/>
              </w:rPr>
              <w:t>/m</w:t>
            </w:r>
          </w:p>
        </w:tc>
        <w:tc>
          <w:tcPr>
            <w:tcW w:w="2130" w:type="dxa"/>
            <w:gridSpan w:val="4"/>
            <w:vAlign w:val="center"/>
          </w:tcPr>
          <w:p w14:paraId="5FDAA199">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距室内边界距离</w:t>
            </w:r>
            <w:r>
              <w:rPr>
                <w:rFonts w:hint="default" w:ascii="Times New Roman" w:hAnsi="Times New Roman" w:eastAsia="宋体" w:cs="Times New Roman"/>
                <w:b/>
                <w:color w:val="auto"/>
                <w:sz w:val="21"/>
                <w:szCs w:val="21"/>
                <w:highlight w:val="none"/>
              </w:rPr>
              <w:t>/m</w:t>
            </w:r>
          </w:p>
        </w:tc>
        <w:tc>
          <w:tcPr>
            <w:tcW w:w="2220" w:type="dxa"/>
            <w:gridSpan w:val="4"/>
            <w:vAlign w:val="center"/>
          </w:tcPr>
          <w:p w14:paraId="5A383AC5">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室内边界声级</w:t>
            </w:r>
            <w:r>
              <w:rPr>
                <w:rFonts w:hint="default" w:ascii="Times New Roman" w:hAnsi="Times New Roman" w:eastAsia="宋体" w:cs="Times New Roman"/>
                <w:b/>
                <w:color w:val="auto"/>
                <w:sz w:val="21"/>
                <w:szCs w:val="21"/>
                <w:highlight w:val="none"/>
              </w:rPr>
              <w:t>/dB(A)</w:t>
            </w:r>
          </w:p>
        </w:tc>
        <w:tc>
          <w:tcPr>
            <w:tcW w:w="600" w:type="dxa"/>
            <w:vMerge w:val="restart"/>
            <w:vAlign w:val="center"/>
          </w:tcPr>
          <w:p w14:paraId="2725D18C">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运行时段</w:t>
            </w:r>
          </w:p>
        </w:tc>
        <w:tc>
          <w:tcPr>
            <w:tcW w:w="2325" w:type="dxa"/>
            <w:gridSpan w:val="4"/>
            <w:vAlign w:val="center"/>
          </w:tcPr>
          <w:p w14:paraId="7595E492">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建筑物插入损失</w:t>
            </w:r>
            <w:r>
              <w:rPr>
                <w:rFonts w:hint="default" w:ascii="Times New Roman" w:hAnsi="Times New Roman" w:eastAsia="宋体" w:cs="Times New Roman"/>
                <w:b/>
                <w:color w:val="auto"/>
                <w:sz w:val="21"/>
                <w:szCs w:val="21"/>
                <w:highlight w:val="none"/>
              </w:rPr>
              <w:t xml:space="preserve"> / dB(A)</w:t>
            </w:r>
            <w:bookmarkStart w:id="30" w:name="PT_10"/>
            <w:bookmarkEnd w:id="30"/>
          </w:p>
        </w:tc>
        <w:tc>
          <w:tcPr>
            <w:tcW w:w="2715" w:type="dxa"/>
            <w:gridSpan w:val="5"/>
            <w:vAlign w:val="center"/>
          </w:tcPr>
          <w:p w14:paraId="7B393C89">
            <w:pPr>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建筑物外噪声声压级</w:t>
            </w:r>
            <w:r>
              <w:rPr>
                <w:rFonts w:hint="default" w:ascii="Times New Roman" w:hAnsi="Times New Roman" w:eastAsia="宋体" w:cs="Times New Roman"/>
                <w:b/>
                <w:bCs w:val="0"/>
                <w:color w:val="auto"/>
                <w:sz w:val="21"/>
                <w:szCs w:val="21"/>
                <w:highlight w:val="none"/>
              </w:rPr>
              <w:t>/dB(A)</w:t>
            </w:r>
          </w:p>
        </w:tc>
      </w:tr>
      <w:tr w14:paraId="7175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vMerge w:val="continue"/>
            <w:shd w:val="clear" w:color="auto" w:fill="FFFFFF"/>
            <w:tcMar>
              <w:top w:w="0" w:type="dxa"/>
              <w:left w:w="0" w:type="dxa"/>
              <w:bottom w:w="0" w:type="dxa"/>
              <w:right w:w="0" w:type="dxa"/>
            </w:tcMar>
            <w:vAlign w:val="center"/>
          </w:tcPr>
          <w:p w14:paraId="291B9C87">
            <w:pPr>
              <w:jc w:val="center"/>
              <w:rPr>
                <w:rFonts w:hint="eastAsia" w:ascii="宋体" w:hAnsi="宋体" w:eastAsia="宋体" w:cs="宋体"/>
                <w:color w:val="auto"/>
                <w:sz w:val="21"/>
                <w:szCs w:val="21"/>
                <w:highlight w:val="none"/>
                <w:lang w:val="en-US" w:eastAsia="zh-CN"/>
              </w:rPr>
            </w:pPr>
          </w:p>
        </w:tc>
        <w:tc>
          <w:tcPr>
            <w:tcW w:w="915" w:type="dxa"/>
            <w:vMerge w:val="continue"/>
            <w:shd w:val="clear" w:color="auto" w:fill="FFFFFF"/>
            <w:tcMar>
              <w:top w:w="0" w:type="dxa"/>
              <w:left w:w="0" w:type="dxa"/>
              <w:bottom w:w="0" w:type="dxa"/>
              <w:right w:w="0" w:type="dxa"/>
            </w:tcMar>
            <w:vAlign w:val="center"/>
          </w:tcPr>
          <w:p w14:paraId="62891D67">
            <w:pPr>
              <w:jc w:val="center"/>
              <w:rPr>
                <w:rFonts w:hint="eastAsia" w:ascii="宋体" w:hAnsi="宋体" w:eastAsia="宋体" w:cs="宋体"/>
                <w:color w:val="auto"/>
                <w:sz w:val="21"/>
                <w:szCs w:val="21"/>
                <w:highlight w:val="none"/>
              </w:rPr>
            </w:pPr>
          </w:p>
        </w:tc>
        <w:tc>
          <w:tcPr>
            <w:tcW w:w="1047" w:type="dxa"/>
            <w:vMerge w:val="continue"/>
            <w:shd w:val="clear" w:color="auto" w:fill="FFFFFF"/>
            <w:tcMar>
              <w:top w:w="0" w:type="dxa"/>
              <w:left w:w="0" w:type="dxa"/>
              <w:bottom w:w="0" w:type="dxa"/>
              <w:right w:w="0" w:type="dxa"/>
            </w:tcMar>
            <w:vAlign w:val="center"/>
          </w:tcPr>
          <w:p w14:paraId="53C93264">
            <w:pPr>
              <w:jc w:val="center"/>
              <w:rPr>
                <w:rFonts w:hint="eastAsia" w:ascii="宋体" w:hAnsi="宋体" w:eastAsia="宋体" w:cs="宋体"/>
                <w:color w:val="auto"/>
                <w:sz w:val="21"/>
                <w:szCs w:val="21"/>
                <w:highlight w:val="none"/>
              </w:rPr>
            </w:pPr>
          </w:p>
        </w:tc>
        <w:tc>
          <w:tcPr>
            <w:tcW w:w="702" w:type="dxa"/>
            <w:shd w:val="clear" w:color="auto" w:fill="FFFFFF"/>
            <w:tcMar>
              <w:top w:w="0" w:type="dxa"/>
              <w:left w:w="0" w:type="dxa"/>
              <w:bottom w:w="0" w:type="dxa"/>
              <w:right w:w="0" w:type="dxa"/>
            </w:tcMar>
            <w:vAlign w:val="center"/>
          </w:tcPr>
          <w:p w14:paraId="28B4577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声功率级</w:t>
            </w:r>
            <w:r>
              <w:rPr>
                <w:rFonts w:hint="default" w:ascii="Times New Roman" w:hAnsi="Times New Roman" w:eastAsia="宋体" w:cs="Times New Roman"/>
                <w:color w:val="auto"/>
                <w:sz w:val="21"/>
                <w:szCs w:val="21"/>
                <w:highlight w:val="none"/>
              </w:rPr>
              <w:t>/dB(A)</w:t>
            </w:r>
          </w:p>
        </w:tc>
        <w:tc>
          <w:tcPr>
            <w:tcW w:w="753" w:type="dxa"/>
            <w:vMerge w:val="continue"/>
            <w:shd w:val="clear" w:color="auto" w:fill="FFFFFF"/>
            <w:tcMar>
              <w:top w:w="0" w:type="dxa"/>
              <w:left w:w="0" w:type="dxa"/>
              <w:bottom w:w="0" w:type="dxa"/>
              <w:right w:w="0" w:type="dxa"/>
            </w:tcMar>
            <w:vAlign w:val="center"/>
          </w:tcPr>
          <w:p w14:paraId="3BBF67E8">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552E7E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25" w:type="dxa"/>
            <w:shd w:val="clear" w:color="auto" w:fill="FFFFFF"/>
            <w:tcMar>
              <w:top w:w="0" w:type="dxa"/>
              <w:left w:w="0" w:type="dxa"/>
              <w:bottom w:w="0" w:type="dxa"/>
              <w:right w:w="0" w:type="dxa"/>
            </w:tcMar>
            <w:vAlign w:val="center"/>
          </w:tcPr>
          <w:p w14:paraId="3307D8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495" w:type="dxa"/>
            <w:shd w:val="clear" w:color="auto" w:fill="FFFFFF"/>
            <w:tcMar>
              <w:top w:w="0" w:type="dxa"/>
              <w:left w:w="0" w:type="dxa"/>
              <w:bottom w:w="0" w:type="dxa"/>
              <w:right w:w="0" w:type="dxa"/>
            </w:tcMar>
            <w:vAlign w:val="center"/>
          </w:tcPr>
          <w:p w14:paraId="51D413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10" w:type="dxa"/>
            <w:shd w:val="clear" w:color="auto" w:fill="FFFFFF"/>
            <w:tcMar>
              <w:top w:w="0" w:type="dxa"/>
              <w:left w:w="0" w:type="dxa"/>
              <w:bottom w:w="0" w:type="dxa"/>
              <w:right w:w="0" w:type="dxa"/>
            </w:tcMar>
            <w:vAlign w:val="center"/>
          </w:tcPr>
          <w:p w14:paraId="07E26D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55" w:type="dxa"/>
            <w:shd w:val="clear" w:color="auto" w:fill="FFFFFF"/>
            <w:tcMar>
              <w:top w:w="0" w:type="dxa"/>
              <w:left w:w="0" w:type="dxa"/>
              <w:bottom w:w="0" w:type="dxa"/>
              <w:right w:w="0" w:type="dxa"/>
            </w:tcMar>
            <w:vAlign w:val="center"/>
          </w:tcPr>
          <w:p w14:paraId="19D8CCA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南</w:t>
            </w:r>
          </w:p>
        </w:tc>
        <w:tc>
          <w:tcPr>
            <w:tcW w:w="525" w:type="dxa"/>
            <w:shd w:val="clear" w:color="auto" w:fill="FFFFFF"/>
            <w:tcMar>
              <w:top w:w="0" w:type="dxa"/>
              <w:left w:w="0" w:type="dxa"/>
              <w:bottom w:w="0" w:type="dxa"/>
              <w:right w:w="0" w:type="dxa"/>
            </w:tcMar>
            <w:vAlign w:val="center"/>
          </w:tcPr>
          <w:p w14:paraId="325A19C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西</w:t>
            </w:r>
          </w:p>
        </w:tc>
        <w:tc>
          <w:tcPr>
            <w:tcW w:w="540" w:type="dxa"/>
            <w:shd w:val="clear" w:color="auto" w:fill="FFFFFF"/>
            <w:tcMar>
              <w:top w:w="0" w:type="dxa"/>
              <w:left w:w="0" w:type="dxa"/>
              <w:bottom w:w="0" w:type="dxa"/>
              <w:right w:w="0" w:type="dxa"/>
            </w:tcMar>
            <w:vAlign w:val="center"/>
          </w:tcPr>
          <w:p w14:paraId="11B1903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北</w:t>
            </w:r>
          </w:p>
        </w:tc>
        <w:tc>
          <w:tcPr>
            <w:tcW w:w="525" w:type="dxa"/>
            <w:shd w:val="clear" w:color="auto" w:fill="FFFFFF"/>
            <w:tcMar>
              <w:top w:w="0" w:type="dxa"/>
              <w:left w:w="0" w:type="dxa"/>
              <w:bottom w:w="0" w:type="dxa"/>
              <w:right w:w="0" w:type="dxa"/>
            </w:tcMar>
            <w:vAlign w:val="center"/>
          </w:tcPr>
          <w:p w14:paraId="054AEB9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东</w:t>
            </w:r>
          </w:p>
        </w:tc>
        <w:tc>
          <w:tcPr>
            <w:tcW w:w="600" w:type="dxa"/>
            <w:shd w:val="clear" w:color="auto" w:fill="FFFFFF"/>
            <w:tcMar>
              <w:top w:w="0" w:type="dxa"/>
              <w:left w:w="0" w:type="dxa"/>
              <w:bottom w:w="0" w:type="dxa"/>
              <w:right w:w="0" w:type="dxa"/>
            </w:tcMar>
            <w:vAlign w:val="center"/>
          </w:tcPr>
          <w:p w14:paraId="6954C09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南</w:t>
            </w:r>
          </w:p>
        </w:tc>
        <w:tc>
          <w:tcPr>
            <w:tcW w:w="585" w:type="dxa"/>
            <w:shd w:val="clear" w:color="auto" w:fill="FFFFFF"/>
            <w:tcMar>
              <w:top w:w="0" w:type="dxa"/>
              <w:left w:w="0" w:type="dxa"/>
              <w:bottom w:w="0" w:type="dxa"/>
              <w:right w:w="0" w:type="dxa"/>
            </w:tcMar>
            <w:vAlign w:val="center"/>
          </w:tcPr>
          <w:p w14:paraId="5E0F93D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西</w:t>
            </w:r>
          </w:p>
        </w:tc>
        <w:tc>
          <w:tcPr>
            <w:tcW w:w="510" w:type="dxa"/>
            <w:shd w:val="clear" w:color="auto" w:fill="FFFFFF"/>
            <w:tcMar>
              <w:top w:w="0" w:type="dxa"/>
              <w:left w:w="0" w:type="dxa"/>
              <w:bottom w:w="0" w:type="dxa"/>
              <w:right w:w="0" w:type="dxa"/>
            </w:tcMar>
            <w:vAlign w:val="center"/>
          </w:tcPr>
          <w:p w14:paraId="11D8A86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北</w:t>
            </w:r>
          </w:p>
        </w:tc>
        <w:tc>
          <w:tcPr>
            <w:tcW w:w="600" w:type="dxa"/>
            <w:vMerge w:val="continue"/>
            <w:shd w:val="clear" w:color="auto" w:fill="FFFFFF"/>
            <w:tcMar>
              <w:top w:w="0" w:type="dxa"/>
              <w:left w:w="0" w:type="dxa"/>
              <w:bottom w:w="0" w:type="dxa"/>
              <w:right w:w="0" w:type="dxa"/>
            </w:tcMar>
            <w:vAlign w:val="center"/>
          </w:tcPr>
          <w:p w14:paraId="71F01B1F">
            <w:pPr>
              <w:jc w:val="center"/>
              <w:rPr>
                <w:rFonts w:hint="eastAsia" w:ascii="宋体" w:hAnsi="宋体" w:eastAsia="宋体" w:cs="宋体"/>
                <w:color w:val="auto"/>
                <w:sz w:val="21"/>
                <w:szCs w:val="21"/>
                <w:highlight w:val="none"/>
              </w:rPr>
            </w:pPr>
          </w:p>
        </w:tc>
        <w:tc>
          <w:tcPr>
            <w:tcW w:w="555" w:type="dxa"/>
            <w:shd w:val="clear" w:color="auto" w:fill="FFFFFF"/>
            <w:tcMar>
              <w:top w:w="0" w:type="dxa"/>
              <w:left w:w="0" w:type="dxa"/>
              <w:bottom w:w="0" w:type="dxa"/>
              <w:right w:w="0" w:type="dxa"/>
            </w:tcMar>
            <w:vAlign w:val="center"/>
          </w:tcPr>
          <w:p w14:paraId="1FF5AC3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东</w:t>
            </w:r>
          </w:p>
        </w:tc>
        <w:tc>
          <w:tcPr>
            <w:tcW w:w="630" w:type="dxa"/>
            <w:shd w:val="clear" w:color="auto" w:fill="FFFFFF"/>
            <w:tcMar>
              <w:top w:w="0" w:type="dxa"/>
              <w:left w:w="0" w:type="dxa"/>
              <w:bottom w:w="0" w:type="dxa"/>
              <w:right w:w="0" w:type="dxa"/>
            </w:tcMar>
            <w:vAlign w:val="center"/>
          </w:tcPr>
          <w:p w14:paraId="022F623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南</w:t>
            </w:r>
          </w:p>
        </w:tc>
        <w:tc>
          <w:tcPr>
            <w:tcW w:w="585" w:type="dxa"/>
            <w:shd w:val="clear" w:color="auto" w:fill="FFFFFF"/>
            <w:tcMar>
              <w:top w:w="0" w:type="dxa"/>
              <w:left w:w="0" w:type="dxa"/>
              <w:bottom w:w="0" w:type="dxa"/>
              <w:right w:w="0" w:type="dxa"/>
            </w:tcMar>
            <w:vAlign w:val="center"/>
          </w:tcPr>
          <w:p w14:paraId="1BC082C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西</w:t>
            </w:r>
          </w:p>
        </w:tc>
        <w:tc>
          <w:tcPr>
            <w:tcW w:w="555" w:type="dxa"/>
            <w:shd w:val="clear" w:color="auto" w:fill="FFFFFF"/>
            <w:tcMar>
              <w:top w:w="0" w:type="dxa"/>
              <w:left w:w="0" w:type="dxa"/>
              <w:bottom w:w="0" w:type="dxa"/>
              <w:right w:w="0" w:type="dxa"/>
            </w:tcMar>
            <w:vAlign w:val="center"/>
          </w:tcPr>
          <w:p w14:paraId="3FC07FE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北</w:t>
            </w:r>
          </w:p>
        </w:tc>
        <w:tc>
          <w:tcPr>
            <w:tcW w:w="555" w:type="dxa"/>
            <w:shd w:val="clear" w:color="auto" w:fill="FFFFFF"/>
            <w:tcMar>
              <w:top w:w="0" w:type="dxa"/>
              <w:left w:w="0" w:type="dxa"/>
              <w:bottom w:w="0" w:type="dxa"/>
              <w:right w:w="0" w:type="dxa"/>
            </w:tcMar>
            <w:vAlign w:val="center"/>
          </w:tcPr>
          <w:p w14:paraId="72260E7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东</w:t>
            </w:r>
          </w:p>
        </w:tc>
        <w:tc>
          <w:tcPr>
            <w:tcW w:w="555" w:type="dxa"/>
            <w:shd w:val="clear" w:color="auto" w:fill="FFFFFF"/>
            <w:tcMar>
              <w:top w:w="0" w:type="dxa"/>
              <w:left w:w="0" w:type="dxa"/>
              <w:bottom w:w="0" w:type="dxa"/>
              <w:right w:w="0" w:type="dxa"/>
            </w:tcMar>
            <w:vAlign w:val="center"/>
          </w:tcPr>
          <w:p w14:paraId="3C484B3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南</w:t>
            </w:r>
          </w:p>
        </w:tc>
        <w:tc>
          <w:tcPr>
            <w:tcW w:w="495" w:type="dxa"/>
            <w:shd w:val="clear" w:color="auto" w:fill="FFFFFF"/>
            <w:tcMar>
              <w:top w:w="0" w:type="dxa"/>
              <w:left w:w="0" w:type="dxa"/>
              <w:bottom w:w="0" w:type="dxa"/>
              <w:right w:w="0" w:type="dxa"/>
            </w:tcMar>
            <w:vAlign w:val="center"/>
          </w:tcPr>
          <w:p w14:paraId="6C93700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西</w:t>
            </w:r>
          </w:p>
        </w:tc>
        <w:tc>
          <w:tcPr>
            <w:tcW w:w="540" w:type="dxa"/>
            <w:shd w:val="clear" w:color="auto" w:fill="FFFFFF"/>
            <w:tcMar>
              <w:top w:w="0" w:type="dxa"/>
              <w:left w:w="0" w:type="dxa"/>
              <w:bottom w:w="0" w:type="dxa"/>
              <w:right w:w="0" w:type="dxa"/>
            </w:tcMar>
            <w:vAlign w:val="center"/>
          </w:tcPr>
          <w:p w14:paraId="10B219B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北</w:t>
            </w:r>
          </w:p>
        </w:tc>
        <w:tc>
          <w:tcPr>
            <w:tcW w:w="570" w:type="dxa"/>
            <w:shd w:val="clear" w:color="auto" w:fill="FFFFFF"/>
            <w:tcMar>
              <w:top w:w="0" w:type="dxa"/>
              <w:left w:w="0" w:type="dxa"/>
              <w:bottom w:w="0" w:type="dxa"/>
              <w:right w:w="0" w:type="dxa"/>
            </w:tcMar>
            <w:vAlign w:val="center"/>
          </w:tcPr>
          <w:p w14:paraId="2E0784D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建筑物外距离</w:t>
            </w:r>
          </w:p>
        </w:tc>
      </w:tr>
      <w:tr w14:paraId="49AF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275952C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15" w:type="dxa"/>
            <w:shd w:val="clear" w:color="auto" w:fill="FFFFFF"/>
            <w:tcMar>
              <w:top w:w="0" w:type="dxa"/>
              <w:left w:w="0" w:type="dxa"/>
              <w:bottom w:w="0" w:type="dxa"/>
              <w:right w:w="0" w:type="dxa"/>
            </w:tcMar>
            <w:vAlign w:val="center"/>
          </w:tcPr>
          <w:p w14:paraId="68C9D38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0A72F26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自动上片机</w:t>
            </w:r>
          </w:p>
        </w:tc>
        <w:tc>
          <w:tcPr>
            <w:tcW w:w="702" w:type="dxa"/>
            <w:shd w:val="clear" w:color="auto" w:fill="FFFFFF"/>
            <w:tcMar>
              <w:top w:w="0" w:type="dxa"/>
              <w:left w:w="0" w:type="dxa"/>
              <w:bottom w:w="0" w:type="dxa"/>
              <w:right w:w="0" w:type="dxa"/>
            </w:tcMar>
            <w:vAlign w:val="center"/>
          </w:tcPr>
          <w:p w14:paraId="4584B3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753" w:type="dxa"/>
            <w:vMerge w:val="restart"/>
            <w:shd w:val="clear" w:color="auto" w:fill="FFFFFF"/>
            <w:tcMar>
              <w:top w:w="0" w:type="dxa"/>
              <w:left w:w="0" w:type="dxa"/>
              <w:bottom w:w="0" w:type="dxa"/>
              <w:right w:w="0" w:type="dxa"/>
            </w:tcMar>
            <w:vAlign w:val="center"/>
          </w:tcPr>
          <w:p w14:paraId="1CF5F0E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基础减震、</w:t>
            </w:r>
            <w:r>
              <w:rPr>
                <w:rFonts w:hint="eastAsia" w:ascii="宋体" w:hAnsi="宋体" w:eastAsia="宋体" w:cs="宋体"/>
                <w:color w:val="auto"/>
                <w:sz w:val="21"/>
                <w:szCs w:val="21"/>
                <w:highlight w:val="none"/>
              </w:rPr>
              <w:t>厂房隔声、距离衰减</w:t>
            </w:r>
          </w:p>
        </w:tc>
        <w:tc>
          <w:tcPr>
            <w:tcW w:w="525" w:type="dxa"/>
            <w:shd w:val="clear" w:color="auto" w:fill="FFFFFF"/>
            <w:tcMar>
              <w:top w:w="0" w:type="dxa"/>
              <w:left w:w="0" w:type="dxa"/>
              <w:bottom w:w="0" w:type="dxa"/>
              <w:right w:w="0" w:type="dxa"/>
            </w:tcMar>
            <w:vAlign w:val="center"/>
          </w:tcPr>
          <w:p w14:paraId="0D7EB2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25.9</w:t>
            </w:r>
          </w:p>
        </w:tc>
        <w:tc>
          <w:tcPr>
            <w:tcW w:w="525" w:type="dxa"/>
            <w:shd w:val="clear" w:color="auto" w:fill="FFFFFF"/>
            <w:tcMar>
              <w:top w:w="0" w:type="dxa"/>
              <w:left w:w="0" w:type="dxa"/>
              <w:bottom w:w="0" w:type="dxa"/>
              <w:right w:w="0" w:type="dxa"/>
            </w:tcMar>
            <w:vAlign w:val="center"/>
          </w:tcPr>
          <w:p w14:paraId="43700C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95" w:type="dxa"/>
            <w:shd w:val="clear" w:color="auto" w:fill="FFFFFF"/>
            <w:tcMar>
              <w:top w:w="0" w:type="dxa"/>
              <w:left w:w="0" w:type="dxa"/>
              <w:bottom w:w="0" w:type="dxa"/>
              <w:right w:w="0" w:type="dxa"/>
            </w:tcMar>
            <w:vAlign w:val="center"/>
          </w:tcPr>
          <w:p w14:paraId="1F1348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07EEB0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55" w:type="dxa"/>
            <w:shd w:val="clear" w:color="auto" w:fill="FFFFFF"/>
            <w:tcMar>
              <w:top w:w="0" w:type="dxa"/>
              <w:left w:w="0" w:type="dxa"/>
              <w:bottom w:w="0" w:type="dxa"/>
              <w:right w:w="0" w:type="dxa"/>
            </w:tcMar>
            <w:vAlign w:val="center"/>
          </w:tcPr>
          <w:p w14:paraId="6B93982E">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18.9</w:t>
            </w:r>
          </w:p>
        </w:tc>
        <w:tc>
          <w:tcPr>
            <w:tcW w:w="525" w:type="dxa"/>
            <w:shd w:val="clear" w:color="auto" w:fill="FFFFFF"/>
            <w:tcMar>
              <w:top w:w="0" w:type="dxa"/>
              <w:left w:w="0" w:type="dxa"/>
              <w:bottom w:w="0" w:type="dxa"/>
              <w:right w:w="0" w:type="dxa"/>
            </w:tcMar>
            <w:vAlign w:val="center"/>
          </w:tcPr>
          <w:p w14:paraId="1A9F7AEE">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68.3</w:t>
            </w:r>
          </w:p>
        </w:tc>
        <w:tc>
          <w:tcPr>
            <w:tcW w:w="540" w:type="dxa"/>
            <w:shd w:val="clear" w:color="auto" w:fill="FFFFFF"/>
            <w:tcMar>
              <w:top w:w="0" w:type="dxa"/>
              <w:left w:w="0" w:type="dxa"/>
              <w:bottom w:w="0" w:type="dxa"/>
              <w:right w:w="0" w:type="dxa"/>
            </w:tcMar>
            <w:vAlign w:val="center"/>
          </w:tcPr>
          <w:p w14:paraId="136C5F5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79.3</w:t>
            </w:r>
          </w:p>
        </w:tc>
        <w:tc>
          <w:tcPr>
            <w:tcW w:w="525" w:type="dxa"/>
            <w:shd w:val="clear" w:color="auto" w:fill="FFFFFF"/>
            <w:tcMar>
              <w:top w:w="0" w:type="dxa"/>
              <w:left w:w="0" w:type="dxa"/>
              <w:bottom w:w="0" w:type="dxa"/>
              <w:right w:w="0" w:type="dxa"/>
            </w:tcMar>
            <w:vAlign w:val="center"/>
          </w:tcPr>
          <w:p w14:paraId="5EF4827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66.7</w:t>
            </w:r>
          </w:p>
        </w:tc>
        <w:tc>
          <w:tcPr>
            <w:tcW w:w="600" w:type="dxa"/>
            <w:shd w:val="clear" w:color="auto" w:fill="FFFFFF"/>
            <w:tcMar>
              <w:top w:w="0" w:type="dxa"/>
              <w:left w:w="0" w:type="dxa"/>
              <w:bottom w:w="0" w:type="dxa"/>
              <w:right w:w="0" w:type="dxa"/>
            </w:tcMar>
            <w:vAlign w:val="center"/>
          </w:tcPr>
          <w:p w14:paraId="405846E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66.7</w:t>
            </w:r>
          </w:p>
        </w:tc>
        <w:tc>
          <w:tcPr>
            <w:tcW w:w="585" w:type="dxa"/>
            <w:shd w:val="clear" w:color="auto" w:fill="FFFFFF"/>
            <w:tcMar>
              <w:top w:w="0" w:type="dxa"/>
              <w:left w:w="0" w:type="dxa"/>
              <w:bottom w:w="0" w:type="dxa"/>
              <w:right w:w="0" w:type="dxa"/>
            </w:tcMar>
            <w:vAlign w:val="center"/>
          </w:tcPr>
          <w:p w14:paraId="5F6BD510">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66.7</w:t>
            </w:r>
          </w:p>
        </w:tc>
        <w:tc>
          <w:tcPr>
            <w:tcW w:w="510" w:type="dxa"/>
            <w:shd w:val="clear" w:color="auto" w:fill="FFFFFF"/>
            <w:tcMar>
              <w:top w:w="0" w:type="dxa"/>
              <w:left w:w="0" w:type="dxa"/>
              <w:bottom w:w="0" w:type="dxa"/>
              <w:right w:w="0" w:type="dxa"/>
            </w:tcMar>
            <w:vAlign w:val="center"/>
          </w:tcPr>
          <w:p w14:paraId="11DBA578">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66.7</w:t>
            </w:r>
          </w:p>
        </w:tc>
        <w:tc>
          <w:tcPr>
            <w:tcW w:w="600" w:type="dxa"/>
            <w:shd w:val="clear" w:color="auto" w:fill="FFFFFF"/>
            <w:tcMar>
              <w:top w:w="0" w:type="dxa"/>
              <w:left w:w="0" w:type="dxa"/>
              <w:bottom w:w="0" w:type="dxa"/>
              <w:right w:w="0" w:type="dxa"/>
            </w:tcMar>
            <w:vAlign w:val="center"/>
          </w:tcPr>
          <w:p w14:paraId="6EE9D9F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14DFD9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526BD3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282E47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0424A4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0C7299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41.7</w:t>
            </w:r>
          </w:p>
        </w:tc>
        <w:tc>
          <w:tcPr>
            <w:tcW w:w="555" w:type="dxa"/>
            <w:shd w:val="clear" w:color="auto" w:fill="FFFFFF"/>
            <w:tcMar>
              <w:top w:w="0" w:type="dxa"/>
              <w:left w:w="0" w:type="dxa"/>
              <w:bottom w:w="0" w:type="dxa"/>
              <w:right w:w="0" w:type="dxa"/>
            </w:tcMar>
            <w:vAlign w:val="center"/>
          </w:tcPr>
          <w:p w14:paraId="3F2F9E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41.7</w:t>
            </w:r>
          </w:p>
        </w:tc>
        <w:tc>
          <w:tcPr>
            <w:tcW w:w="495" w:type="dxa"/>
            <w:shd w:val="clear" w:color="auto" w:fill="FFFFFF"/>
            <w:tcMar>
              <w:top w:w="0" w:type="dxa"/>
              <w:left w:w="0" w:type="dxa"/>
              <w:bottom w:w="0" w:type="dxa"/>
              <w:right w:w="0" w:type="dxa"/>
            </w:tcMar>
            <w:vAlign w:val="center"/>
          </w:tcPr>
          <w:p w14:paraId="7F3E05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41.7</w:t>
            </w:r>
          </w:p>
        </w:tc>
        <w:tc>
          <w:tcPr>
            <w:tcW w:w="540" w:type="dxa"/>
            <w:shd w:val="clear" w:color="auto" w:fill="FFFFFF"/>
            <w:tcMar>
              <w:top w:w="0" w:type="dxa"/>
              <w:left w:w="0" w:type="dxa"/>
              <w:bottom w:w="0" w:type="dxa"/>
              <w:right w:w="0" w:type="dxa"/>
            </w:tcMar>
            <w:vAlign w:val="center"/>
          </w:tcPr>
          <w:p w14:paraId="7605E6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41.7</w:t>
            </w:r>
          </w:p>
        </w:tc>
        <w:tc>
          <w:tcPr>
            <w:tcW w:w="570" w:type="dxa"/>
            <w:shd w:val="clear" w:color="auto" w:fill="FFFFFF"/>
            <w:tcMar>
              <w:top w:w="0" w:type="dxa"/>
              <w:left w:w="0" w:type="dxa"/>
              <w:bottom w:w="0" w:type="dxa"/>
              <w:right w:w="0" w:type="dxa"/>
            </w:tcMar>
            <w:vAlign w:val="center"/>
          </w:tcPr>
          <w:p w14:paraId="099B6C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64F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37F8892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15" w:type="dxa"/>
            <w:shd w:val="clear" w:color="auto" w:fill="FFFFFF"/>
            <w:tcMar>
              <w:top w:w="0" w:type="dxa"/>
              <w:left w:w="0" w:type="dxa"/>
              <w:bottom w:w="0" w:type="dxa"/>
              <w:right w:w="0" w:type="dxa"/>
            </w:tcMar>
            <w:vAlign w:val="center"/>
          </w:tcPr>
          <w:p w14:paraId="0BA764C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1335E7F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清洗机</w:t>
            </w:r>
            <w:r>
              <w:rPr>
                <w:rFonts w:hint="default" w:ascii="Times New Roman" w:hAnsi="Times New Roman" w:eastAsia="宋体" w:cs="Times New Roman"/>
                <w:color w:val="auto"/>
                <w:sz w:val="21"/>
                <w:szCs w:val="21"/>
                <w:highlight w:val="none"/>
              </w:rPr>
              <w:t>1</w:t>
            </w:r>
          </w:p>
        </w:tc>
        <w:tc>
          <w:tcPr>
            <w:tcW w:w="702" w:type="dxa"/>
            <w:shd w:val="clear" w:color="auto" w:fill="FFFFFF"/>
            <w:tcMar>
              <w:top w:w="0" w:type="dxa"/>
              <w:left w:w="0" w:type="dxa"/>
              <w:bottom w:w="0" w:type="dxa"/>
              <w:right w:w="0" w:type="dxa"/>
            </w:tcMar>
            <w:vAlign w:val="center"/>
          </w:tcPr>
          <w:p w14:paraId="563606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753" w:type="dxa"/>
            <w:vMerge w:val="continue"/>
            <w:shd w:val="clear" w:color="auto" w:fill="FFFFFF"/>
            <w:tcMar>
              <w:top w:w="0" w:type="dxa"/>
              <w:left w:w="0" w:type="dxa"/>
              <w:bottom w:w="0" w:type="dxa"/>
              <w:right w:w="0" w:type="dxa"/>
            </w:tcMar>
            <w:vAlign w:val="center"/>
          </w:tcPr>
          <w:p w14:paraId="2CB936FF">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22DD20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27.6</w:t>
            </w:r>
          </w:p>
        </w:tc>
        <w:tc>
          <w:tcPr>
            <w:tcW w:w="525" w:type="dxa"/>
            <w:shd w:val="clear" w:color="auto" w:fill="FFFFFF"/>
            <w:tcMar>
              <w:top w:w="0" w:type="dxa"/>
              <w:left w:w="0" w:type="dxa"/>
              <w:bottom w:w="0" w:type="dxa"/>
              <w:right w:w="0" w:type="dxa"/>
            </w:tcMar>
            <w:vAlign w:val="center"/>
          </w:tcPr>
          <w:p w14:paraId="32C853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-17.9</w:t>
            </w:r>
          </w:p>
        </w:tc>
        <w:tc>
          <w:tcPr>
            <w:tcW w:w="495" w:type="dxa"/>
            <w:shd w:val="clear" w:color="auto" w:fill="FFFFFF"/>
            <w:tcMar>
              <w:top w:w="0" w:type="dxa"/>
              <w:left w:w="0" w:type="dxa"/>
              <w:bottom w:w="0" w:type="dxa"/>
              <w:right w:w="0" w:type="dxa"/>
            </w:tcMar>
            <w:vAlign w:val="center"/>
          </w:tcPr>
          <w:p w14:paraId="51ADAC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7ABDB3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555" w:type="dxa"/>
            <w:shd w:val="clear" w:color="auto" w:fill="FFFFFF"/>
            <w:tcMar>
              <w:top w:w="0" w:type="dxa"/>
              <w:left w:w="0" w:type="dxa"/>
              <w:bottom w:w="0" w:type="dxa"/>
              <w:right w:w="0" w:type="dxa"/>
            </w:tcMar>
            <w:vAlign w:val="center"/>
          </w:tcPr>
          <w:p w14:paraId="3CCC3E5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27.9</w:t>
            </w:r>
          </w:p>
        </w:tc>
        <w:tc>
          <w:tcPr>
            <w:tcW w:w="525" w:type="dxa"/>
            <w:shd w:val="clear" w:color="auto" w:fill="FFFFFF"/>
            <w:tcMar>
              <w:top w:w="0" w:type="dxa"/>
              <w:left w:w="0" w:type="dxa"/>
              <w:bottom w:w="0" w:type="dxa"/>
              <w:right w:w="0" w:type="dxa"/>
            </w:tcMar>
            <w:vAlign w:val="center"/>
          </w:tcPr>
          <w:p w14:paraId="11D56ABF">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68.1</w:t>
            </w:r>
          </w:p>
        </w:tc>
        <w:tc>
          <w:tcPr>
            <w:tcW w:w="540" w:type="dxa"/>
            <w:shd w:val="clear" w:color="auto" w:fill="FFFFFF"/>
            <w:tcMar>
              <w:top w:w="0" w:type="dxa"/>
              <w:left w:w="0" w:type="dxa"/>
              <w:bottom w:w="0" w:type="dxa"/>
              <w:right w:w="0" w:type="dxa"/>
            </w:tcMar>
            <w:vAlign w:val="center"/>
          </w:tcPr>
          <w:p w14:paraId="136A7C8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66.5</w:t>
            </w:r>
          </w:p>
        </w:tc>
        <w:tc>
          <w:tcPr>
            <w:tcW w:w="525" w:type="dxa"/>
            <w:shd w:val="clear" w:color="auto" w:fill="FFFFFF"/>
            <w:tcMar>
              <w:top w:w="0" w:type="dxa"/>
              <w:left w:w="0" w:type="dxa"/>
              <w:bottom w:w="0" w:type="dxa"/>
              <w:right w:w="0" w:type="dxa"/>
            </w:tcMar>
            <w:vAlign w:val="center"/>
          </w:tcPr>
          <w:p w14:paraId="1FE6419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600" w:type="dxa"/>
            <w:shd w:val="clear" w:color="auto" w:fill="FFFFFF"/>
            <w:tcMar>
              <w:top w:w="0" w:type="dxa"/>
              <w:left w:w="0" w:type="dxa"/>
              <w:bottom w:w="0" w:type="dxa"/>
              <w:right w:w="0" w:type="dxa"/>
            </w:tcMar>
            <w:vAlign w:val="center"/>
          </w:tcPr>
          <w:p w14:paraId="67644F5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585" w:type="dxa"/>
            <w:shd w:val="clear" w:color="auto" w:fill="FFFFFF"/>
            <w:tcMar>
              <w:top w:w="0" w:type="dxa"/>
              <w:left w:w="0" w:type="dxa"/>
              <w:bottom w:w="0" w:type="dxa"/>
              <w:right w:w="0" w:type="dxa"/>
            </w:tcMar>
            <w:vAlign w:val="center"/>
          </w:tcPr>
          <w:p w14:paraId="14B1DB7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510" w:type="dxa"/>
            <w:shd w:val="clear" w:color="auto" w:fill="FFFFFF"/>
            <w:tcMar>
              <w:top w:w="0" w:type="dxa"/>
              <w:left w:w="0" w:type="dxa"/>
              <w:bottom w:w="0" w:type="dxa"/>
              <w:right w:w="0" w:type="dxa"/>
            </w:tcMar>
            <w:vAlign w:val="center"/>
          </w:tcPr>
          <w:p w14:paraId="22A2176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600" w:type="dxa"/>
            <w:shd w:val="clear" w:color="auto" w:fill="FFFFFF"/>
            <w:tcMar>
              <w:top w:w="0" w:type="dxa"/>
              <w:left w:w="0" w:type="dxa"/>
              <w:bottom w:w="0" w:type="dxa"/>
              <w:right w:w="0" w:type="dxa"/>
            </w:tcMar>
            <w:vAlign w:val="center"/>
          </w:tcPr>
          <w:p w14:paraId="1185E14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22A1F7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1BAF96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52A8AD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5E77DF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7A0D6FAA">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55" w:type="dxa"/>
            <w:shd w:val="clear" w:color="auto" w:fill="FFFFFF"/>
            <w:tcMar>
              <w:top w:w="0" w:type="dxa"/>
              <w:left w:w="0" w:type="dxa"/>
              <w:bottom w:w="0" w:type="dxa"/>
              <w:right w:w="0" w:type="dxa"/>
            </w:tcMar>
            <w:vAlign w:val="center"/>
          </w:tcPr>
          <w:p w14:paraId="25465F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495" w:type="dxa"/>
            <w:shd w:val="clear" w:color="auto" w:fill="FFFFFF"/>
            <w:tcMar>
              <w:top w:w="0" w:type="dxa"/>
              <w:left w:w="0" w:type="dxa"/>
              <w:bottom w:w="0" w:type="dxa"/>
              <w:right w:w="0" w:type="dxa"/>
            </w:tcMar>
            <w:vAlign w:val="center"/>
          </w:tcPr>
          <w:p w14:paraId="7D82A6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40" w:type="dxa"/>
            <w:shd w:val="clear" w:color="auto" w:fill="FFFFFF"/>
            <w:tcMar>
              <w:top w:w="0" w:type="dxa"/>
              <w:left w:w="0" w:type="dxa"/>
              <w:bottom w:w="0" w:type="dxa"/>
              <w:right w:w="0" w:type="dxa"/>
            </w:tcMar>
            <w:vAlign w:val="center"/>
          </w:tcPr>
          <w:p w14:paraId="4C3942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70" w:type="dxa"/>
            <w:shd w:val="clear" w:color="auto" w:fill="FFFFFF"/>
            <w:tcMar>
              <w:top w:w="0" w:type="dxa"/>
              <w:left w:w="0" w:type="dxa"/>
              <w:bottom w:w="0" w:type="dxa"/>
              <w:right w:w="0" w:type="dxa"/>
            </w:tcMar>
            <w:vAlign w:val="center"/>
          </w:tcPr>
          <w:p w14:paraId="2ACF92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18A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6BA654E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15" w:type="dxa"/>
            <w:shd w:val="clear" w:color="auto" w:fill="FFFFFF"/>
            <w:tcMar>
              <w:top w:w="0" w:type="dxa"/>
              <w:left w:w="0" w:type="dxa"/>
              <w:bottom w:w="0" w:type="dxa"/>
              <w:right w:w="0" w:type="dxa"/>
            </w:tcMar>
            <w:vAlign w:val="center"/>
          </w:tcPr>
          <w:p w14:paraId="60BF634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07336C6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蒙砂自动生产线</w:t>
            </w:r>
          </w:p>
        </w:tc>
        <w:tc>
          <w:tcPr>
            <w:tcW w:w="702" w:type="dxa"/>
            <w:shd w:val="clear" w:color="auto" w:fill="FFFFFF"/>
            <w:tcMar>
              <w:top w:w="0" w:type="dxa"/>
              <w:left w:w="0" w:type="dxa"/>
              <w:bottom w:w="0" w:type="dxa"/>
              <w:right w:w="0" w:type="dxa"/>
            </w:tcMar>
            <w:vAlign w:val="center"/>
          </w:tcPr>
          <w:p w14:paraId="014961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753" w:type="dxa"/>
            <w:vMerge w:val="continue"/>
            <w:shd w:val="clear" w:color="auto" w:fill="FFFFFF"/>
            <w:tcMar>
              <w:top w:w="0" w:type="dxa"/>
              <w:left w:w="0" w:type="dxa"/>
              <w:bottom w:w="0" w:type="dxa"/>
              <w:right w:w="0" w:type="dxa"/>
            </w:tcMar>
            <w:vAlign w:val="center"/>
          </w:tcPr>
          <w:p w14:paraId="0E40DDAE">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7A45AA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31.1</w:t>
            </w:r>
          </w:p>
        </w:tc>
        <w:tc>
          <w:tcPr>
            <w:tcW w:w="525" w:type="dxa"/>
            <w:shd w:val="clear" w:color="auto" w:fill="FFFFFF"/>
            <w:tcMar>
              <w:top w:w="0" w:type="dxa"/>
              <w:left w:w="0" w:type="dxa"/>
              <w:bottom w:w="0" w:type="dxa"/>
              <w:right w:w="0" w:type="dxa"/>
            </w:tcMar>
            <w:vAlign w:val="center"/>
          </w:tcPr>
          <w:p w14:paraId="462CC2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495" w:type="dxa"/>
            <w:shd w:val="clear" w:color="auto" w:fill="FFFFFF"/>
            <w:tcMar>
              <w:top w:w="0" w:type="dxa"/>
              <w:left w:w="0" w:type="dxa"/>
              <w:bottom w:w="0" w:type="dxa"/>
              <w:right w:w="0" w:type="dxa"/>
            </w:tcMar>
            <w:vAlign w:val="center"/>
          </w:tcPr>
          <w:p w14:paraId="42225B9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6541E3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55" w:type="dxa"/>
            <w:shd w:val="clear" w:color="auto" w:fill="FFFFFF"/>
            <w:tcMar>
              <w:top w:w="0" w:type="dxa"/>
              <w:left w:w="0" w:type="dxa"/>
              <w:bottom w:w="0" w:type="dxa"/>
              <w:right w:w="0" w:type="dxa"/>
            </w:tcMar>
            <w:vAlign w:val="center"/>
          </w:tcPr>
          <w:p w14:paraId="30E6A99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46.3</w:t>
            </w:r>
          </w:p>
        </w:tc>
        <w:tc>
          <w:tcPr>
            <w:tcW w:w="525" w:type="dxa"/>
            <w:shd w:val="clear" w:color="auto" w:fill="FFFFFF"/>
            <w:tcMar>
              <w:top w:w="0" w:type="dxa"/>
              <w:left w:w="0" w:type="dxa"/>
              <w:bottom w:w="0" w:type="dxa"/>
              <w:right w:w="0" w:type="dxa"/>
            </w:tcMar>
            <w:vAlign w:val="center"/>
          </w:tcPr>
          <w:p w14:paraId="7743EF0A">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67.7</w:t>
            </w:r>
          </w:p>
        </w:tc>
        <w:tc>
          <w:tcPr>
            <w:tcW w:w="540" w:type="dxa"/>
            <w:shd w:val="clear" w:color="auto" w:fill="FFFFFF"/>
            <w:tcMar>
              <w:top w:w="0" w:type="dxa"/>
              <w:left w:w="0" w:type="dxa"/>
              <w:bottom w:w="0" w:type="dxa"/>
              <w:right w:w="0" w:type="dxa"/>
            </w:tcMar>
            <w:vAlign w:val="center"/>
          </w:tcPr>
          <w:p w14:paraId="3BDB03DE">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40.2</w:t>
            </w:r>
          </w:p>
        </w:tc>
        <w:tc>
          <w:tcPr>
            <w:tcW w:w="525" w:type="dxa"/>
            <w:shd w:val="clear" w:color="auto" w:fill="FFFFFF"/>
            <w:tcMar>
              <w:top w:w="0" w:type="dxa"/>
              <w:left w:w="0" w:type="dxa"/>
              <w:bottom w:w="0" w:type="dxa"/>
              <w:right w:w="0" w:type="dxa"/>
            </w:tcMar>
            <w:vAlign w:val="center"/>
          </w:tcPr>
          <w:p w14:paraId="56DA80B9">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81.7</w:t>
            </w:r>
          </w:p>
        </w:tc>
        <w:tc>
          <w:tcPr>
            <w:tcW w:w="600" w:type="dxa"/>
            <w:shd w:val="clear" w:color="auto" w:fill="FFFFFF"/>
            <w:tcMar>
              <w:top w:w="0" w:type="dxa"/>
              <w:left w:w="0" w:type="dxa"/>
              <w:bottom w:w="0" w:type="dxa"/>
              <w:right w:w="0" w:type="dxa"/>
            </w:tcMar>
            <w:vAlign w:val="center"/>
          </w:tcPr>
          <w:p w14:paraId="1772D76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81.7</w:t>
            </w:r>
          </w:p>
        </w:tc>
        <w:tc>
          <w:tcPr>
            <w:tcW w:w="585" w:type="dxa"/>
            <w:shd w:val="clear" w:color="auto" w:fill="FFFFFF"/>
            <w:tcMar>
              <w:top w:w="0" w:type="dxa"/>
              <w:left w:w="0" w:type="dxa"/>
              <w:bottom w:w="0" w:type="dxa"/>
              <w:right w:w="0" w:type="dxa"/>
            </w:tcMar>
            <w:vAlign w:val="center"/>
          </w:tcPr>
          <w:p w14:paraId="3CA5F2A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81.7</w:t>
            </w:r>
          </w:p>
        </w:tc>
        <w:tc>
          <w:tcPr>
            <w:tcW w:w="510" w:type="dxa"/>
            <w:shd w:val="clear" w:color="auto" w:fill="FFFFFF"/>
            <w:tcMar>
              <w:top w:w="0" w:type="dxa"/>
              <w:left w:w="0" w:type="dxa"/>
              <w:bottom w:w="0" w:type="dxa"/>
              <w:right w:w="0" w:type="dxa"/>
            </w:tcMar>
            <w:vAlign w:val="center"/>
          </w:tcPr>
          <w:p w14:paraId="31607A47">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81.7</w:t>
            </w:r>
          </w:p>
        </w:tc>
        <w:tc>
          <w:tcPr>
            <w:tcW w:w="600" w:type="dxa"/>
            <w:shd w:val="clear" w:color="auto" w:fill="FFFFFF"/>
            <w:tcMar>
              <w:top w:w="0" w:type="dxa"/>
              <w:left w:w="0" w:type="dxa"/>
              <w:bottom w:w="0" w:type="dxa"/>
              <w:right w:w="0" w:type="dxa"/>
            </w:tcMar>
            <w:vAlign w:val="center"/>
          </w:tcPr>
          <w:p w14:paraId="576F03A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731DFF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274B7A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7906F0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584D39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7170F3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56.7</w:t>
            </w:r>
          </w:p>
        </w:tc>
        <w:tc>
          <w:tcPr>
            <w:tcW w:w="555" w:type="dxa"/>
            <w:shd w:val="clear" w:color="auto" w:fill="FFFFFF"/>
            <w:tcMar>
              <w:top w:w="0" w:type="dxa"/>
              <w:left w:w="0" w:type="dxa"/>
              <w:bottom w:w="0" w:type="dxa"/>
              <w:right w:w="0" w:type="dxa"/>
            </w:tcMar>
            <w:vAlign w:val="center"/>
          </w:tcPr>
          <w:p w14:paraId="3F9CF7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56.7</w:t>
            </w:r>
          </w:p>
        </w:tc>
        <w:tc>
          <w:tcPr>
            <w:tcW w:w="495" w:type="dxa"/>
            <w:shd w:val="clear" w:color="auto" w:fill="FFFFFF"/>
            <w:tcMar>
              <w:top w:w="0" w:type="dxa"/>
              <w:left w:w="0" w:type="dxa"/>
              <w:bottom w:w="0" w:type="dxa"/>
              <w:right w:w="0" w:type="dxa"/>
            </w:tcMar>
            <w:vAlign w:val="center"/>
          </w:tcPr>
          <w:p w14:paraId="0BD97A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56.7</w:t>
            </w:r>
          </w:p>
        </w:tc>
        <w:tc>
          <w:tcPr>
            <w:tcW w:w="540" w:type="dxa"/>
            <w:shd w:val="clear" w:color="auto" w:fill="FFFFFF"/>
            <w:tcMar>
              <w:top w:w="0" w:type="dxa"/>
              <w:left w:w="0" w:type="dxa"/>
              <w:bottom w:w="0" w:type="dxa"/>
              <w:right w:w="0" w:type="dxa"/>
            </w:tcMar>
            <w:vAlign w:val="center"/>
          </w:tcPr>
          <w:p w14:paraId="1148AB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56.7</w:t>
            </w:r>
          </w:p>
        </w:tc>
        <w:tc>
          <w:tcPr>
            <w:tcW w:w="570" w:type="dxa"/>
            <w:shd w:val="clear" w:color="auto" w:fill="FFFFFF"/>
            <w:tcMar>
              <w:top w:w="0" w:type="dxa"/>
              <w:left w:w="0" w:type="dxa"/>
              <w:bottom w:w="0" w:type="dxa"/>
              <w:right w:w="0" w:type="dxa"/>
            </w:tcMar>
            <w:vAlign w:val="center"/>
          </w:tcPr>
          <w:p w14:paraId="07838D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76C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1430BBF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15" w:type="dxa"/>
            <w:shd w:val="clear" w:color="auto" w:fill="FFFFFF"/>
            <w:tcMar>
              <w:top w:w="0" w:type="dxa"/>
              <w:left w:w="0" w:type="dxa"/>
              <w:bottom w:w="0" w:type="dxa"/>
              <w:right w:w="0" w:type="dxa"/>
            </w:tcMar>
            <w:vAlign w:val="center"/>
          </w:tcPr>
          <w:p w14:paraId="758046D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1E6E1E2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清洗机</w:t>
            </w:r>
            <w:r>
              <w:rPr>
                <w:rFonts w:hint="default" w:ascii="Times New Roman" w:hAnsi="Times New Roman" w:eastAsia="宋体" w:cs="Times New Roman"/>
                <w:color w:val="auto"/>
                <w:sz w:val="21"/>
                <w:szCs w:val="21"/>
                <w:highlight w:val="none"/>
              </w:rPr>
              <w:t>2</w:t>
            </w:r>
          </w:p>
        </w:tc>
        <w:tc>
          <w:tcPr>
            <w:tcW w:w="702" w:type="dxa"/>
            <w:shd w:val="clear" w:color="auto" w:fill="FFFFFF"/>
            <w:tcMar>
              <w:top w:w="0" w:type="dxa"/>
              <w:left w:w="0" w:type="dxa"/>
              <w:bottom w:w="0" w:type="dxa"/>
              <w:right w:w="0" w:type="dxa"/>
            </w:tcMar>
            <w:vAlign w:val="center"/>
          </w:tcPr>
          <w:p w14:paraId="07D0B8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753" w:type="dxa"/>
            <w:vMerge w:val="continue"/>
            <w:shd w:val="clear" w:color="auto" w:fill="FFFFFF"/>
            <w:tcMar>
              <w:top w:w="0" w:type="dxa"/>
              <w:left w:w="0" w:type="dxa"/>
              <w:bottom w:w="0" w:type="dxa"/>
              <w:right w:w="0" w:type="dxa"/>
            </w:tcMar>
            <w:vAlign w:val="center"/>
          </w:tcPr>
          <w:p w14:paraId="643B34BC">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456D31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33.5</w:t>
            </w:r>
          </w:p>
        </w:tc>
        <w:tc>
          <w:tcPr>
            <w:tcW w:w="525" w:type="dxa"/>
            <w:shd w:val="clear" w:color="auto" w:fill="FFFFFF"/>
            <w:tcMar>
              <w:top w:w="0" w:type="dxa"/>
              <w:left w:w="0" w:type="dxa"/>
              <w:bottom w:w="0" w:type="dxa"/>
              <w:right w:w="0" w:type="dxa"/>
            </w:tcMar>
            <w:vAlign w:val="center"/>
          </w:tcPr>
          <w:p w14:paraId="5285AB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33.8</w:t>
            </w:r>
          </w:p>
        </w:tc>
        <w:tc>
          <w:tcPr>
            <w:tcW w:w="495" w:type="dxa"/>
            <w:shd w:val="clear" w:color="auto" w:fill="FFFFFF"/>
            <w:tcMar>
              <w:top w:w="0" w:type="dxa"/>
              <w:left w:w="0" w:type="dxa"/>
              <w:bottom w:w="0" w:type="dxa"/>
              <w:right w:w="0" w:type="dxa"/>
            </w:tcMar>
            <w:vAlign w:val="center"/>
          </w:tcPr>
          <w:p w14:paraId="461E5E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4FB6CD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w:t>
            </w:r>
          </w:p>
        </w:tc>
        <w:tc>
          <w:tcPr>
            <w:tcW w:w="555" w:type="dxa"/>
            <w:shd w:val="clear" w:color="auto" w:fill="FFFFFF"/>
            <w:tcMar>
              <w:top w:w="0" w:type="dxa"/>
              <w:left w:w="0" w:type="dxa"/>
              <w:bottom w:w="0" w:type="dxa"/>
              <w:right w:w="0" w:type="dxa"/>
            </w:tcMar>
            <w:vAlign w:val="center"/>
          </w:tcPr>
          <w:p w14:paraId="2314E297">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65.1</w:t>
            </w:r>
          </w:p>
        </w:tc>
        <w:tc>
          <w:tcPr>
            <w:tcW w:w="525" w:type="dxa"/>
            <w:shd w:val="clear" w:color="auto" w:fill="FFFFFF"/>
            <w:tcMar>
              <w:top w:w="0" w:type="dxa"/>
              <w:left w:w="0" w:type="dxa"/>
              <w:bottom w:w="0" w:type="dxa"/>
              <w:right w:w="0" w:type="dxa"/>
            </w:tcMar>
            <w:vAlign w:val="center"/>
          </w:tcPr>
          <w:p w14:paraId="19FE9D2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66.3</w:t>
            </w:r>
          </w:p>
        </w:tc>
        <w:tc>
          <w:tcPr>
            <w:tcW w:w="540" w:type="dxa"/>
            <w:shd w:val="clear" w:color="auto" w:fill="FFFFFF"/>
            <w:tcMar>
              <w:top w:w="0" w:type="dxa"/>
              <w:left w:w="0" w:type="dxa"/>
              <w:bottom w:w="0" w:type="dxa"/>
              <w:right w:w="0" w:type="dxa"/>
            </w:tcMar>
            <w:vAlign w:val="center"/>
          </w:tcPr>
          <w:p w14:paraId="04B872B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14.5</w:t>
            </w:r>
          </w:p>
        </w:tc>
        <w:tc>
          <w:tcPr>
            <w:tcW w:w="525" w:type="dxa"/>
            <w:shd w:val="clear" w:color="auto" w:fill="FFFFFF"/>
            <w:tcMar>
              <w:top w:w="0" w:type="dxa"/>
              <w:left w:w="0" w:type="dxa"/>
              <w:bottom w:w="0" w:type="dxa"/>
              <w:right w:w="0" w:type="dxa"/>
            </w:tcMar>
            <w:vAlign w:val="center"/>
          </w:tcPr>
          <w:p w14:paraId="1B87DC68">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600" w:type="dxa"/>
            <w:shd w:val="clear" w:color="auto" w:fill="FFFFFF"/>
            <w:tcMar>
              <w:top w:w="0" w:type="dxa"/>
              <w:left w:w="0" w:type="dxa"/>
              <w:bottom w:w="0" w:type="dxa"/>
              <w:right w:w="0" w:type="dxa"/>
            </w:tcMar>
            <w:vAlign w:val="center"/>
          </w:tcPr>
          <w:p w14:paraId="5B9993B9">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585" w:type="dxa"/>
            <w:shd w:val="clear" w:color="auto" w:fill="FFFFFF"/>
            <w:tcMar>
              <w:top w:w="0" w:type="dxa"/>
              <w:left w:w="0" w:type="dxa"/>
              <w:bottom w:w="0" w:type="dxa"/>
              <w:right w:w="0" w:type="dxa"/>
            </w:tcMar>
            <w:vAlign w:val="center"/>
          </w:tcPr>
          <w:p w14:paraId="042C8C3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510" w:type="dxa"/>
            <w:shd w:val="clear" w:color="auto" w:fill="FFFFFF"/>
            <w:tcMar>
              <w:top w:w="0" w:type="dxa"/>
              <w:left w:w="0" w:type="dxa"/>
              <w:bottom w:w="0" w:type="dxa"/>
              <w:right w:w="0" w:type="dxa"/>
            </w:tcMar>
            <w:vAlign w:val="center"/>
          </w:tcPr>
          <w:p w14:paraId="446AB28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600" w:type="dxa"/>
            <w:shd w:val="clear" w:color="auto" w:fill="FFFFFF"/>
            <w:tcMar>
              <w:top w:w="0" w:type="dxa"/>
              <w:left w:w="0" w:type="dxa"/>
              <w:bottom w:w="0" w:type="dxa"/>
              <w:right w:w="0" w:type="dxa"/>
            </w:tcMar>
            <w:vAlign w:val="center"/>
          </w:tcPr>
          <w:p w14:paraId="32FB49F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08EDAB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160119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4F43C1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3BA3CE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1E8CCC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55" w:type="dxa"/>
            <w:shd w:val="clear" w:color="auto" w:fill="FFFFFF"/>
            <w:tcMar>
              <w:top w:w="0" w:type="dxa"/>
              <w:left w:w="0" w:type="dxa"/>
              <w:bottom w:w="0" w:type="dxa"/>
              <w:right w:w="0" w:type="dxa"/>
            </w:tcMar>
            <w:vAlign w:val="center"/>
          </w:tcPr>
          <w:p w14:paraId="1EC738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495" w:type="dxa"/>
            <w:shd w:val="clear" w:color="auto" w:fill="FFFFFF"/>
            <w:tcMar>
              <w:top w:w="0" w:type="dxa"/>
              <w:left w:w="0" w:type="dxa"/>
              <w:bottom w:w="0" w:type="dxa"/>
              <w:right w:w="0" w:type="dxa"/>
            </w:tcMar>
            <w:vAlign w:val="center"/>
          </w:tcPr>
          <w:p w14:paraId="19F10F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40" w:type="dxa"/>
            <w:shd w:val="clear" w:color="auto" w:fill="FFFFFF"/>
            <w:tcMar>
              <w:top w:w="0" w:type="dxa"/>
              <w:left w:w="0" w:type="dxa"/>
              <w:bottom w:w="0" w:type="dxa"/>
              <w:right w:w="0" w:type="dxa"/>
            </w:tcMar>
            <w:vAlign w:val="center"/>
          </w:tcPr>
          <w:p w14:paraId="059097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70" w:type="dxa"/>
            <w:shd w:val="clear" w:color="auto" w:fill="FFFFFF"/>
            <w:tcMar>
              <w:top w:w="0" w:type="dxa"/>
              <w:left w:w="0" w:type="dxa"/>
              <w:bottom w:w="0" w:type="dxa"/>
              <w:right w:w="0" w:type="dxa"/>
            </w:tcMar>
            <w:vAlign w:val="center"/>
          </w:tcPr>
          <w:p w14:paraId="17B695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BA9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370E5C2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15" w:type="dxa"/>
            <w:shd w:val="clear" w:color="auto" w:fill="FFFFFF"/>
            <w:tcMar>
              <w:top w:w="0" w:type="dxa"/>
              <w:left w:w="0" w:type="dxa"/>
              <w:bottom w:w="0" w:type="dxa"/>
              <w:right w:w="0" w:type="dxa"/>
            </w:tcMar>
            <w:vAlign w:val="center"/>
          </w:tcPr>
          <w:p w14:paraId="4D84D9B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6C30370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自动下片机</w:t>
            </w:r>
          </w:p>
        </w:tc>
        <w:tc>
          <w:tcPr>
            <w:tcW w:w="702" w:type="dxa"/>
            <w:shd w:val="clear" w:color="auto" w:fill="FFFFFF"/>
            <w:tcMar>
              <w:top w:w="0" w:type="dxa"/>
              <w:left w:w="0" w:type="dxa"/>
              <w:bottom w:w="0" w:type="dxa"/>
              <w:right w:w="0" w:type="dxa"/>
            </w:tcMar>
            <w:vAlign w:val="center"/>
          </w:tcPr>
          <w:p w14:paraId="194ECE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753" w:type="dxa"/>
            <w:vMerge w:val="continue"/>
            <w:shd w:val="clear" w:color="auto" w:fill="FFFFFF"/>
            <w:tcMar>
              <w:top w:w="0" w:type="dxa"/>
              <w:left w:w="0" w:type="dxa"/>
              <w:bottom w:w="0" w:type="dxa"/>
              <w:right w:w="0" w:type="dxa"/>
            </w:tcMar>
            <w:vAlign w:val="center"/>
          </w:tcPr>
          <w:p w14:paraId="607F035A">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490953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34.4</w:t>
            </w:r>
          </w:p>
        </w:tc>
        <w:tc>
          <w:tcPr>
            <w:tcW w:w="525" w:type="dxa"/>
            <w:shd w:val="clear" w:color="auto" w:fill="FFFFFF"/>
            <w:tcMar>
              <w:top w:w="0" w:type="dxa"/>
              <w:left w:w="0" w:type="dxa"/>
              <w:bottom w:w="0" w:type="dxa"/>
              <w:right w:w="0" w:type="dxa"/>
            </w:tcMar>
            <w:vAlign w:val="center"/>
          </w:tcPr>
          <w:p w14:paraId="1909A4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43.2</w:t>
            </w:r>
          </w:p>
        </w:tc>
        <w:tc>
          <w:tcPr>
            <w:tcW w:w="495" w:type="dxa"/>
            <w:shd w:val="clear" w:color="auto" w:fill="FFFFFF"/>
            <w:tcMar>
              <w:top w:w="0" w:type="dxa"/>
              <w:left w:w="0" w:type="dxa"/>
              <w:bottom w:w="0" w:type="dxa"/>
              <w:right w:w="0" w:type="dxa"/>
            </w:tcMar>
            <w:vAlign w:val="center"/>
          </w:tcPr>
          <w:p w14:paraId="28B19A4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41BD93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c>
          <w:tcPr>
            <w:tcW w:w="555" w:type="dxa"/>
            <w:shd w:val="clear" w:color="auto" w:fill="FFFFFF"/>
            <w:tcMar>
              <w:top w:w="0" w:type="dxa"/>
              <w:left w:w="0" w:type="dxa"/>
              <w:bottom w:w="0" w:type="dxa"/>
              <w:right w:w="0" w:type="dxa"/>
            </w:tcMar>
            <w:vAlign w:val="center"/>
          </w:tcPr>
          <w:p w14:paraId="1486E13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71.9</w:t>
            </w:r>
          </w:p>
        </w:tc>
        <w:tc>
          <w:tcPr>
            <w:tcW w:w="525" w:type="dxa"/>
            <w:shd w:val="clear" w:color="auto" w:fill="FFFFFF"/>
            <w:tcMar>
              <w:top w:w="0" w:type="dxa"/>
              <w:left w:w="0" w:type="dxa"/>
              <w:bottom w:w="0" w:type="dxa"/>
              <w:right w:w="0" w:type="dxa"/>
            </w:tcMar>
            <w:vAlign w:val="center"/>
          </w:tcPr>
          <w:p w14:paraId="570D972E">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65.8</w:t>
            </w:r>
          </w:p>
        </w:tc>
        <w:tc>
          <w:tcPr>
            <w:tcW w:w="540" w:type="dxa"/>
            <w:shd w:val="clear" w:color="auto" w:fill="FFFFFF"/>
            <w:tcMar>
              <w:top w:w="0" w:type="dxa"/>
              <w:left w:w="0" w:type="dxa"/>
              <w:bottom w:w="0" w:type="dxa"/>
              <w:right w:w="0" w:type="dxa"/>
            </w:tcMar>
            <w:vAlign w:val="center"/>
          </w:tcPr>
          <w:p w14:paraId="7A987FC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5.1</w:t>
            </w:r>
          </w:p>
        </w:tc>
        <w:tc>
          <w:tcPr>
            <w:tcW w:w="525" w:type="dxa"/>
            <w:shd w:val="clear" w:color="auto" w:fill="FFFFFF"/>
            <w:tcMar>
              <w:top w:w="0" w:type="dxa"/>
              <w:left w:w="0" w:type="dxa"/>
              <w:bottom w:w="0" w:type="dxa"/>
              <w:right w:w="0" w:type="dxa"/>
            </w:tcMar>
            <w:vAlign w:val="center"/>
          </w:tcPr>
          <w:p w14:paraId="553200FF">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66.7</w:t>
            </w:r>
          </w:p>
        </w:tc>
        <w:tc>
          <w:tcPr>
            <w:tcW w:w="600" w:type="dxa"/>
            <w:shd w:val="clear" w:color="auto" w:fill="FFFFFF"/>
            <w:tcMar>
              <w:top w:w="0" w:type="dxa"/>
              <w:left w:w="0" w:type="dxa"/>
              <w:bottom w:w="0" w:type="dxa"/>
              <w:right w:w="0" w:type="dxa"/>
            </w:tcMar>
            <w:vAlign w:val="center"/>
          </w:tcPr>
          <w:p w14:paraId="3C8BD97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66.7</w:t>
            </w:r>
          </w:p>
        </w:tc>
        <w:tc>
          <w:tcPr>
            <w:tcW w:w="585" w:type="dxa"/>
            <w:shd w:val="clear" w:color="auto" w:fill="FFFFFF"/>
            <w:tcMar>
              <w:top w:w="0" w:type="dxa"/>
              <w:left w:w="0" w:type="dxa"/>
              <w:bottom w:w="0" w:type="dxa"/>
              <w:right w:w="0" w:type="dxa"/>
            </w:tcMar>
            <w:vAlign w:val="center"/>
          </w:tcPr>
          <w:p w14:paraId="5EC86B4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66.7</w:t>
            </w:r>
          </w:p>
        </w:tc>
        <w:tc>
          <w:tcPr>
            <w:tcW w:w="510" w:type="dxa"/>
            <w:shd w:val="clear" w:color="auto" w:fill="FFFFFF"/>
            <w:tcMar>
              <w:top w:w="0" w:type="dxa"/>
              <w:left w:w="0" w:type="dxa"/>
              <w:bottom w:w="0" w:type="dxa"/>
              <w:right w:w="0" w:type="dxa"/>
            </w:tcMar>
            <w:vAlign w:val="center"/>
          </w:tcPr>
          <w:p w14:paraId="4C3F852A">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66.8</w:t>
            </w:r>
          </w:p>
        </w:tc>
        <w:tc>
          <w:tcPr>
            <w:tcW w:w="600" w:type="dxa"/>
            <w:shd w:val="clear" w:color="auto" w:fill="FFFFFF"/>
            <w:tcMar>
              <w:top w:w="0" w:type="dxa"/>
              <w:left w:w="0" w:type="dxa"/>
              <w:bottom w:w="0" w:type="dxa"/>
              <w:right w:w="0" w:type="dxa"/>
            </w:tcMar>
            <w:vAlign w:val="center"/>
          </w:tcPr>
          <w:p w14:paraId="13D6C86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79D129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58691A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35295B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1AAEDF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410AA7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41.7</w:t>
            </w:r>
          </w:p>
        </w:tc>
        <w:tc>
          <w:tcPr>
            <w:tcW w:w="555" w:type="dxa"/>
            <w:shd w:val="clear" w:color="auto" w:fill="FFFFFF"/>
            <w:tcMar>
              <w:top w:w="0" w:type="dxa"/>
              <w:left w:w="0" w:type="dxa"/>
              <w:bottom w:w="0" w:type="dxa"/>
              <w:right w:w="0" w:type="dxa"/>
            </w:tcMar>
            <w:vAlign w:val="center"/>
          </w:tcPr>
          <w:p w14:paraId="62E6624F">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41.7</w:t>
            </w:r>
          </w:p>
        </w:tc>
        <w:tc>
          <w:tcPr>
            <w:tcW w:w="495" w:type="dxa"/>
            <w:shd w:val="clear" w:color="auto" w:fill="FFFFFF"/>
            <w:tcMar>
              <w:top w:w="0" w:type="dxa"/>
              <w:left w:w="0" w:type="dxa"/>
              <w:bottom w:w="0" w:type="dxa"/>
              <w:right w:w="0" w:type="dxa"/>
            </w:tcMar>
            <w:vAlign w:val="center"/>
          </w:tcPr>
          <w:p w14:paraId="51922A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41.7</w:t>
            </w:r>
          </w:p>
        </w:tc>
        <w:tc>
          <w:tcPr>
            <w:tcW w:w="540" w:type="dxa"/>
            <w:shd w:val="clear" w:color="auto" w:fill="FFFFFF"/>
            <w:tcMar>
              <w:top w:w="0" w:type="dxa"/>
              <w:left w:w="0" w:type="dxa"/>
              <w:bottom w:w="0" w:type="dxa"/>
              <w:right w:w="0" w:type="dxa"/>
            </w:tcMar>
            <w:vAlign w:val="center"/>
          </w:tcPr>
          <w:p w14:paraId="61F2F2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41.8</w:t>
            </w:r>
          </w:p>
        </w:tc>
        <w:tc>
          <w:tcPr>
            <w:tcW w:w="570" w:type="dxa"/>
            <w:shd w:val="clear" w:color="auto" w:fill="FFFFFF"/>
            <w:tcMar>
              <w:top w:w="0" w:type="dxa"/>
              <w:left w:w="0" w:type="dxa"/>
              <w:bottom w:w="0" w:type="dxa"/>
              <w:right w:w="0" w:type="dxa"/>
            </w:tcMar>
            <w:vAlign w:val="center"/>
          </w:tcPr>
          <w:p w14:paraId="60B4B2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599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7" w:hRule="atLeast"/>
          <w:jc w:val="center"/>
        </w:trPr>
        <w:tc>
          <w:tcPr>
            <w:tcW w:w="390" w:type="dxa"/>
            <w:shd w:val="clear" w:color="auto" w:fill="FFFFFF"/>
            <w:tcMar>
              <w:top w:w="0" w:type="dxa"/>
              <w:left w:w="0" w:type="dxa"/>
              <w:bottom w:w="0" w:type="dxa"/>
              <w:right w:w="0" w:type="dxa"/>
            </w:tcMar>
            <w:vAlign w:val="center"/>
          </w:tcPr>
          <w:p w14:paraId="07114A3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15" w:type="dxa"/>
            <w:shd w:val="clear" w:color="auto" w:fill="FFFFFF"/>
            <w:tcMar>
              <w:top w:w="0" w:type="dxa"/>
              <w:left w:w="0" w:type="dxa"/>
              <w:bottom w:w="0" w:type="dxa"/>
              <w:right w:w="0" w:type="dxa"/>
            </w:tcMar>
            <w:vAlign w:val="center"/>
          </w:tcPr>
          <w:p w14:paraId="384F966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4174AD3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碱液喷淋洗涤塔</w:t>
            </w:r>
          </w:p>
        </w:tc>
        <w:tc>
          <w:tcPr>
            <w:tcW w:w="702" w:type="dxa"/>
            <w:shd w:val="clear" w:color="auto" w:fill="FFFFFF"/>
            <w:tcMar>
              <w:top w:w="0" w:type="dxa"/>
              <w:left w:w="0" w:type="dxa"/>
              <w:bottom w:w="0" w:type="dxa"/>
              <w:right w:w="0" w:type="dxa"/>
            </w:tcMar>
            <w:vAlign w:val="center"/>
          </w:tcPr>
          <w:p w14:paraId="4CA159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753" w:type="dxa"/>
            <w:vMerge w:val="continue"/>
            <w:shd w:val="clear" w:color="auto" w:fill="FFFFFF"/>
            <w:tcMar>
              <w:top w:w="0" w:type="dxa"/>
              <w:left w:w="0" w:type="dxa"/>
              <w:bottom w:w="0" w:type="dxa"/>
              <w:right w:w="0" w:type="dxa"/>
            </w:tcMar>
            <w:vAlign w:val="center"/>
          </w:tcPr>
          <w:p w14:paraId="5675331E">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32D9203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22.2</w:t>
            </w:r>
          </w:p>
        </w:tc>
        <w:tc>
          <w:tcPr>
            <w:tcW w:w="525" w:type="dxa"/>
            <w:shd w:val="clear" w:color="auto" w:fill="FFFFFF"/>
            <w:tcMar>
              <w:top w:w="0" w:type="dxa"/>
              <w:left w:w="0" w:type="dxa"/>
              <w:bottom w:w="0" w:type="dxa"/>
              <w:right w:w="0" w:type="dxa"/>
            </w:tcMar>
            <w:vAlign w:val="center"/>
          </w:tcPr>
          <w:p w14:paraId="66FE1A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-52.6</w:t>
            </w:r>
          </w:p>
        </w:tc>
        <w:tc>
          <w:tcPr>
            <w:tcW w:w="495" w:type="dxa"/>
            <w:shd w:val="clear" w:color="auto" w:fill="FFFFFF"/>
            <w:tcMar>
              <w:top w:w="0" w:type="dxa"/>
              <w:left w:w="0" w:type="dxa"/>
              <w:bottom w:w="0" w:type="dxa"/>
              <w:right w:w="0" w:type="dxa"/>
            </w:tcMar>
            <w:vAlign w:val="center"/>
          </w:tcPr>
          <w:p w14:paraId="6B20CE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30846B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555" w:type="dxa"/>
            <w:shd w:val="clear" w:color="auto" w:fill="FFFFFF"/>
            <w:tcMar>
              <w:top w:w="0" w:type="dxa"/>
              <w:left w:w="0" w:type="dxa"/>
              <w:bottom w:w="0" w:type="dxa"/>
              <w:right w:w="0" w:type="dxa"/>
            </w:tcMar>
            <w:vAlign w:val="center"/>
          </w:tcPr>
          <w:p w14:paraId="52226521">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2.4</w:t>
            </w:r>
          </w:p>
        </w:tc>
        <w:tc>
          <w:tcPr>
            <w:tcW w:w="525" w:type="dxa"/>
            <w:shd w:val="clear" w:color="auto" w:fill="FFFFFF"/>
            <w:tcMar>
              <w:top w:w="0" w:type="dxa"/>
              <w:left w:w="0" w:type="dxa"/>
              <w:bottom w:w="0" w:type="dxa"/>
              <w:right w:w="0" w:type="dxa"/>
            </w:tcMar>
            <w:vAlign w:val="center"/>
          </w:tcPr>
          <w:p w14:paraId="7A0CCEC9">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67.9</w:t>
            </w:r>
          </w:p>
        </w:tc>
        <w:tc>
          <w:tcPr>
            <w:tcW w:w="540" w:type="dxa"/>
            <w:shd w:val="clear" w:color="auto" w:fill="FFFFFF"/>
            <w:tcMar>
              <w:top w:w="0" w:type="dxa"/>
              <w:left w:w="0" w:type="dxa"/>
              <w:bottom w:w="0" w:type="dxa"/>
              <w:right w:w="0" w:type="dxa"/>
            </w:tcMar>
            <w:vAlign w:val="center"/>
          </w:tcPr>
          <w:p w14:paraId="7E0574FB">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101.6</w:t>
            </w:r>
          </w:p>
        </w:tc>
        <w:tc>
          <w:tcPr>
            <w:tcW w:w="525" w:type="dxa"/>
            <w:shd w:val="clear" w:color="auto" w:fill="FFFFFF"/>
            <w:tcMar>
              <w:top w:w="0" w:type="dxa"/>
              <w:left w:w="0" w:type="dxa"/>
              <w:bottom w:w="0" w:type="dxa"/>
              <w:right w:w="0" w:type="dxa"/>
            </w:tcMar>
            <w:vAlign w:val="center"/>
          </w:tcPr>
          <w:p w14:paraId="5F5A0E99">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600" w:type="dxa"/>
            <w:shd w:val="clear" w:color="auto" w:fill="FFFFFF"/>
            <w:tcMar>
              <w:top w:w="0" w:type="dxa"/>
              <w:left w:w="0" w:type="dxa"/>
              <w:bottom w:w="0" w:type="dxa"/>
              <w:right w:w="0" w:type="dxa"/>
            </w:tcMar>
            <w:vAlign w:val="center"/>
          </w:tcPr>
          <w:p w14:paraId="15A0F75A">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77.1</w:t>
            </w:r>
          </w:p>
        </w:tc>
        <w:tc>
          <w:tcPr>
            <w:tcW w:w="585" w:type="dxa"/>
            <w:shd w:val="clear" w:color="auto" w:fill="FFFFFF"/>
            <w:tcMar>
              <w:top w:w="0" w:type="dxa"/>
              <w:left w:w="0" w:type="dxa"/>
              <w:bottom w:w="0" w:type="dxa"/>
              <w:right w:w="0" w:type="dxa"/>
            </w:tcMar>
            <w:vAlign w:val="center"/>
          </w:tcPr>
          <w:p w14:paraId="723E303F">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510" w:type="dxa"/>
            <w:shd w:val="clear" w:color="auto" w:fill="FFFFFF"/>
            <w:tcMar>
              <w:top w:w="0" w:type="dxa"/>
              <w:left w:w="0" w:type="dxa"/>
              <w:bottom w:w="0" w:type="dxa"/>
              <w:right w:w="0" w:type="dxa"/>
            </w:tcMar>
            <w:vAlign w:val="center"/>
          </w:tcPr>
          <w:p w14:paraId="062D3EC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600" w:type="dxa"/>
            <w:shd w:val="clear" w:color="auto" w:fill="FFFFFF"/>
            <w:tcMar>
              <w:top w:w="0" w:type="dxa"/>
              <w:left w:w="0" w:type="dxa"/>
              <w:bottom w:w="0" w:type="dxa"/>
              <w:right w:w="0" w:type="dxa"/>
            </w:tcMar>
            <w:vAlign w:val="center"/>
          </w:tcPr>
          <w:p w14:paraId="057DF60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739626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36CA03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27DC80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03DCE7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41B16D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55" w:type="dxa"/>
            <w:shd w:val="clear" w:color="auto" w:fill="FFFFFF"/>
            <w:tcMar>
              <w:top w:w="0" w:type="dxa"/>
              <w:left w:w="0" w:type="dxa"/>
              <w:bottom w:w="0" w:type="dxa"/>
              <w:right w:w="0" w:type="dxa"/>
            </w:tcMar>
            <w:vAlign w:val="center"/>
          </w:tcPr>
          <w:p w14:paraId="277631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52.1</w:t>
            </w:r>
          </w:p>
        </w:tc>
        <w:tc>
          <w:tcPr>
            <w:tcW w:w="495" w:type="dxa"/>
            <w:shd w:val="clear" w:color="auto" w:fill="FFFFFF"/>
            <w:tcMar>
              <w:top w:w="0" w:type="dxa"/>
              <w:left w:w="0" w:type="dxa"/>
              <w:bottom w:w="0" w:type="dxa"/>
              <w:right w:w="0" w:type="dxa"/>
            </w:tcMar>
            <w:vAlign w:val="center"/>
          </w:tcPr>
          <w:p w14:paraId="332C8F5B">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40" w:type="dxa"/>
            <w:shd w:val="clear" w:color="auto" w:fill="FFFFFF"/>
            <w:tcMar>
              <w:top w:w="0" w:type="dxa"/>
              <w:left w:w="0" w:type="dxa"/>
              <w:bottom w:w="0" w:type="dxa"/>
              <w:right w:w="0" w:type="dxa"/>
            </w:tcMar>
            <w:vAlign w:val="center"/>
          </w:tcPr>
          <w:p w14:paraId="2CFA58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70" w:type="dxa"/>
            <w:shd w:val="clear" w:color="auto" w:fill="FFFFFF"/>
            <w:tcMar>
              <w:top w:w="0" w:type="dxa"/>
              <w:left w:w="0" w:type="dxa"/>
              <w:bottom w:w="0" w:type="dxa"/>
              <w:right w:w="0" w:type="dxa"/>
            </w:tcMar>
            <w:vAlign w:val="center"/>
          </w:tcPr>
          <w:p w14:paraId="2D971E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29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4A260AC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915" w:type="dxa"/>
            <w:shd w:val="clear" w:color="auto" w:fill="FFFFFF"/>
            <w:tcMar>
              <w:top w:w="0" w:type="dxa"/>
              <w:left w:w="0" w:type="dxa"/>
              <w:bottom w:w="0" w:type="dxa"/>
              <w:right w:w="0" w:type="dxa"/>
            </w:tcMar>
            <w:vAlign w:val="center"/>
          </w:tcPr>
          <w:p w14:paraId="787152A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67B906B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防腐泵</w:t>
            </w:r>
            <w:r>
              <w:rPr>
                <w:rFonts w:hint="default" w:ascii="Times New Roman" w:hAnsi="Times New Roman" w:eastAsia="宋体" w:cs="Times New Roman"/>
                <w:color w:val="auto"/>
                <w:sz w:val="21"/>
                <w:szCs w:val="21"/>
                <w:highlight w:val="none"/>
              </w:rPr>
              <w:t>1</w:t>
            </w:r>
          </w:p>
        </w:tc>
        <w:tc>
          <w:tcPr>
            <w:tcW w:w="702" w:type="dxa"/>
            <w:shd w:val="clear" w:color="auto" w:fill="FFFFFF"/>
            <w:tcMar>
              <w:top w:w="0" w:type="dxa"/>
              <w:left w:w="0" w:type="dxa"/>
              <w:bottom w:w="0" w:type="dxa"/>
              <w:right w:w="0" w:type="dxa"/>
            </w:tcMar>
            <w:vAlign w:val="center"/>
          </w:tcPr>
          <w:p w14:paraId="5CFED2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753" w:type="dxa"/>
            <w:vMerge w:val="continue"/>
            <w:shd w:val="clear" w:color="auto" w:fill="FFFFFF"/>
            <w:tcMar>
              <w:top w:w="0" w:type="dxa"/>
              <w:left w:w="0" w:type="dxa"/>
              <w:bottom w:w="0" w:type="dxa"/>
              <w:right w:w="0" w:type="dxa"/>
            </w:tcMar>
            <w:vAlign w:val="center"/>
          </w:tcPr>
          <w:p w14:paraId="313FD535">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00B218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29.2</w:t>
            </w:r>
          </w:p>
        </w:tc>
        <w:tc>
          <w:tcPr>
            <w:tcW w:w="525" w:type="dxa"/>
            <w:shd w:val="clear" w:color="auto" w:fill="FFFFFF"/>
            <w:tcMar>
              <w:top w:w="0" w:type="dxa"/>
              <w:left w:w="0" w:type="dxa"/>
              <w:bottom w:w="0" w:type="dxa"/>
              <w:right w:w="0" w:type="dxa"/>
            </w:tcMar>
            <w:vAlign w:val="center"/>
          </w:tcPr>
          <w:p w14:paraId="253CEC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c>
          <w:tcPr>
            <w:tcW w:w="495" w:type="dxa"/>
            <w:shd w:val="clear" w:color="auto" w:fill="FFFFFF"/>
            <w:tcMar>
              <w:top w:w="0" w:type="dxa"/>
              <w:left w:w="0" w:type="dxa"/>
              <w:bottom w:w="0" w:type="dxa"/>
              <w:right w:w="0" w:type="dxa"/>
            </w:tcMar>
            <w:vAlign w:val="center"/>
          </w:tcPr>
          <w:p w14:paraId="1B16EB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77B060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w:t>
            </w:r>
          </w:p>
        </w:tc>
        <w:tc>
          <w:tcPr>
            <w:tcW w:w="555" w:type="dxa"/>
            <w:shd w:val="clear" w:color="auto" w:fill="FFFFFF"/>
            <w:tcMar>
              <w:top w:w="0" w:type="dxa"/>
              <w:left w:w="0" w:type="dxa"/>
              <w:bottom w:w="0" w:type="dxa"/>
              <w:right w:w="0" w:type="dxa"/>
            </w:tcMar>
            <w:vAlign w:val="center"/>
          </w:tcPr>
          <w:p w14:paraId="7A9649B9">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25.8</w:t>
            </w:r>
          </w:p>
        </w:tc>
        <w:tc>
          <w:tcPr>
            <w:tcW w:w="525" w:type="dxa"/>
            <w:shd w:val="clear" w:color="auto" w:fill="FFFFFF"/>
            <w:tcMar>
              <w:top w:w="0" w:type="dxa"/>
              <w:left w:w="0" w:type="dxa"/>
              <w:bottom w:w="0" w:type="dxa"/>
              <w:right w:w="0" w:type="dxa"/>
            </w:tcMar>
            <w:vAlign w:val="center"/>
          </w:tcPr>
          <w:p w14:paraId="03F1DB5F">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69.9</w:t>
            </w:r>
          </w:p>
        </w:tc>
        <w:tc>
          <w:tcPr>
            <w:tcW w:w="540" w:type="dxa"/>
            <w:shd w:val="clear" w:color="auto" w:fill="FFFFFF"/>
            <w:tcMar>
              <w:top w:w="0" w:type="dxa"/>
              <w:left w:w="0" w:type="dxa"/>
              <w:bottom w:w="0" w:type="dxa"/>
              <w:right w:w="0" w:type="dxa"/>
            </w:tcMar>
            <w:vAlign w:val="center"/>
          </w:tcPr>
          <w:p w14:paraId="5EC77C58">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67.7</w:t>
            </w:r>
          </w:p>
        </w:tc>
        <w:tc>
          <w:tcPr>
            <w:tcW w:w="525" w:type="dxa"/>
            <w:shd w:val="clear" w:color="auto" w:fill="FFFFFF"/>
            <w:tcMar>
              <w:top w:w="0" w:type="dxa"/>
              <w:left w:w="0" w:type="dxa"/>
              <w:bottom w:w="0" w:type="dxa"/>
              <w:right w:w="0" w:type="dxa"/>
            </w:tcMar>
            <w:vAlign w:val="center"/>
          </w:tcPr>
          <w:p w14:paraId="3DC00679">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71.8</w:t>
            </w:r>
          </w:p>
        </w:tc>
        <w:tc>
          <w:tcPr>
            <w:tcW w:w="600" w:type="dxa"/>
            <w:shd w:val="clear" w:color="auto" w:fill="FFFFFF"/>
            <w:tcMar>
              <w:top w:w="0" w:type="dxa"/>
              <w:left w:w="0" w:type="dxa"/>
              <w:bottom w:w="0" w:type="dxa"/>
              <w:right w:w="0" w:type="dxa"/>
            </w:tcMar>
            <w:vAlign w:val="center"/>
          </w:tcPr>
          <w:p w14:paraId="3E96F1D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585" w:type="dxa"/>
            <w:shd w:val="clear" w:color="auto" w:fill="FFFFFF"/>
            <w:tcMar>
              <w:top w:w="0" w:type="dxa"/>
              <w:left w:w="0" w:type="dxa"/>
              <w:bottom w:w="0" w:type="dxa"/>
              <w:right w:w="0" w:type="dxa"/>
            </w:tcMar>
            <w:vAlign w:val="center"/>
          </w:tcPr>
          <w:p w14:paraId="3BBC268B">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510" w:type="dxa"/>
            <w:shd w:val="clear" w:color="auto" w:fill="FFFFFF"/>
            <w:tcMar>
              <w:top w:w="0" w:type="dxa"/>
              <w:left w:w="0" w:type="dxa"/>
              <w:bottom w:w="0" w:type="dxa"/>
              <w:right w:w="0" w:type="dxa"/>
            </w:tcMar>
            <w:vAlign w:val="center"/>
          </w:tcPr>
          <w:p w14:paraId="5FB3744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600" w:type="dxa"/>
            <w:shd w:val="clear" w:color="auto" w:fill="FFFFFF"/>
            <w:tcMar>
              <w:top w:w="0" w:type="dxa"/>
              <w:left w:w="0" w:type="dxa"/>
              <w:bottom w:w="0" w:type="dxa"/>
              <w:right w:w="0" w:type="dxa"/>
            </w:tcMar>
            <w:vAlign w:val="center"/>
          </w:tcPr>
          <w:p w14:paraId="4B05307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13A77D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152531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1ED77F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487B00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536444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46.8</w:t>
            </w:r>
          </w:p>
        </w:tc>
        <w:tc>
          <w:tcPr>
            <w:tcW w:w="555" w:type="dxa"/>
            <w:shd w:val="clear" w:color="auto" w:fill="FFFFFF"/>
            <w:tcMar>
              <w:top w:w="0" w:type="dxa"/>
              <w:left w:w="0" w:type="dxa"/>
              <w:bottom w:w="0" w:type="dxa"/>
              <w:right w:w="0" w:type="dxa"/>
            </w:tcMar>
            <w:vAlign w:val="center"/>
          </w:tcPr>
          <w:p w14:paraId="1C9BD9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495" w:type="dxa"/>
            <w:shd w:val="clear" w:color="auto" w:fill="FFFFFF"/>
            <w:tcMar>
              <w:top w:w="0" w:type="dxa"/>
              <w:left w:w="0" w:type="dxa"/>
              <w:bottom w:w="0" w:type="dxa"/>
              <w:right w:w="0" w:type="dxa"/>
            </w:tcMar>
            <w:vAlign w:val="center"/>
          </w:tcPr>
          <w:p w14:paraId="3A3DB3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40" w:type="dxa"/>
            <w:shd w:val="clear" w:color="auto" w:fill="FFFFFF"/>
            <w:tcMar>
              <w:top w:w="0" w:type="dxa"/>
              <w:left w:w="0" w:type="dxa"/>
              <w:bottom w:w="0" w:type="dxa"/>
              <w:right w:w="0" w:type="dxa"/>
            </w:tcMar>
            <w:vAlign w:val="center"/>
          </w:tcPr>
          <w:p w14:paraId="0B4739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70" w:type="dxa"/>
            <w:shd w:val="clear" w:color="auto" w:fill="FFFFFF"/>
            <w:tcMar>
              <w:top w:w="0" w:type="dxa"/>
              <w:left w:w="0" w:type="dxa"/>
              <w:bottom w:w="0" w:type="dxa"/>
              <w:right w:w="0" w:type="dxa"/>
            </w:tcMar>
            <w:vAlign w:val="center"/>
          </w:tcPr>
          <w:p w14:paraId="5632D0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2C5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769EE34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915" w:type="dxa"/>
            <w:shd w:val="clear" w:color="auto" w:fill="FFFFFF"/>
            <w:tcMar>
              <w:top w:w="0" w:type="dxa"/>
              <w:left w:w="0" w:type="dxa"/>
              <w:bottom w:w="0" w:type="dxa"/>
              <w:right w:w="0" w:type="dxa"/>
            </w:tcMar>
            <w:vAlign w:val="center"/>
          </w:tcPr>
          <w:p w14:paraId="147B3B7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18D980A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防腐泵</w:t>
            </w:r>
            <w:r>
              <w:rPr>
                <w:rFonts w:hint="default" w:ascii="Times New Roman" w:hAnsi="Times New Roman" w:eastAsia="宋体" w:cs="Times New Roman"/>
                <w:color w:val="auto"/>
                <w:sz w:val="21"/>
                <w:szCs w:val="21"/>
                <w:highlight w:val="none"/>
              </w:rPr>
              <w:t>2</w:t>
            </w:r>
          </w:p>
        </w:tc>
        <w:tc>
          <w:tcPr>
            <w:tcW w:w="702" w:type="dxa"/>
            <w:shd w:val="clear" w:color="auto" w:fill="FFFFFF"/>
            <w:tcMar>
              <w:top w:w="0" w:type="dxa"/>
              <w:left w:w="0" w:type="dxa"/>
              <w:bottom w:w="0" w:type="dxa"/>
              <w:right w:w="0" w:type="dxa"/>
            </w:tcMar>
            <w:vAlign w:val="center"/>
          </w:tcPr>
          <w:p w14:paraId="3428F9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753" w:type="dxa"/>
            <w:vMerge w:val="continue"/>
            <w:shd w:val="clear" w:color="auto" w:fill="FFFFFF"/>
            <w:tcMar>
              <w:top w:w="0" w:type="dxa"/>
              <w:left w:w="0" w:type="dxa"/>
              <w:bottom w:w="0" w:type="dxa"/>
              <w:right w:w="0" w:type="dxa"/>
            </w:tcMar>
            <w:vAlign w:val="center"/>
          </w:tcPr>
          <w:p w14:paraId="1646DA9D">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7BFD45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29.5</w:t>
            </w:r>
          </w:p>
        </w:tc>
        <w:tc>
          <w:tcPr>
            <w:tcW w:w="525" w:type="dxa"/>
            <w:shd w:val="clear" w:color="auto" w:fill="FFFFFF"/>
            <w:tcMar>
              <w:top w:w="0" w:type="dxa"/>
              <w:left w:w="0" w:type="dxa"/>
              <w:bottom w:w="0" w:type="dxa"/>
              <w:right w:w="0" w:type="dxa"/>
            </w:tcMar>
            <w:vAlign w:val="center"/>
          </w:tcPr>
          <w:p w14:paraId="565FB4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-16.4</w:t>
            </w:r>
          </w:p>
        </w:tc>
        <w:tc>
          <w:tcPr>
            <w:tcW w:w="495" w:type="dxa"/>
            <w:shd w:val="clear" w:color="auto" w:fill="FFFFFF"/>
            <w:tcMar>
              <w:top w:w="0" w:type="dxa"/>
              <w:left w:w="0" w:type="dxa"/>
              <w:bottom w:w="0" w:type="dxa"/>
              <w:right w:w="0" w:type="dxa"/>
            </w:tcMar>
            <w:vAlign w:val="center"/>
          </w:tcPr>
          <w:p w14:paraId="1A3027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3879C2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w:t>
            </w:r>
          </w:p>
        </w:tc>
        <w:tc>
          <w:tcPr>
            <w:tcW w:w="555" w:type="dxa"/>
            <w:shd w:val="clear" w:color="auto" w:fill="FFFFFF"/>
            <w:tcMar>
              <w:top w:w="0" w:type="dxa"/>
              <w:left w:w="0" w:type="dxa"/>
              <w:bottom w:w="0" w:type="dxa"/>
              <w:right w:w="0" w:type="dxa"/>
            </w:tcMar>
            <w:vAlign w:val="center"/>
          </w:tcPr>
          <w:p w14:paraId="007D0A87">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27.9</w:t>
            </w:r>
          </w:p>
        </w:tc>
        <w:tc>
          <w:tcPr>
            <w:tcW w:w="525" w:type="dxa"/>
            <w:shd w:val="clear" w:color="auto" w:fill="FFFFFF"/>
            <w:tcMar>
              <w:top w:w="0" w:type="dxa"/>
              <w:left w:w="0" w:type="dxa"/>
              <w:bottom w:w="0" w:type="dxa"/>
              <w:right w:w="0" w:type="dxa"/>
            </w:tcMar>
            <w:vAlign w:val="center"/>
          </w:tcPr>
          <w:p w14:paraId="1735D4F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69.7</w:t>
            </w:r>
          </w:p>
        </w:tc>
        <w:tc>
          <w:tcPr>
            <w:tcW w:w="540" w:type="dxa"/>
            <w:shd w:val="clear" w:color="auto" w:fill="FFFFFF"/>
            <w:tcMar>
              <w:top w:w="0" w:type="dxa"/>
              <w:left w:w="0" w:type="dxa"/>
              <w:bottom w:w="0" w:type="dxa"/>
              <w:right w:w="0" w:type="dxa"/>
            </w:tcMar>
            <w:vAlign w:val="center"/>
          </w:tcPr>
          <w:p w14:paraId="5487C0E2">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64.7</w:t>
            </w:r>
          </w:p>
        </w:tc>
        <w:tc>
          <w:tcPr>
            <w:tcW w:w="525" w:type="dxa"/>
            <w:shd w:val="clear" w:color="auto" w:fill="FFFFFF"/>
            <w:tcMar>
              <w:top w:w="0" w:type="dxa"/>
              <w:left w:w="0" w:type="dxa"/>
              <w:bottom w:w="0" w:type="dxa"/>
              <w:right w:w="0" w:type="dxa"/>
            </w:tcMar>
            <w:vAlign w:val="center"/>
          </w:tcPr>
          <w:p w14:paraId="786FFBF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71.8</w:t>
            </w:r>
          </w:p>
        </w:tc>
        <w:tc>
          <w:tcPr>
            <w:tcW w:w="600" w:type="dxa"/>
            <w:shd w:val="clear" w:color="auto" w:fill="FFFFFF"/>
            <w:tcMar>
              <w:top w:w="0" w:type="dxa"/>
              <w:left w:w="0" w:type="dxa"/>
              <w:bottom w:w="0" w:type="dxa"/>
              <w:right w:w="0" w:type="dxa"/>
            </w:tcMar>
            <w:vAlign w:val="center"/>
          </w:tcPr>
          <w:p w14:paraId="05E1D848">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585" w:type="dxa"/>
            <w:shd w:val="clear" w:color="auto" w:fill="FFFFFF"/>
            <w:tcMar>
              <w:top w:w="0" w:type="dxa"/>
              <w:left w:w="0" w:type="dxa"/>
              <w:bottom w:w="0" w:type="dxa"/>
              <w:right w:w="0" w:type="dxa"/>
            </w:tcMar>
            <w:vAlign w:val="center"/>
          </w:tcPr>
          <w:p w14:paraId="2F44E431">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510" w:type="dxa"/>
            <w:shd w:val="clear" w:color="auto" w:fill="FFFFFF"/>
            <w:tcMar>
              <w:top w:w="0" w:type="dxa"/>
              <w:left w:w="0" w:type="dxa"/>
              <w:bottom w:w="0" w:type="dxa"/>
              <w:right w:w="0" w:type="dxa"/>
            </w:tcMar>
            <w:vAlign w:val="center"/>
          </w:tcPr>
          <w:p w14:paraId="2009A82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600" w:type="dxa"/>
            <w:shd w:val="clear" w:color="auto" w:fill="FFFFFF"/>
            <w:tcMar>
              <w:top w:w="0" w:type="dxa"/>
              <w:left w:w="0" w:type="dxa"/>
              <w:bottom w:w="0" w:type="dxa"/>
              <w:right w:w="0" w:type="dxa"/>
            </w:tcMar>
            <w:vAlign w:val="center"/>
          </w:tcPr>
          <w:p w14:paraId="4FA1888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705A8C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2554FC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5C68F1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65C189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6BBCCF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46.8</w:t>
            </w:r>
          </w:p>
        </w:tc>
        <w:tc>
          <w:tcPr>
            <w:tcW w:w="555" w:type="dxa"/>
            <w:shd w:val="clear" w:color="auto" w:fill="FFFFFF"/>
            <w:tcMar>
              <w:top w:w="0" w:type="dxa"/>
              <w:left w:w="0" w:type="dxa"/>
              <w:bottom w:w="0" w:type="dxa"/>
              <w:right w:w="0" w:type="dxa"/>
            </w:tcMar>
            <w:vAlign w:val="center"/>
          </w:tcPr>
          <w:p w14:paraId="1331C4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495" w:type="dxa"/>
            <w:shd w:val="clear" w:color="auto" w:fill="FFFFFF"/>
            <w:tcMar>
              <w:top w:w="0" w:type="dxa"/>
              <w:left w:w="0" w:type="dxa"/>
              <w:bottom w:w="0" w:type="dxa"/>
              <w:right w:w="0" w:type="dxa"/>
            </w:tcMar>
            <w:vAlign w:val="center"/>
          </w:tcPr>
          <w:p w14:paraId="6EF436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40" w:type="dxa"/>
            <w:shd w:val="clear" w:color="auto" w:fill="FFFFFF"/>
            <w:tcMar>
              <w:top w:w="0" w:type="dxa"/>
              <w:left w:w="0" w:type="dxa"/>
              <w:bottom w:w="0" w:type="dxa"/>
              <w:right w:w="0" w:type="dxa"/>
            </w:tcMar>
            <w:vAlign w:val="center"/>
          </w:tcPr>
          <w:p w14:paraId="7665DA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70" w:type="dxa"/>
            <w:shd w:val="clear" w:color="auto" w:fill="FFFFFF"/>
            <w:tcMar>
              <w:top w:w="0" w:type="dxa"/>
              <w:left w:w="0" w:type="dxa"/>
              <w:bottom w:w="0" w:type="dxa"/>
              <w:right w:w="0" w:type="dxa"/>
            </w:tcMar>
            <w:vAlign w:val="center"/>
          </w:tcPr>
          <w:p w14:paraId="0CA59C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46A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6E06DA3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915" w:type="dxa"/>
            <w:shd w:val="clear" w:color="auto" w:fill="FFFFFF"/>
            <w:tcMar>
              <w:top w:w="0" w:type="dxa"/>
              <w:left w:w="0" w:type="dxa"/>
              <w:bottom w:w="0" w:type="dxa"/>
              <w:right w:w="0" w:type="dxa"/>
            </w:tcMar>
            <w:vAlign w:val="center"/>
          </w:tcPr>
          <w:p w14:paraId="32089CF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57BBFFA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防腐泵</w:t>
            </w:r>
            <w:r>
              <w:rPr>
                <w:rFonts w:hint="default" w:ascii="Times New Roman" w:hAnsi="Times New Roman" w:eastAsia="宋体" w:cs="Times New Roman"/>
                <w:color w:val="auto"/>
                <w:sz w:val="21"/>
                <w:szCs w:val="21"/>
                <w:highlight w:val="none"/>
              </w:rPr>
              <w:t>3</w:t>
            </w:r>
          </w:p>
        </w:tc>
        <w:tc>
          <w:tcPr>
            <w:tcW w:w="702" w:type="dxa"/>
            <w:shd w:val="clear" w:color="auto" w:fill="FFFFFF"/>
            <w:tcMar>
              <w:top w:w="0" w:type="dxa"/>
              <w:left w:w="0" w:type="dxa"/>
              <w:bottom w:w="0" w:type="dxa"/>
              <w:right w:w="0" w:type="dxa"/>
            </w:tcMar>
            <w:vAlign w:val="center"/>
          </w:tcPr>
          <w:p w14:paraId="7ADBEC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753" w:type="dxa"/>
            <w:vMerge w:val="continue"/>
            <w:shd w:val="clear" w:color="auto" w:fill="FFFFFF"/>
            <w:tcMar>
              <w:top w:w="0" w:type="dxa"/>
              <w:left w:w="0" w:type="dxa"/>
              <w:bottom w:w="0" w:type="dxa"/>
              <w:right w:w="0" w:type="dxa"/>
            </w:tcMar>
            <w:vAlign w:val="center"/>
          </w:tcPr>
          <w:p w14:paraId="46B8FAAF">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37CFE7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525" w:type="dxa"/>
            <w:shd w:val="clear" w:color="auto" w:fill="FFFFFF"/>
            <w:tcMar>
              <w:top w:w="0" w:type="dxa"/>
              <w:left w:w="0" w:type="dxa"/>
              <w:bottom w:w="0" w:type="dxa"/>
              <w:right w:w="0" w:type="dxa"/>
            </w:tcMar>
            <w:vAlign w:val="center"/>
          </w:tcPr>
          <w:p w14:paraId="157EB7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w:t>
            </w:r>
          </w:p>
        </w:tc>
        <w:tc>
          <w:tcPr>
            <w:tcW w:w="495" w:type="dxa"/>
            <w:shd w:val="clear" w:color="auto" w:fill="FFFFFF"/>
            <w:tcMar>
              <w:top w:w="0" w:type="dxa"/>
              <w:left w:w="0" w:type="dxa"/>
              <w:bottom w:w="0" w:type="dxa"/>
              <w:right w:w="0" w:type="dxa"/>
            </w:tcMar>
            <w:vAlign w:val="center"/>
          </w:tcPr>
          <w:p w14:paraId="6DC33F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2BA0A3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14.2</w:t>
            </w:r>
          </w:p>
        </w:tc>
        <w:tc>
          <w:tcPr>
            <w:tcW w:w="555" w:type="dxa"/>
            <w:shd w:val="clear" w:color="auto" w:fill="FFFFFF"/>
            <w:tcMar>
              <w:top w:w="0" w:type="dxa"/>
              <w:left w:w="0" w:type="dxa"/>
              <w:bottom w:w="0" w:type="dxa"/>
              <w:right w:w="0" w:type="dxa"/>
            </w:tcMar>
            <w:vAlign w:val="center"/>
          </w:tcPr>
          <w:p w14:paraId="7ACDEC0A">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37.3</w:t>
            </w:r>
          </w:p>
        </w:tc>
        <w:tc>
          <w:tcPr>
            <w:tcW w:w="525" w:type="dxa"/>
            <w:shd w:val="clear" w:color="auto" w:fill="FFFFFF"/>
            <w:tcMar>
              <w:top w:w="0" w:type="dxa"/>
              <w:left w:w="0" w:type="dxa"/>
              <w:bottom w:w="0" w:type="dxa"/>
              <w:right w:w="0" w:type="dxa"/>
            </w:tcMar>
            <w:vAlign w:val="center"/>
          </w:tcPr>
          <w:p w14:paraId="07E9AA0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62.5</w:t>
            </w:r>
          </w:p>
        </w:tc>
        <w:tc>
          <w:tcPr>
            <w:tcW w:w="540" w:type="dxa"/>
            <w:shd w:val="clear" w:color="auto" w:fill="FFFFFF"/>
            <w:tcMar>
              <w:top w:w="0" w:type="dxa"/>
              <w:left w:w="0" w:type="dxa"/>
              <w:bottom w:w="0" w:type="dxa"/>
              <w:right w:w="0" w:type="dxa"/>
            </w:tcMar>
            <w:vAlign w:val="center"/>
          </w:tcPr>
          <w:p w14:paraId="3FB205D0">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58.7</w:t>
            </w:r>
          </w:p>
        </w:tc>
        <w:tc>
          <w:tcPr>
            <w:tcW w:w="525" w:type="dxa"/>
            <w:shd w:val="clear" w:color="auto" w:fill="FFFFFF"/>
            <w:tcMar>
              <w:top w:w="0" w:type="dxa"/>
              <w:left w:w="0" w:type="dxa"/>
              <w:bottom w:w="0" w:type="dxa"/>
              <w:right w:w="0" w:type="dxa"/>
            </w:tcMar>
            <w:vAlign w:val="center"/>
          </w:tcPr>
          <w:p w14:paraId="2E4054D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600" w:type="dxa"/>
            <w:shd w:val="clear" w:color="auto" w:fill="FFFFFF"/>
            <w:tcMar>
              <w:top w:w="0" w:type="dxa"/>
              <w:left w:w="0" w:type="dxa"/>
              <w:bottom w:w="0" w:type="dxa"/>
              <w:right w:w="0" w:type="dxa"/>
            </w:tcMar>
            <w:vAlign w:val="center"/>
          </w:tcPr>
          <w:p w14:paraId="2655EDB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585" w:type="dxa"/>
            <w:shd w:val="clear" w:color="auto" w:fill="FFFFFF"/>
            <w:tcMar>
              <w:top w:w="0" w:type="dxa"/>
              <w:left w:w="0" w:type="dxa"/>
              <w:bottom w:w="0" w:type="dxa"/>
              <w:right w:w="0" w:type="dxa"/>
            </w:tcMar>
            <w:vAlign w:val="center"/>
          </w:tcPr>
          <w:p w14:paraId="4F9ED0FB">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510" w:type="dxa"/>
            <w:shd w:val="clear" w:color="auto" w:fill="FFFFFF"/>
            <w:tcMar>
              <w:top w:w="0" w:type="dxa"/>
              <w:left w:w="0" w:type="dxa"/>
              <w:bottom w:w="0" w:type="dxa"/>
              <w:right w:w="0" w:type="dxa"/>
            </w:tcMar>
            <w:vAlign w:val="center"/>
          </w:tcPr>
          <w:p w14:paraId="1AA4873F">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600" w:type="dxa"/>
            <w:shd w:val="clear" w:color="auto" w:fill="FFFFFF"/>
            <w:tcMar>
              <w:top w:w="0" w:type="dxa"/>
              <w:left w:w="0" w:type="dxa"/>
              <w:bottom w:w="0" w:type="dxa"/>
              <w:right w:w="0" w:type="dxa"/>
            </w:tcMar>
            <w:vAlign w:val="center"/>
          </w:tcPr>
          <w:p w14:paraId="1DFBC57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040354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0D0DB9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6E77FD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1A51CC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37C087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55" w:type="dxa"/>
            <w:shd w:val="clear" w:color="auto" w:fill="FFFFFF"/>
            <w:tcMar>
              <w:top w:w="0" w:type="dxa"/>
              <w:left w:w="0" w:type="dxa"/>
              <w:bottom w:w="0" w:type="dxa"/>
              <w:right w:w="0" w:type="dxa"/>
            </w:tcMar>
            <w:vAlign w:val="center"/>
          </w:tcPr>
          <w:p w14:paraId="370D05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495" w:type="dxa"/>
            <w:shd w:val="clear" w:color="auto" w:fill="FFFFFF"/>
            <w:tcMar>
              <w:top w:w="0" w:type="dxa"/>
              <w:left w:w="0" w:type="dxa"/>
              <w:bottom w:w="0" w:type="dxa"/>
              <w:right w:w="0" w:type="dxa"/>
            </w:tcMar>
            <w:vAlign w:val="center"/>
          </w:tcPr>
          <w:p w14:paraId="7C52D55B">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40" w:type="dxa"/>
            <w:shd w:val="clear" w:color="auto" w:fill="FFFFFF"/>
            <w:tcMar>
              <w:top w:w="0" w:type="dxa"/>
              <w:left w:w="0" w:type="dxa"/>
              <w:bottom w:w="0" w:type="dxa"/>
              <w:right w:w="0" w:type="dxa"/>
            </w:tcMar>
            <w:vAlign w:val="center"/>
          </w:tcPr>
          <w:p w14:paraId="46AA17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70" w:type="dxa"/>
            <w:shd w:val="clear" w:color="auto" w:fill="FFFFFF"/>
            <w:tcMar>
              <w:top w:w="0" w:type="dxa"/>
              <w:left w:w="0" w:type="dxa"/>
              <w:bottom w:w="0" w:type="dxa"/>
              <w:right w:w="0" w:type="dxa"/>
            </w:tcMar>
            <w:vAlign w:val="center"/>
          </w:tcPr>
          <w:p w14:paraId="07A10B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002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0DA0E43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15" w:type="dxa"/>
            <w:shd w:val="clear" w:color="auto" w:fill="FFFFFF"/>
            <w:tcMar>
              <w:top w:w="0" w:type="dxa"/>
              <w:left w:w="0" w:type="dxa"/>
              <w:bottom w:w="0" w:type="dxa"/>
              <w:right w:w="0" w:type="dxa"/>
            </w:tcMar>
            <w:vAlign w:val="center"/>
          </w:tcPr>
          <w:p w14:paraId="635CF61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4E5ED80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防腐泵</w:t>
            </w:r>
            <w:r>
              <w:rPr>
                <w:rFonts w:hint="default" w:ascii="Times New Roman" w:hAnsi="Times New Roman" w:eastAsia="宋体" w:cs="Times New Roman"/>
                <w:color w:val="auto"/>
                <w:sz w:val="21"/>
                <w:szCs w:val="21"/>
                <w:highlight w:val="none"/>
              </w:rPr>
              <w:t>4</w:t>
            </w:r>
          </w:p>
        </w:tc>
        <w:tc>
          <w:tcPr>
            <w:tcW w:w="702" w:type="dxa"/>
            <w:shd w:val="clear" w:color="auto" w:fill="FFFFFF"/>
            <w:tcMar>
              <w:top w:w="0" w:type="dxa"/>
              <w:left w:w="0" w:type="dxa"/>
              <w:bottom w:w="0" w:type="dxa"/>
              <w:right w:w="0" w:type="dxa"/>
            </w:tcMar>
            <w:vAlign w:val="center"/>
          </w:tcPr>
          <w:p w14:paraId="137791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753" w:type="dxa"/>
            <w:vMerge w:val="continue"/>
            <w:shd w:val="clear" w:color="auto" w:fill="FFFFFF"/>
            <w:tcMar>
              <w:top w:w="0" w:type="dxa"/>
              <w:left w:w="0" w:type="dxa"/>
              <w:bottom w:w="0" w:type="dxa"/>
              <w:right w:w="0" w:type="dxa"/>
            </w:tcMar>
            <w:vAlign w:val="center"/>
          </w:tcPr>
          <w:p w14:paraId="5DB8369D">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21C737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525" w:type="dxa"/>
            <w:shd w:val="clear" w:color="auto" w:fill="FFFFFF"/>
            <w:tcMar>
              <w:top w:w="0" w:type="dxa"/>
              <w:left w:w="0" w:type="dxa"/>
              <w:bottom w:w="0" w:type="dxa"/>
              <w:right w:w="0" w:type="dxa"/>
            </w:tcMar>
            <w:vAlign w:val="center"/>
          </w:tcPr>
          <w:p w14:paraId="384A75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34.1</w:t>
            </w:r>
          </w:p>
        </w:tc>
        <w:tc>
          <w:tcPr>
            <w:tcW w:w="495" w:type="dxa"/>
            <w:shd w:val="clear" w:color="auto" w:fill="FFFFFF"/>
            <w:tcMar>
              <w:top w:w="0" w:type="dxa"/>
              <w:left w:w="0" w:type="dxa"/>
              <w:bottom w:w="0" w:type="dxa"/>
              <w:right w:w="0" w:type="dxa"/>
            </w:tcMar>
            <w:vAlign w:val="center"/>
          </w:tcPr>
          <w:p w14:paraId="2F7A85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27D32A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555" w:type="dxa"/>
            <w:shd w:val="clear" w:color="auto" w:fill="FFFFFF"/>
            <w:tcMar>
              <w:top w:w="0" w:type="dxa"/>
              <w:left w:w="0" w:type="dxa"/>
              <w:bottom w:w="0" w:type="dxa"/>
              <w:right w:w="0" w:type="dxa"/>
            </w:tcMar>
            <w:vAlign w:val="center"/>
          </w:tcPr>
          <w:p w14:paraId="2C9C735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67.0</w:t>
            </w:r>
          </w:p>
        </w:tc>
        <w:tc>
          <w:tcPr>
            <w:tcW w:w="525" w:type="dxa"/>
            <w:shd w:val="clear" w:color="auto" w:fill="FFFFFF"/>
            <w:tcMar>
              <w:top w:w="0" w:type="dxa"/>
              <w:left w:w="0" w:type="dxa"/>
              <w:bottom w:w="0" w:type="dxa"/>
              <w:right w:w="0" w:type="dxa"/>
            </w:tcMar>
            <w:vAlign w:val="center"/>
          </w:tcPr>
          <w:p w14:paraId="7C3A688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63.5</w:t>
            </w:r>
          </w:p>
        </w:tc>
        <w:tc>
          <w:tcPr>
            <w:tcW w:w="540" w:type="dxa"/>
            <w:shd w:val="clear" w:color="auto" w:fill="FFFFFF"/>
            <w:tcMar>
              <w:top w:w="0" w:type="dxa"/>
              <w:left w:w="0" w:type="dxa"/>
              <w:bottom w:w="0" w:type="dxa"/>
              <w:right w:w="0" w:type="dxa"/>
            </w:tcMar>
            <w:vAlign w:val="center"/>
          </w:tcPr>
          <w:p w14:paraId="50A2DD1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14.6</w:t>
            </w:r>
          </w:p>
        </w:tc>
        <w:tc>
          <w:tcPr>
            <w:tcW w:w="525" w:type="dxa"/>
            <w:shd w:val="clear" w:color="auto" w:fill="FFFFFF"/>
            <w:tcMar>
              <w:top w:w="0" w:type="dxa"/>
              <w:left w:w="0" w:type="dxa"/>
              <w:bottom w:w="0" w:type="dxa"/>
              <w:right w:w="0" w:type="dxa"/>
            </w:tcMar>
            <w:vAlign w:val="center"/>
          </w:tcPr>
          <w:p w14:paraId="4AEC6BD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600" w:type="dxa"/>
            <w:shd w:val="clear" w:color="auto" w:fill="FFFFFF"/>
            <w:tcMar>
              <w:top w:w="0" w:type="dxa"/>
              <w:left w:w="0" w:type="dxa"/>
              <w:bottom w:w="0" w:type="dxa"/>
              <w:right w:w="0" w:type="dxa"/>
            </w:tcMar>
            <w:vAlign w:val="center"/>
          </w:tcPr>
          <w:p w14:paraId="075372EB">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585" w:type="dxa"/>
            <w:shd w:val="clear" w:color="auto" w:fill="FFFFFF"/>
            <w:tcMar>
              <w:top w:w="0" w:type="dxa"/>
              <w:left w:w="0" w:type="dxa"/>
              <w:bottom w:w="0" w:type="dxa"/>
              <w:right w:w="0" w:type="dxa"/>
            </w:tcMar>
            <w:vAlign w:val="center"/>
          </w:tcPr>
          <w:p w14:paraId="4604922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510" w:type="dxa"/>
            <w:shd w:val="clear" w:color="auto" w:fill="FFFFFF"/>
            <w:tcMar>
              <w:top w:w="0" w:type="dxa"/>
              <w:left w:w="0" w:type="dxa"/>
              <w:bottom w:w="0" w:type="dxa"/>
              <w:right w:w="0" w:type="dxa"/>
            </w:tcMar>
            <w:vAlign w:val="center"/>
          </w:tcPr>
          <w:p w14:paraId="4873242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71.7</w:t>
            </w:r>
          </w:p>
        </w:tc>
        <w:tc>
          <w:tcPr>
            <w:tcW w:w="600" w:type="dxa"/>
            <w:shd w:val="clear" w:color="auto" w:fill="FFFFFF"/>
            <w:tcMar>
              <w:top w:w="0" w:type="dxa"/>
              <w:left w:w="0" w:type="dxa"/>
              <w:bottom w:w="0" w:type="dxa"/>
              <w:right w:w="0" w:type="dxa"/>
            </w:tcMar>
            <w:vAlign w:val="center"/>
          </w:tcPr>
          <w:p w14:paraId="3DABB66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142EEF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5C8390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691825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4EC319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320E3D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55" w:type="dxa"/>
            <w:shd w:val="clear" w:color="auto" w:fill="FFFFFF"/>
            <w:tcMar>
              <w:top w:w="0" w:type="dxa"/>
              <w:left w:w="0" w:type="dxa"/>
              <w:bottom w:w="0" w:type="dxa"/>
              <w:right w:w="0" w:type="dxa"/>
            </w:tcMar>
            <w:vAlign w:val="center"/>
          </w:tcPr>
          <w:p w14:paraId="1C3927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495" w:type="dxa"/>
            <w:shd w:val="clear" w:color="auto" w:fill="FFFFFF"/>
            <w:tcMar>
              <w:top w:w="0" w:type="dxa"/>
              <w:left w:w="0" w:type="dxa"/>
              <w:bottom w:w="0" w:type="dxa"/>
              <w:right w:w="0" w:type="dxa"/>
            </w:tcMar>
            <w:vAlign w:val="center"/>
          </w:tcPr>
          <w:p w14:paraId="6A3467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40" w:type="dxa"/>
            <w:shd w:val="clear" w:color="auto" w:fill="FFFFFF"/>
            <w:tcMar>
              <w:top w:w="0" w:type="dxa"/>
              <w:left w:w="0" w:type="dxa"/>
              <w:bottom w:w="0" w:type="dxa"/>
              <w:right w:w="0" w:type="dxa"/>
            </w:tcMar>
            <w:vAlign w:val="center"/>
          </w:tcPr>
          <w:p w14:paraId="5B4295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46.7</w:t>
            </w:r>
          </w:p>
        </w:tc>
        <w:tc>
          <w:tcPr>
            <w:tcW w:w="570" w:type="dxa"/>
            <w:shd w:val="clear" w:color="auto" w:fill="FFFFFF"/>
            <w:tcMar>
              <w:top w:w="0" w:type="dxa"/>
              <w:left w:w="0" w:type="dxa"/>
              <w:bottom w:w="0" w:type="dxa"/>
              <w:right w:w="0" w:type="dxa"/>
            </w:tcMar>
            <w:vAlign w:val="center"/>
          </w:tcPr>
          <w:p w14:paraId="032533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F12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90" w:type="dxa"/>
            <w:shd w:val="clear" w:color="auto" w:fill="FFFFFF"/>
            <w:tcMar>
              <w:top w:w="0" w:type="dxa"/>
              <w:left w:w="0" w:type="dxa"/>
              <w:bottom w:w="0" w:type="dxa"/>
              <w:right w:w="0" w:type="dxa"/>
            </w:tcMar>
            <w:vAlign w:val="center"/>
          </w:tcPr>
          <w:p w14:paraId="02D1373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915" w:type="dxa"/>
            <w:shd w:val="clear" w:color="auto" w:fill="FFFFFF"/>
            <w:tcMar>
              <w:top w:w="0" w:type="dxa"/>
              <w:left w:w="0" w:type="dxa"/>
              <w:bottom w:w="0" w:type="dxa"/>
              <w:right w:w="0" w:type="dxa"/>
            </w:tcMar>
            <w:vAlign w:val="center"/>
          </w:tcPr>
          <w:p w14:paraId="242D904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日盛玻璃-声屏障</w:t>
            </w:r>
          </w:p>
        </w:tc>
        <w:tc>
          <w:tcPr>
            <w:tcW w:w="1047" w:type="dxa"/>
            <w:shd w:val="clear" w:color="auto" w:fill="FFFFFF"/>
            <w:tcMar>
              <w:top w:w="0" w:type="dxa"/>
              <w:left w:w="0" w:type="dxa"/>
              <w:bottom w:w="0" w:type="dxa"/>
              <w:right w:w="0" w:type="dxa"/>
            </w:tcMar>
            <w:vAlign w:val="center"/>
          </w:tcPr>
          <w:p w14:paraId="632CB7D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风机</w:t>
            </w:r>
          </w:p>
        </w:tc>
        <w:tc>
          <w:tcPr>
            <w:tcW w:w="702" w:type="dxa"/>
            <w:shd w:val="clear" w:color="auto" w:fill="FFFFFF"/>
            <w:tcMar>
              <w:top w:w="0" w:type="dxa"/>
              <w:left w:w="0" w:type="dxa"/>
              <w:bottom w:w="0" w:type="dxa"/>
              <w:right w:w="0" w:type="dxa"/>
            </w:tcMar>
            <w:vAlign w:val="center"/>
          </w:tcPr>
          <w:p w14:paraId="7A1D00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753" w:type="dxa"/>
            <w:vMerge w:val="continue"/>
            <w:shd w:val="clear" w:color="auto" w:fill="FFFFFF"/>
            <w:tcMar>
              <w:top w:w="0" w:type="dxa"/>
              <w:left w:w="0" w:type="dxa"/>
              <w:bottom w:w="0" w:type="dxa"/>
              <w:right w:w="0" w:type="dxa"/>
            </w:tcMar>
            <w:vAlign w:val="center"/>
          </w:tcPr>
          <w:p w14:paraId="2F92BB77">
            <w:pPr>
              <w:jc w:val="center"/>
              <w:rPr>
                <w:rFonts w:hint="eastAsia" w:ascii="宋体" w:hAnsi="宋体" w:eastAsia="宋体" w:cs="宋体"/>
                <w:color w:val="auto"/>
                <w:sz w:val="21"/>
                <w:szCs w:val="21"/>
                <w:highlight w:val="none"/>
              </w:rPr>
            </w:pPr>
          </w:p>
        </w:tc>
        <w:tc>
          <w:tcPr>
            <w:tcW w:w="525" w:type="dxa"/>
            <w:shd w:val="clear" w:color="auto" w:fill="FFFFFF"/>
            <w:tcMar>
              <w:top w:w="0" w:type="dxa"/>
              <w:left w:w="0" w:type="dxa"/>
              <w:bottom w:w="0" w:type="dxa"/>
              <w:right w:w="0" w:type="dxa"/>
            </w:tcMar>
            <w:vAlign w:val="center"/>
          </w:tcPr>
          <w:p w14:paraId="295480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23.7</w:t>
            </w:r>
          </w:p>
        </w:tc>
        <w:tc>
          <w:tcPr>
            <w:tcW w:w="525" w:type="dxa"/>
            <w:shd w:val="clear" w:color="auto" w:fill="FFFFFF"/>
            <w:tcMar>
              <w:top w:w="0" w:type="dxa"/>
              <w:left w:w="0" w:type="dxa"/>
              <w:bottom w:w="0" w:type="dxa"/>
              <w:right w:w="0" w:type="dxa"/>
            </w:tcMar>
            <w:vAlign w:val="center"/>
          </w:tcPr>
          <w:p w14:paraId="576605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-49.2</w:t>
            </w:r>
          </w:p>
        </w:tc>
        <w:tc>
          <w:tcPr>
            <w:tcW w:w="495" w:type="dxa"/>
            <w:shd w:val="clear" w:color="auto" w:fill="FFFFFF"/>
            <w:tcMar>
              <w:top w:w="0" w:type="dxa"/>
              <w:left w:w="0" w:type="dxa"/>
              <w:bottom w:w="0" w:type="dxa"/>
              <w:right w:w="0" w:type="dxa"/>
            </w:tcMar>
            <w:vAlign w:val="center"/>
          </w:tcPr>
          <w:p w14:paraId="0AC7E5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10" w:type="dxa"/>
            <w:shd w:val="clear" w:color="auto" w:fill="FFFFFF"/>
            <w:tcMar>
              <w:top w:w="0" w:type="dxa"/>
              <w:left w:w="0" w:type="dxa"/>
              <w:bottom w:w="0" w:type="dxa"/>
              <w:right w:w="0" w:type="dxa"/>
            </w:tcMar>
            <w:vAlign w:val="center"/>
          </w:tcPr>
          <w:p w14:paraId="2F851B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w:t>
            </w:r>
          </w:p>
        </w:tc>
        <w:tc>
          <w:tcPr>
            <w:tcW w:w="555" w:type="dxa"/>
            <w:shd w:val="clear" w:color="auto" w:fill="FFFFFF"/>
            <w:tcMar>
              <w:top w:w="0" w:type="dxa"/>
              <w:left w:w="0" w:type="dxa"/>
              <w:bottom w:w="0" w:type="dxa"/>
              <w:right w:w="0" w:type="dxa"/>
            </w:tcMar>
            <w:vAlign w:val="center"/>
          </w:tcPr>
          <w:p w14:paraId="3FB6DB0B">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5.6</w:t>
            </w:r>
          </w:p>
        </w:tc>
        <w:tc>
          <w:tcPr>
            <w:tcW w:w="525" w:type="dxa"/>
            <w:shd w:val="clear" w:color="auto" w:fill="FFFFFF"/>
            <w:tcMar>
              <w:top w:w="0" w:type="dxa"/>
              <w:left w:w="0" w:type="dxa"/>
              <w:bottom w:w="0" w:type="dxa"/>
              <w:right w:w="0" w:type="dxa"/>
            </w:tcMar>
            <w:vAlign w:val="center"/>
          </w:tcPr>
          <w:p w14:paraId="5AF413F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68.8</w:t>
            </w:r>
          </w:p>
        </w:tc>
        <w:tc>
          <w:tcPr>
            <w:tcW w:w="540" w:type="dxa"/>
            <w:shd w:val="clear" w:color="auto" w:fill="FFFFFF"/>
            <w:tcMar>
              <w:top w:w="0" w:type="dxa"/>
              <w:left w:w="0" w:type="dxa"/>
              <w:bottom w:w="0" w:type="dxa"/>
              <w:right w:w="0" w:type="dxa"/>
            </w:tcMar>
            <w:vAlign w:val="center"/>
          </w:tcPr>
          <w:p w14:paraId="5CA2F7C7">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98.0</w:t>
            </w:r>
          </w:p>
        </w:tc>
        <w:tc>
          <w:tcPr>
            <w:tcW w:w="525" w:type="dxa"/>
            <w:shd w:val="clear" w:color="auto" w:fill="FFFFFF"/>
            <w:tcMar>
              <w:top w:w="0" w:type="dxa"/>
              <w:left w:w="0" w:type="dxa"/>
              <w:bottom w:w="0" w:type="dxa"/>
              <w:right w:w="0" w:type="dxa"/>
            </w:tcMar>
            <w:vAlign w:val="center"/>
          </w:tcPr>
          <w:p w14:paraId="146CC22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600" w:type="dxa"/>
            <w:shd w:val="clear" w:color="auto" w:fill="FFFFFF"/>
            <w:tcMar>
              <w:top w:w="0" w:type="dxa"/>
              <w:left w:w="0" w:type="dxa"/>
              <w:bottom w:w="0" w:type="dxa"/>
              <w:right w:w="0" w:type="dxa"/>
            </w:tcMar>
            <w:vAlign w:val="center"/>
          </w:tcPr>
          <w:p w14:paraId="1B0ECFE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76.8</w:t>
            </w:r>
          </w:p>
        </w:tc>
        <w:tc>
          <w:tcPr>
            <w:tcW w:w="585" w:type="dxa"/>
            <w:shd w:val="clear" w:color="auto" w:fill="FFFFFF"/>
            <w:tcMar>
              <w:top w:w="0" w:type="dxa"/>
              <w:left w:w="0" w:type="dxa"/>
              <w:bottom w:w="0" w:type="dxa"/>
              <w:right w:w="0" w:type="dxa"/>
            </w:tcMar>
            <w:vAlign w:val="center"/>
          </w:tcPr>
          <w:p w14:paraId="45D0C28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510" w:type="dxa"/>
            <w:shd w:val="clear" w:color="auto" w:fill="FFFFFF"/>
            <w:tcMar>
              <w:top w:w="0" w:type="dxa"/>
              <w:left w:w="0" w:type="dxa"/>
              <w:bottom w:w="0" w:type="dxa"/>
              <w:right w:w="0" w:type="dxa"/>
            </w:tcMar>
            <w:vAlign w:val="center"/>
          </w:tcPr>
          <w:p w14:paraId="239204E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76.7</w:t>
            </w:r>
          </w:p>
        </w:tc>
        <w:tc>
          <w:tcPr>
            <w:tcW w:w="600" w:type="dxa"/>
            <w:shd w:val="clear" w:color="auto" w:fill="FFFFFF"/>
            <w:tcMar>
              <w:top w:w="0" w:type="dxa"/>
              <w:left w:w="0" w:type="dxa"/>
              <w:bottom w:w="0" w:type="dxa"/>
              <w:right w:w="0" w:type="dxa"/>
            </w:tcMar>
            <w:vAlign w:val="center"/>
          </w:tcPr>
          <w:p w14:paraId="5311A71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555" w:type="dxa"/>
            <w:shd w:val="clear" w:color="auto" w:fill="FFFFFF"/>
            <w:tcMar>
              <w:top w:w="0" w:type="dxa"/>
              <w:left w:w="0" w:type="dxa"/>
              <w:bottom w:w="0" w:type="dxa"/>
              <w:right w:w="0" w:type="dxa"/>
            </w:tcMar>
            <w:vAlign w:val="center"/>
          </w:tcPr>
          <w:p w14:paraId="289ED4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630" w:type="dxa"/>
            <w:shd w:val="clear" w:color="auto" w:fill="FFFFFF"/>
            <w:tcMar>
              <w:top w:w="0" w:type="dxa"/>
              <w:left w:w="0" w:type="dxa"/>
              <w:bottom w:w="0" w:type="dxa"/>
              <w:right w:w="0" w:type="dxa"/>
            </w:tcMar>
            <w:vAlign w:val="center"/>
          </w:tcPr>
          <w:p w14:paraId="42FBF5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85" w:type="dxa"/>
            <w:shd w:val="clear" w:color="auto" w:fill="FFFFFF"/>
            <w:tcMar>
              <w:top w:w="0" w:type="dxa"/>
              <w:left w:w="0" w:type="dxa"/>
              <w:bottom w:w="0" w:type="dxa"/>
              <w:right w:w="0" w:type="dxa"/>
            </w:tcMar>
            <w:vAlign w:val="center"/>
          </w:tcPr>
          <w:p w14:paraId="44E810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095A07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25.0</w:t>
            </w:r>
          </w:p>
        </w:tc>
        <w:tc>
          <w:tcPr>
            <w:tcW w:w="555" w:type="dxa"/>
            <w:shd w:val="clear" w:color="auto" w:fill="FFFFFF"/>
            <w:tcMar>
              <w:top w:w="0" w:type="dxa"/>
              <w:left w:w="0" w:type="dxa"/>
              <w:bottom w:w="0" w:type="dxa"/>
              <w:right w:w="0" w:type="dxa"/>
            </w:tcMar>
            <w:vAlign w:val="center"/>
          </w:tcPr>
          <w:p w14:paraId="626E16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55" w:type="dxa"/>
            <w:shd w:val="clear" w:color="auto" w:fill="FFFFFF"/>
            <w:tcMar>
              <w:top w:w="0" w:type="dxa"/>
              <w:left w:w="0" w:type="dxa"/>
              <w:bottom w:w="0" w:type="dxa"/>
              <w:right w:w="0" w:type="dxa"/>
            </w:tcMar>
            <w:vAlign w:val="center"/>
          </w:tcPr>
          <w:p w14:paraId="1CA5EA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51.8</w:t>
            </w:r>
          </w:p>
        </w:tc>
        <w:tc>
          <w:tcPr>
            <w:tcW w:w="495" w:type="dxa"/>
            <w:shd w:val="clear" w:color="auto" w:fill="FFFFFF"/>
            <w:tcMar>
              <w:top w:w="0" w:type="dxa"/>
              <w:left w:w="0" w:type="dxa"/>
              <w:bottom w:w="0" w:type="dxa"/>
              <w:right w:w="0" w:type="dxa"/>
            </w:tcMar>
            <w:vAlign w:val="center"/>
          </w:tcPr>
          <w:p w14:paraId="258694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40" w:type="dxa"/>
            <w:shd w:val="clear" w:color="auto" w:fill="FFFFFF"/>
            <w:tcMar>
              <w:top w:w="0" w:type="dxa"/>
              <w:left w:w="0" w:type="dxa"/>
              <w:bottom w:w="0" w:type="dxa"/>
              <w:right w:w="0" w:type="dxa"/>
            </w:tcMar>
            <w:vAlign w:val="center"/>
          </w:tcPr>
          <w:p w14:paraId="3E25F1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0"/>
                <w:highlight w:val="none"/>
              </w:rPr>
              <w:t>51.7</w:t>
            </w:r>
          </w:p>
        </w:tc>
        <w:tc>
          <w:tcPr>
            <w:tcW w:w="570" w:type="dxa"/>
            <w:shd w:val="clear" w:color="auto" w:fill="FFFFFF"/>
            <w:tcMar>
              <w:top w:w="0" w:type="dxa"/>
              <w:left w:w="0" w:type="dxa"/>
              <w:bottom w:w="0" w:type="dxa"/>
              <w:right w:w="0" w:type="dxa"/>
            </w:tcMar>
            <w:vAlign w:val="center"/>
          </w:tcPr>
          <w:p w14:paraId="0F6075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29"/>
    </w:tbl>
    <w:p w14:paraId="40D4D543">
      <w:pPr>
        <w:pStyle w:val="38"/>
        <w:ind w:left="0" w:leftChars="0" w:firstLine="0" w:firstLineChars="0"/>
        <w:rPr>
          <w:rFonts w:hint="eastAsia"/>
          <w:color w:val="auto"/>
          <w:sz w:val="21"/>
          <w:szCs w:val="21"/>
          <w:highlight w:val="none"/>
        </w:rPr>
      </w:pPr>
      <w:r>
        <w:rPr>
          <w:rFonts w:hint="eastAsia"/>
          <w:color w:val="auto"/>
          <w:sz w:val="21"/>
          <w:szCs w:val="21"/>
          <w:highlight w:val="none"/>
          <w:lang w:val="en-US" w:eastAsia="zh-CN"/>
        </w:rPr>
        <w:t>注：表中坐标以厂界中心（</w:t>
      </w:r>
      <w:bookmarkStart w:id="31" w:name="PO_7"/>
      <w:r>
        <w:rPr>
          <w:rFonts w:hint="eastAsia"/>
          <w:color w:val="auto"/>
          <w:sz w:val="21"/>
          <w:szCs w:val="21"/>
          <w:highlight w:val="none"/>
          <w:lang w:val="en-US" w:eastAsia="zh-CN"/>
        </w:rPr>
        <w:t>103.156242,25.462743</w:t>
      </w:r>
      <w:bookmarkEnd w:id="31"/>
      <w:r>
        <w:rPr>
          <w:rFonts w:hint="eastAsia"/>
          <w:color w:val="auto"/>
          <w:sz w:val="21"/>
          <w:szCs w:val="21"/>
          <w:highlight w:val="none"/>
          <w:lang w:val="en-US" w:eastAsia="zh-CN"/>
        </w:rPr>
        <w:t>）为坐标原点，正东向为X轴正方向，正北向为Y轴正方向</w:t>
      </w:r>
    </w:p>
    <w:p w14:paraId="39BD559A">
      <w:pPr>
        <w:pStyle w:val="38"/>
        <w:ind w:left="0" w:leftChars="0" w:firstLine="0" w:firstLineChars="0"/>
        <w:rPr>
          <w:rFonts w:hint="eastAsia"/>
          <w:color w:val="auto"/>
          <w:sz w:val="21"/>
          <w:szCs w:val="21"/>
          <w:highlight w:val="none"/>
        </w:rPr>
        <w:sectPr>
          <w:pgSz w:w="16840" w:h="11907" w:orient="landscape"/>
          <w:pgMar w:top="1531" w:right="1701" w:bottom="1531" w:left="212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bookmarkEnd w:id="27"/>
    <w:bookmarkEnd w:id="28"/>
    <w:tbl>
      <w:tblPr>
        <w:tblStyle w:val="2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14:paraId="4354F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dxa"/>
            <w:tcMar>
              <w:left w:w="28" w:type="dxa"/>
              <w:right w:w="28" w:type="dxa"/>
            </w:tcMar>
            <w:vAlign w:val="center"/>
          </w:tcPr>
          <w:p w14:paraId="09922B5F">
            <w:pPr>
              <w:pStyle w:val="22"/>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14:paraId="5AF78B4A">
            <w:pPr>
              <w:pStyle w:val="22"/>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14:paraId="650BEF00">
            <w:pPr>
              <w:pStyle w:val="22"/>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14:paraId="526CFD37">
            <w:pPr>
              <w:pStyle w:val="22"/>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14:paraId="3B63FED6">
            <w:pPr>
              <w:pStyle w:val="22"/>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23" w:type="dxa"/>
            <w:vAlign w:val="center"/>
          </w:tcPr>
          <w:p w14:paraId="40C182C5">
            <w:pPr>
              <w:keepNext w:val="0"/>
              <w:keepLines w:val="0"/>
              <w:suppressLineNumbers w:val="0"/>
              <w:spacing w:before="0" w:beforeAutospacing="0" w:after="0" w:afterAutospacing="0" w:line="360" w:lineRule="auto"/>
              <w:ind w:right="0"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）预测范围、点位与评价因子</w:t>
            </w:r>
          </w:p>
          <w:p w14:paraId="7A09670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14:paraId="41331B59">
            <w:pPr>
              <w:keepNext w:val="0"/>
              <w:keepLines w:val="0"/>
              <w:suppressLineNumbers w:val="0"/>
              <w:spacing w:before="0" w:beforeAutospacing="0" w:after="0" w:afterAutospacing="0" w:line="360" w:lineRule="auto"/>
              <w:ind w:left="0" w:right="0" w:firstLine="480" w:firstLineChars="200"/>
              <w:rPr>
                <w:rFonts w:hint="eastAsia"/>
                <w:color w:val="auto"/>
                <w:highlight w:val="none"/>
              </w:rPr>
            </w:pPr>
            <w:r>
              <w:rPr>
                <w:rFonts w:hint="default" w:ascii="Times New Roman" w:hAnsi="Times New Roman" w:eastAsia="宋体" w:cs="Times New Roman"/>
                <w:color w:val="auto"/>
                <w:sz w:val="24"/>
                <w:highlight w:val="none"/>
                <w:lang w:eastAsia="zh-CN"/>
              </w:rPr>
              <w:t>②预测点位：厂界噪声，在东、南、西、北厂界各</w:t>
            </w:r>
            <w:r>
              <w:rPr>
                <w:rFonts w:hint="eastAsia" w:cs="Times New Roman"/>
                <w:color w:val="auto"/>
                <w:sz w:val="24"/>
                <w:highlight w:val="none"/>
                <w:lang w:eastAsia="zh-CN"/>
              </w:rPr>
              <w:t>预测</w:t>
            </w:r>
            <w:r>
              <w:rPr>
                <w:rFonts w:hint="default" w:ascii="Times New Roman" w:hAnsi="Times New Roman" w:eastAsia="宋体" w:cs="Times New Roman"/>
                <w:color w:val="auto"/>
                <w:sz w:val="24"/>
                <w:highlight w:val="none"/>
                <w:lang w:eastAsia="zh-CN"/>
              </w:rPr>
              <w:t>一个</w:t>
            </w:r>
            <w:r>
              <w:rPr>
                <w:rFonts w:hint="eastAsia" w:cs="Times New Roman"/>
                <w:color w:val="auto"/>
                <w:sz w:val="24"/>
                <w:highlight w:val="none"/>
                <w:lang w:eastAsia="zh-CN"/>
              </w:rPr>
              <w:t>最大贡献值</w:t>
            </w:r>
            <w:r>
              <w:rPr>
                <w:rFonts w:hint="default" w:ascii="Times New Roman" w:hAnsi="Times New Roman" w:eastAsia="宋体" w:cs="Times New Roman"/>
                <w:color w:val="auto"/>
                <w:sz w:val="24"/>
                <w:highlight w:val="none"/>
                <w:lang w:eastAsia="zh-CN"/>
              </w:rPr>
              <w:t>。</w:t>
            </w:r>
          </w:p>
          <w:p w14:paraId="473C565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14:paraId="6C0831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14:paraId="6374C85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14:paraId="748A47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5"/>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2"/>
              <w:gridCol w:w="2753"/>
              <w:gridCol w:w="2101"/>
              <w:gridCol w:w="2101"/>
            </w:tblGrid>
            <w:tr w14:paraId="7EB8C9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14:paraId="79B8433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序号</w:t>
                  </w:r>
                </w:p>
              </w:tc>
              <w:tc>
                <w:tcPr>
                  <w:tcW w:w="1639" w:type="pct"/>
                  <w:noWrap w:val="0"/>
                  <w:vAlign w:val="center"/>
                </w:tcPr>
                <w:p w14:paraId="4362847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1251" w:type="pct"/>
                  <w:noWrap w:val="0"/>
                  <w:vAlign w:val="center"/>
                </w:tcPr>
                <w:p w14:paraId="3A4998E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251" w:type="pct"/>
                  <w:noWrap w:val="0"/>
                  <w:vAlign w:val="center"/>
                </w:tcPr>
                <w:p w14:paraId="3BF166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tc>
            </w:tr>
            <w:tr w14:paraId="5EECB6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14:paraId="20BC3F4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1639" w:type="pct"/>
                  <w:noWrap w:val="0"/>
                  <w:vAlign w:val="center"/>
                </w:tcPr>
                <w:p w14:paraId="4383C6A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1251" w:type="pct"/>
                  <w:noWrap w:val="0"/>
                  <w:vAlign w:val="center"/>
                </w:tcPr>
                <w:p w14:paraId="2CAC98D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1251" w:type="pct"/>
                  <w:noWrap w:val="0"/>
                  <w:vAlign w:val="center"/>
                </w:tcPr>
                <w:p w14:paraId="70986D3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2</w:t>
                  </w:r>
                </w:p>
              </w:tc>
            </w:tr>
            <w:tr w14:paraId="1F7D2A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14:paraId="58A8A75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1639" w:type="pct"/>
                  <w:noWrap w:val="0"/>
                  <w:vAlign w:val="center"/>
                </w:tcPr>
                <w:p w14:paraId="2695622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1251" w:type="pct"/>
                  <w:noWrap w:val="0"/>
                  <w:vAlign w:val="center"/>
                </w:tcPr>
                <w:p w14:paraId="63ADE93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14:paraId="6744D07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eastAsia" w:cs="Times New Roman"/>
                      <w:bCs/>
                      <w:color w:val="auto"/>
                      <w:szCs w:val="21"/>
                      <w:highlight w:val="none"/>
                      <w:lang w:eastAsia="zh-CN"/>
                    </w:rPr>
                    <w:t>西南</w:t>
                  </w:r>
                  <w:r>
                    <w:rPr>
                      <w:rFonts w:hint="default" w:ascii="Times New Roman" w:hAnsi="Times New Roman" w:eastAsia="宋体" w:cs="Times New Roman"/>
                      <w:bCs/>
                      <w:color w:val="auto"/>
                      <w:szCs w:val="21"/>
                      <w:highlight w:val="none"/>
                    </w:rPr>
                    <w:t>风</w:t>
                  </w:r>
                </w:p>
              </w:tc>
            </w:tr>
            <w:tr w14:paraId="40DEB5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14:paraId="553187A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1639" w:type="pct"/>
                  <w:noWrap w:val="0"/>
                  <w:vAlign w:val="center"/>
                </w:tcPr>
                <w:p w14:paraId="08890C2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1251" w:type="pct"/>
                  <w:noWrap w:val="0"/>
                  <w:vAlign w:val="center"/>
                </w:tcPr>
                <w:p w14:paraId="5AA785B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14:paraId="1E6808E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20</w:t>
                  </w:r>
                </w:p>
              </w:tc>
            </w:tr>
            <w:tr w14:paraId="7F90A0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14:paraId="21F892E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1639" w:type="pct"/>
                  <w:noWrap w:val="0"/>
                  <w:vAlign w:val="center"/>
                </w:tcPr>
                <w:p w14:paraId="23E476E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1251" w:type="pct"/>
                  <w:noWrap w:val="0"/>
                  <w:vAlign w:val="center"/>
                </w:tcPr>
                <w:p w14:paraId="443A05B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14:paraId="45EB671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50</w:t>
                  </w:r>
                </w:p>
              </w:tc>
            </w:tr>
            <w:tr w14:paraId="2998E4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14:paraId="4024835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1639" w:type="pct"/>
                  <w:noWrap w:val="0"/>
                  <w:vAlign w:val="center"/>
                </w:tcPr>
                <w:p w14:paraId="7710217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1251" w:type="pct"/>
                  <w:noWrap w:val="0"/>
                  <w:vAlign w:val="center"/>
                </w:tcPr>
                <w:p w14:paraId="40EBE69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1251" w:type="pct"/>
                  <w:noWrap w:val="0"/>
                  <w:vAlign w:val="center"/>
                </w:tcPr>
                <w:p w14:paraId="26D4A3F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14:paraId="5D4A3F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14:paraId="21BFC80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）声环境影响预测</w:t>
            </w:r>
          </w:p>
          <w:p w14:paraId="3F4B056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建筑物插入损失</w:t>
            </w:r>
            <w:r>
              <w:rPr>
                <w:rFonts w:hint="default" w:ascii="Times New Roman" w:hAnsi="Times New Roman" w:cs="Times New Roman"/>
                <w:b w:val="0"/>
                <w:bCs w:val="0"/>
                <w:color w:val="auto"/>
                <w:sz w:val="24"/>
                <w:szCs w:val="24"/>
                <w:highlight w:val="none"/>
                <w:lang w:val="en-US" w:eastAsia="zh-CN"/>
              </w:rPr>
              <w:t>计算</w:t>
            </w:r>
          </w:p>
          <w:p w14:paraId="41D4F8F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声屏障引起的衰减按式（</w:t>
            </w:r>
            <w:r>
              <w:rPr>
                <w:rFonts w:hint="default" w:ascii="Times New Roman" w:hAnsi="Times New Roman" w:eastAsia="Times New Roman" w:cs="Times New Roman"/>
                <w:color w:val="auto"/>
                <w:sz w:val="24"/>
                <w:szCs w:val="24"/>
                <w:highlight w:val="none"/>
              </w:rPr>
              <w:t>A.21</w:t>
            </w:r>
            <w:r>
              <w:rPr>
                <w:rFonts w:hint="default" w:ascii="Times New Roman" w:hAnsi="Times New Roman" w:eastAsia="宋体" w:cs="Times New Roman"/>
                <w:color w:val="auto"/>
                <w:sz w:val="24"/>
                <w:szCs w:val="24"/>
                <w:highlight w:val="none"/>
              </w:rPr>
              <w:t>）计算：</w:t>
            </w:r>
          </w:p>
          <w:p w14:paraId="53977863">
            <w:pPr>
              <w:keepNext w:val="0"/>
              <w:keepLines w:val="0"/>
              <w:suppressLineNumbers w:val="0"/>
              <w:spacing w:before="0" w:beforeLines="0" w:beforeAutospacing="0" w:after="0" w:afterLines="0" w:afterAutospacing="0" w:line="360" w:lineRule="auto"/>
              <w:ind w:left="0" w:right="0"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28"/>
                <w:sz w:val="24"/>
                <w:highlight w:val="none"/>
              </w:rPr>
              <w:object>
                <v:shape id="_x0000_i1036" o:spt="75" type="#_x0000_t75" style="height:34pt;width:228pt;" o:ole="t" filled="f" o:preferrelative="t" stroked="f" coordsize="21600,21600">
                  <v:path/>
                  <v:fill on="f" focussize="0,0"/>
                  <v:stroke on="f"/>
                  <v:imagedata r:id="rId33" o:title=""/>
                  <o:lock v:ext="edit" aspectratio="t"/>
                  <w10:wrap type="none"/>
                  <w10:anchorlock/>
                </v:shape>
                <o:OLEObject Type="Embed" ProgID="Equation.KSEE3" ShapeID="_x0000_i1036" DrawAspect="Content" ObjectID="_1468075736" r:id="rId32">
                  <o:LockedField>false</o:LockedField>
                </o:OLEObject>
              </w:object>
            </w:r>
          </w:p>
          <w:p w14:paraId="760F2391">
            <w:pPr>
              <w:keepNext w:val="0"/>
              <w:keepLines w:val="0"/>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Times New Roman" w:cs="Times New Roman"/>
                <w:i/>
                <w:color w:val="auto"/>
                <w:sz w:val="24"/>
                <w:szCs w:val="24"/>
                <w:highlight w:val="none"/>
              </w:rPr>
              <w:t>A</w:t>
            </w:r>
            <w:r>
              <w:rPr>
                <w:rFonts w:hint="default" w:ascii="Times New Roman" w:hAnsi="Times New Roman" w:eastAsia="Times New Roman" w:cs="Times New Roman"/>
                <w:color w:val="auto"/>
                <w:sz w:val="24"/>
                <w:szCs w:val="24"/>
                <w:highlight w:val="none"/>
              </w:rPr>
              <w:t>bar ——</w:t>
            </w:r>
            <w:r>
              <w:rPr>
                <w:rFonts w:hint="default" w:ascii="Times New Roman" w:hAnsi="Times New Roman" w:eastAsia="宋体" w:cs="Times New Roman"/>
                <w:color w:val="auto"/>
                <w:sz w:val="24"/>
                <w:szCs w:val="24"/>
                <w:highlight w:val="none"/>
              </w:rPr>
              <w:t>障碍物屏蔽引起的衰减，</w:t>
            </w:r>
            <w:r>
              <w:rPr>
                <w:rFonts w:hint="default" w:ascii="Times New Roman" w:hAnsi="Times New Roman" w:eastAsia="Times New Roman" w:cs="Times New Roman"/>
                <w:color w:val="auto"/>
                <w:sz w:val="24"/>
                <w:szCs w:val="24"/>
                <w:highlight w:val="none"/>
              </w:rPr>
              <w:t>dB</w:t>
            </w:r>
            <w:r>
              <w:rPr>
                <w:rFonts w:hint="default" w:ascii="Times New Roman" w:hAnsi="Times New Roman" w:eastAsia="宋体" w:cs="Times New Roman"/>
                <w:color w:val="auto"/>
                <w:sz w:val="24"/>
                <w:szCs w:val="24"/>
                <w:highlight w:val="none"/>
              </w:rPr>
              <w:t>；</w:t>
            </w:r>
          </w:p>
          <w:p w14:paraId="1358FBCC">
            <w:pPr>
              <w:keepNext w:val="0"/>
              <w:keepLines w:val="0"/>
              <w:suppressLineNumbers w:val="0"/>
              <w:spacing w:before="0" w:beforeLines="0" w:beforeAutospacing="0" w:after="0" w:afterLines="0" w:afterAutospacing="0" w:line="360" w:lineRule="auto"/>
              <w:ind w:left="0"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Times New Roman" w:cs="Times New Roman"/>
                <w:i/>
                <w:color w:val="auto"/>
                <w:sz w:val="24"/>
                <w:szCs w:val="24"/>
                <w:highlight w:val="none"/>
              </w:rPr>
              <w:t>N</w:t>
            </w:r>
            <w:r>
              <w:rPr>
                <w:rFonts w:hint="default" w:ascii="Times New Roman" w:hAnsi="Times New Roman" w:eastAsia="Times New Roman" w:cs="Times New Roman"/>
                <w:color w:val="auto"/>
                <w:sz w:val="24"/>
                <w:szCs w:val="24"/>
                <w:highlight w:val="none"/>
              </w:rPr>
              <w:t>1</w:t>
            </w:r>
            <w:r>
              <w:rPr>
                <w:rFonts w:hint="default" w:ascii="Times New Roman" w:hAnsi="Times New Roman" w:eastAsia="宋体" w:cs="Times New Roman"/>
                <w:color w:val="auto"/>
                <w:sz w:val="24"/>
                <w:szCs w:val="24"/>
                <w:highlight w:val="none"/>
              </w:rPr>
              <w:t>、</w:t>
            </w:r>
            <w:r>
              <w:rPr>
                <w:rFonts w:hint="default" w:ascii="Times New Roman" w:hAnsi="Times New Roman" w:eastAsia="Times New Roman" w:cs="Times New Roman"/>
                <w:i/>
                <w:color w:val="auto"/>
                <w:sz w:val="24"/>
                <w:szCs w:val="24"/>
                <w:highlight w:val="none"/>
              </w:rPr>
              <w:t>N</w:t>
            </w:r>
            <w:r>
              <w:rPr>
                <w:rFonts w:hint="default" w:ascii="Times New Roman" w:hAnsi="Times New Roman" w:eastAsia="Times New Roman" w:cs="Times New Roman"/>
                <w:color w:val="auto"/>
                <w:sz w:val="24"/>
                <w:szCs w:val="24"/>
                <w:highlight w:val="none"/>
              </w:rPr>
              <w:t>2</w:t>
            </w:r>
            <w:r>
              <w:rPr>
                <w:rFonts w:hint="default" w:ascii="Times New Roman" w:hAnsi="Times New Roman" w:eastAsia="宋体" w:cs="Times New Roman"/>
                <w:color w:val="auto"/>
                <w:sz w:val="24"/>
                <w:szCs w:val="24"/>
                <w:highlight w:val="none"/>
              </w:rPr>
              <w:t>、</w:t>
            </w:r>
            <w:r>
              <w:rPr>
                <w:rFonts w:hint="default" w:ascii="Times New Roman" w:hAnsi="Times New Roman" w:eastAsia="Times New Roman" w:cs="Times New Roman"/>
                <w:i/>
                <w:color w:val="auto"/>
                <w:sz w:val="24"/>
                <w:szCs w:val="24"/>
                <w:highlight w:val="none"/>
              </w:rPr>
              <w:t>N</w:t>
            </w:r>
            <w:r>
              <w:rPr>
                <w:rFonts w:hint="default" w:ascii="Times New Roman" w:hAnsi="Times New Roman" w:eastAsia="Times New Roman" w:cs="Times New Roman"/>
                <w:color w:val="auto"/>
                <w:sz w:val="24"/>
                <w:szCs w:val="24"/>
                <w:highlight w:val="none"/>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附录A</w:t>
            </w:r>
            <w:r>
              <w:rPr>
                <w:rFonts w:hint="default" w:ascii="Times New Roman" w:hAnsi="Times New Roman" w:eastAsia="宋体" w:cs="Times New Roman"/>
                <w:color w:val="auto"/>
                <w:sz w:val="24"/>
                <w:szCs w:val="24"/>
                <w:highlight w:val="none"/>
              </w:rPr>
              <w:t>图</w:t>
            </w:r>
            <w:r>
              <w:rPr>
                <w:rFonts w:hint="default" w:ascii="Times New Roman" w:hAnsi="Times New Roman" w:eastAsia="Times New Roman" w:cs="Times New Roman"/>
                <w:color w:val="auto"/>
                <w:sz w:val="24"/>
                <w:szCs w:val="24"/>
                <w:highlight w:val="none"/>
              </w:rPr>
              <w:t>A.6</w:t>
            </w:r>
            <w:r>
              <w:rPr>
                <w:rFonts w:hint="default" w:ascii="Times New Roman" w:hAnsi="Times New Roman" w:eastAsia="宋体" w:cs="Times New Roman"/>
                <w:color w:val="auto"/>
                <w:sz w:val="24"/>
                <w:szCs w:val="24"/>
                <w:highlight w:val="none"/>
              </w:rPr>
              <w:t>所示三个传播途径的声程差</w:t>
            </w:r>
            <w:r>
              <w:rPr>
                <w:rFonts w:hint="default" w:ascii="Times New Roman" w:hAnsi="Times New Roman" w:eastAsia="Times New Roman" w:cs="Times New Roman"/>
                <w:i/>
                <w:color w:val="auto"/>
                <w:sz w:val="24"/>
                <w:szCs w:val="24"/>
                <w:highlight w:val="none"/>
              </w:rPr>
              <w:t>δ</w:t>
            </w:r>
            <w:r>
              <w:rPr>
                <w:rFonts w:hint="default" w:ascii="Times New Roman" w:hAnsi="Times New Roman" w:eastAsia="Times New Roman" w:cs="Times New Roman"/>
                <w:color w:val="auto"/>
                <w:sz w:val="24"/>
                <w:szCs w:val="24"/>
                <w:highlight w:val="none"/>
              </w:rPr>
              <w:t>1</w:t>
            </w:r>
            <w:r>
              <w:rPr>
                <w:rFonts w:hint="default" w:ascii="Times New Roman" w:hAnsi="Times New Roman" w:eastAsia="宋体" w:cs="Times New Roman"/>
                <w:color w:val="auto"/>
                <w:sz w:val="24"/>
                <w:szCs w:val="24"/>
                <w:highlight w:val="none"/>
              </w:rPr>
              <w:t>，</w:t>
            </w:r>
            <w:r>
              <w:rPr>
                <w:rFonts w:hint="default" w:ascii="Times New Roman" w:hAnsi="Times New Roman" w:eastAsia="Times New Roman" w:cs="Times New Roman"/>
                <w:i/>
                <w:color w:val="auto"/>
                <w:sz w:val="24"/>
                <w:szCs w:val="24"/>
                <w:highlight w:val="none"/>
              </w:rPr>
              <w:t>δ</w:t>
            </w:r>
            <w:r>
              <w:rPr>
                <w:rFonts w:hint="default" w:ascii="Times New Roman" w:hAnsi="Times New Roman" w:eastAsia="Times New Roman" w:cs="Times New Roman"/>
                <w:color w:val="auto"/>
                <w:sz w:val="24"/>
                <w:szCs w:val="24"/>
                <w:highlight w:val="none"/>
              </w:rPr>
              <w:t>2</w:t>
            </w:r>
            <w:r>
              <w:rPr>
                <w:rFonts w:hint="default" w:ascii="Times New Roman" w:hAnsi="Times New Roman" w:eastAsia="宋体" w:cs="Times New Roman"/>
                <w:color w:val="auto"/>
                <w:sz w:val="24"/>
                <w:szCs w:val="24"/>
                <w:highlight w:val="none"/>
              </w:rPr>
              <w:t>，</w:t>
            </w:r>
            <w:r>
              <w:rPr>
                <w:rFonts w:hint="default" w:ascii="Times New Roman" w:hAnsi="Times New Roman" w:eastAsia="Times New Roman" w:cs="Times New Roman"/>
                <w:i/>
                <w:color w:val="auto"/>
                <w:sz w:val="24"/>
                <w:szCs w:val="24"/>
                <w:highlight w:val="none"/>
              </w:rPr>
              <w:t>δ</w:t>
            </w:r>
            <w:r>
              <w:rPr>
                <w:rFonts w:hint="default" w:ascii="Times New Roman" w:hAnsi="Times New Roman" w:eastAsia="Times New Roman" w:cs="Times New Roman"/>
                <w:color w:val="auto"/>
                <w:sz w:val="24"/>
                <w:szCs w:val="24"/>
                <w:highlight w:val="none"/>
              </w:rPr>
              <w:t>3</w:t>
            </w:r>
            <w:r>
              <w:rPr>
                <w:rFonts w:hint="default" w:ascii="Times New Roman" w:hAnsi="Times New Roman" w:eastAsia="宋体" w:cs="Times New Roman"/>
                <w:color w:val="auto"/>
                <w:sz w:val="24"/>
                <w:szCs w:val="24"/>
                <w:highlight w:val="none"/>
              </w:rPr>
              <w:t>相应的菲涅尔数。</w:t>
            </w:r>
          </w:p>
          <w:p w14:paraId="5BF6FF8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14:paraId="26CFEC4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声环境》(HJ2.4-2021)推荐的工业噪声预测模式，本评价只考虑几何发散引起的衰减量来预测项目对厂界的贡献点的影响。</w:t>
            </w:r>
          </w:p>
          <w:p w14:paraId="251EDB9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14:paraId="02AF4E0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14:paraId="467B846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声环境》(HJ2.4-2021)中的噪声预测模式预测本项目的主要噪声设备对周围声环境的影响。预测模式如下：</w:t>
            </w:r>
          </w:p>
          <w:p w14:paraId="331148BF">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A、</w:t>
            </w:r>
            <w:r>
              <w:rPr>
                <w:rFonts w:hint="default" w:ascii="Times New Roman" w:hAnsi="Times New Roman" w:eastAsia="宋体" w:cs="Times New Roman"/>
                <w:color w:val="auto"/>
                <w:sz w:val="24"/>
                <w:szCs w:val="24"/>
                <w:highlight w:val="none"/>
              </w:rPr>
              <w:t>本项目只考虑几何发散衰减，公式按照：</w:t>
            </w:r>
          </w:p>
          <w:p w14:paraId="3ADD3DE2">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eastAsia="宋体" w:cs="Times New Roman"/>
                <w:color w:val="auto"/>
                <w:sz w:val="24"/>
                <w:szCs w:val="24"/>
                <w:highlight w:val="none"/>
              </w:rPr>
              <w:t>(r)=L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div</w:t>
            </w:r>
          </w:p>
          <w:p w14:paraId="3E1B7258">
            <w:pPr>
              <w:pStyle w:val="14"/>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eastAsia="宋体" w:cs="Times New Roman"/>
                <w:color w:val="auto"/>
                <w:sz w:val="24"/>
                <w:szCs w:val="24"/>
                <w:highlight w:val="none"/>
              </w:rPr>
              <w:t>(r)——距声源r处的A声级，dB（A）；</w:t>
            </w:r>
          </w:p>
          <w:p w14:paraId="542EF27E">
            <w:pPr>
              <w:pStyle w:val="14"/>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)——参考位置r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处的A声级，dB（A）；</w:t>
            </w:r>
          </w:p>
          <w:p w14:paraId="63BA820E">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——几何发散引起的衰减，dB；</w:t>
            </w:r>
          </w:p>
          <w:p w14:paraId="391F715B">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B、</w:t>
            </w:r>
            <w:r>
              <w:rPr>
                <w:rFonts w:hint="default" w:ascii="Times New Roman" w:hAnsi="Times New Roman" w:eastAsia="宋体" w:cs="Times New Roman"/>
                <w:color w:val="auto"/>
                <w:sz w:val="24"/>
                <w:szCs w:val="24"/>
                <w:highlight w:val="none"/>
              </w:rPr>
              <w:t>声源的几何发散衰减公式：</w:t>
            </w:r>
          </w:p>
          <w:p w14:paraId="76A90908">
            <w:pPr>
              <w:pStyle w:val="14"/>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=20lg（r/r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w:t>
            </w:r>
          </w:p>
          <w:p w14:paraId="3F970462">
            <w:pPr>
              <w:pStyle w:val="14"/>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——几何发散引起的衰减，dB；</w:t>
            </w:r>
          </w:p>
          <w:p w14:paraId="7790FD2F">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r——预测点距声源的距离；</w:t>
            </w:r>
          </w:p>
          <w:p w14:paraId="237D0E11">
            <w:pPr>
              <w:pStyle w:val="14"/>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——参考位置距声源的距离；</w:t>
            </w:r>
          </w:p>
          <w:p w14:paraId="54B4BA87">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sz w:val="24"/>
                <w:szCs w:val="24"/>
                <w:highlight w:val="none"/>
              </w:rPr>
              <w:t>工业企业噪声计算公式：</w:t>
            </w:r>
          </w:p>
          <w:p w14:paraId="610824F5">
            <w:pPr>
              <w:pStyle w:val="14"/>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4"/>
                <w:sz w:val="24"/>
                <w:szCs w:val="24"/>
                <w:highlight w:val="none"/>
              </w:rPr>
              <w:object>
                <v:shape id="_x0000_i1037" o:spt="75" type="#_x0000_t75" style="height:40pt;width:203pt;" o:ole="t" filled="f" o:preferrelative="t" stroked="f" coordsize="21600,21600">
                  <v:path/>
                  <v:fill on="f" focussize="0,0"/>
                  <v:stroke on="f"/>
                  <v:imagedata r:id="rId35" o:title=""/>
                  <o:lock v:ext="edit" aspectratio="t"/>
                  <w10:wrap type="none"/>
                  <w10:anchorlock/>
                </v:shape>
                <o:OLEObject Type="Embed" ProgID="Equation.KSEE3" ShapeID="_x0000_i1037" DrawAspect="Content" ObjectID="_1468075737" r:id="rId34">
                  <o:LockedField>false</o:LockedField>
                </o:OLEObject>
              </w:object>
            </w:r>
          </w:p>
          <w:p w14:paraId="5D5336A0">
            <w:pPr>
              <w:pStyle w:val="14"/>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eqg</w:t>
            </w:r>
            <w:r>
              <w:rPr>
                <w:rFonts w:hint="default" w:ascii="Times New Roman" w:hAnsi="Times New Roman" w:eastAsia="宋体" w:cs="Times New Roman"/>
                <w:color w:val="auto"/>
                <w:sz w:val="24"/>
                <w:szCs w:val="24"/>
                <w:highlight w:val="none"/>
              </w:rPr>
              <w:t>——建设项目声源在预测点产生的噪声贡献值，dB；</w:t>
            </w:r>
          </w:p>
          <w:p w14:paraId="3A7DFC5B">
            <w:pPr>
              <w:pStyle w:val="14"/>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T——用于计算等效声级的时间，s；</w:t>
            </w:r>
          </w:p>
          <w:p w14:paraId="6D997A15">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N——室外声源个数；</w:t>
            </w:r>
          </w:p>
          <w:p w14:paraId="58D97562">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——在T时间内i声源工作时间，s；</w:t>
            </w:r>
          </w:p>
          <w:p w14:paraId="56775754">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M——等效室外声源个数；</w:t>
            </w:r>
          </w:p>
          <w:p w14:paraId="67B63CF4">
            <w:pPr>
              <w:pStyle w:val="50"/>
              <w:keepNext w:val="0"/>
              <w:keepLines w:val="0"/>
              <w:pageBreakBefore w:val="0"/>
              <w:suppressLineNumbers w:val="0"/>
              <w:tabs>
                <w:tab w:val="bar" w:pos="9540"/>
              </w:tabs>
              <w:kinsoku/>
              <w:wordWrap/>
              <w:overflowPunct/>
              <w:topLinePunct w:val="0"/>
              <w:bidi w:val="0"/>
              <w:snapToGrid w:val="0"/>
              <w:spacing w:beforeAutospacing="0" w:after="0" w:afterAutospacing="0" w:line="360" w:lineRule="auto"/>
              <w:ind w:left="0" w:right="0" w:rightChars="0" w:firstLine="1200" w:firstLineChars="5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tj——在T时间内j声源工作时间，s。</w:t>
            </w:r>
          </w:p>
          <w:p w14:paraId="386DEF1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14:paraId="4925EB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textAlignment w:val="auto"/>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eastAsia" w:cs="Times New Roman"/>
                <w:color w:val="auto"/>
                <w:kern w:val="0"/>
                <w:sz w:val="24"/>
                <w:highlight w:val="none"/>
                <w:lang w:val="en-US" w:eastAsia="zh-CN" w:bidi="ar"/>
              </w:rPr>
              <w:t>17</w:t>
            </w:r>
            <w:r>
              <w:rPr>
                <w:rFonts w:hint="default" w:ascii="Times New Roman" w:hAnsi="Times New Roman" w:eastAsia="宋体" w:cs="Times New Roman"/>
                <w:color w:val="auto"/>
                <w:kern w:val="0"/>
                <w:sz w:val="24"/>
                <w:highlight w:val="none"/>
                <w:lang w:bidi="ar"/>
              </w:rPr>
              <w:t>。</w:t>
            </w:r>
          </w:p>
          <w:p w14:paraId="619296A8">
            <w:pPr>
              <w:pStyle w:val="3"/>
              <w:rPr>
                <w:rFonts w:hint="default"/>
                <w:color w:val="auto"/>
                <w:highlight w:val="none"/>
              </w:rPr>
            </w:pPr>
          </w:p>
          <w:p w14:paraId="514DCE0D">
            <w:pPr>
              <w:adjustRightInd w:val="0"/>
              <w:snapToGrid w:val="0"/>
              <w:jc w:val="center"/>
              <w:rPr>
                <w:rFonts w:ascii="Times New Roman" w:hAnsi="Times New Roman" w:cs="Times New Roman"/>
                <w:b/>
                <w:color w:val="auto"/>
                <w:highlight w:val="none"/>
                <w:lang w:eastAsia="zh-CN"/>
              </w:rPr>
            </w:pPr>
            <w:r>
              <w:rPr>
                <w:rFonts w:cs="Times New Roman" w:asciiTheme="minorEastAsia" w:hAnsiTheme="minorEastAsia" w:eastAsiaTheme="minorEastAsia"/>
                <w:b/>
                <w:color w:val="auto"/>
                <w:sz w:val="21"/>
                <w:szCs w:val="21"/>
                <w:highlight w:val="none"/>
                <w:lang w:eastAsia="zh-CN"/>
              </w:rPr>
              <w:t>表</w:t>
            </w:r>
            <w:r>
              <w:rPr>
                <w:rFonts w:hint="eastAsia" w:ascii="Times New Roman" w:hAnsi="Times New Roman" w:cs="Times New Roman" w:eastAsiaTheme="minorEastAsia"/>
                <w:b/>
                <w:color w:val="auto"/>
                <w:sz w:val="21"/>
                <w:szCs w:val="21"/>
                <w:highlight w:val="none"/>
                <w:lang w:val="en-US" w:eastAsia="zh-CN"/>
              </w:rPr>
              <w:t>4-</w:t>
            </w:r>
            <w:r>
              <w:rPr>
                <w:rFonts w:hint="eastAsia" w:cs="Times New Roman" w:eastAsiaTheme="minorEastAsia"/>
                <w:b/>
                <w:color w:val="auto"/>
                <w:sz w:val="21"/>
                <w:szCs w:val="21"/>
                <w:highlight w:val="none"/>
                <w:lang w:val="en-US" w:eastAsia="zh-CN"/>
              </w:rPr>
              <w:t>17</w:t>
            </w:r>
            <w:r>
              <w:rPr>
                <w:rFonts w:ascii="Times New Roman" w:hAnsi="Times New Roman" w:cs="Times New Roman" w:eastAsiaTheme="minorEastAsia"/>
                <w:b/>
                <w:color w:val="auto"/>
                <w:sz w:val="21"/>
                <w:szCs w:val="21"/>
                <w:highlight w:val="none"/>
                <w:lang w:eastAsia="zh-CN"/>
              </w:rPr>
              <w:t xml:space="preserve"> </w:t>
            </w:r>
            <w:r>
              <w:rPr>
                <w:rFonts w:cs="Times New Roman" w:asciiTheme="minorEastAsia" w:hAnsiTheme="minorEastAsia" w:eastAsiaTheme="minorEastAsia"/>
                <w:b/>
                <w:color w:val="auto"/>
                <w:sz w:val="21"/>
                <w:szCs w:val="21"/>
                <w:highlight w:val="none"/>
                <w:lang w:eastAsia="zh-CN"/>
              </w:rPr>
              <w:t xml:space="preserve"> 厂界噪声预测结果与达标分析表</w:t>
            </w:r>
            <w:bookmarkStart w:id="32" w:name="PT_7"/>
          </w:p>
          <w:tbl>
            <w:tblPr>
              <w:tblStyle w:val="25"/>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03"/>
              <w:gridCol w:w="915"/>
              <w:gridCol w:w="870"/>
              <w:gridCol w:w="975"/>
              <w:gridCol w:w="1245"/>
              <w:gridCol w:w="1230"/>
              <w:gridCol w:w="1126"/>
            </w:tblGrid>
            <w:tr w14:paraId="6C86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1101" w:type="dxa"/>
                  <w:vMerge w:val="restart"/>
                  <w:vAlign w:val="center"/>
                </w:tcPr>
                <w:p w14:paraId="626B0638">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预测方位</w:t>
                  </w:r>
                </w:p>
              </w:tc>
              <w:tc>
                <w:tcPr>
                  <w:tcW w:w="2688" w:type="dxa"/>
                  <w:gridSpan w:val="3"/>
                  <w:vAlign w:val="center"/>
                </w:tcPr>
                <w:p w14:paraId="1F4B1EA2">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b/>
                      <w:color w:val="auto"/>
                      <w:sz w:val="21"/>
                      <w:szCs w:val="21"/>
                      <w:highlight w:val="none"/>
                      <w:lang w:val="en-US" w:eastAsia="zh-CN"/>
                    </w:rPr>
                    <w:t>最大值点</w:t>
                  </w:r>
                  <w:r>
                    <w:rPr>
                      <w:rFonts w:ascii="Times New Roman" w:hAnsi="Times New Roman" w:cs="Times New Roman" w:eastAsiaTheme="minorEastAsia"/>
                      <w:b/>
                      <w:color w:val="auto"/>
                      <w:sz w:val="21"/>
                      <w:szCs w:val="21"/>
                      <w:highlight w:val="none"/>
                    </w:rPr>
                    <w:t>空间相对位置/m</w:t>
                  </w:r>
                </w:p>
              </w:tc>
              <w:tc>
                <w:tcPr>
                  <w:tcW w:w="975" w:type="dxa"/>
                  <w:vMerge w:val="restart"/>
                  <w:vAlign w:val="center"/>
                </w:tcPr>
                <w:p w14:paraId="05F331A4">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时段</w:t>
                  </w:r>
                </w:p>
              </w:tc>
              <w:tc>
                <w:tcPr>
                  <w:tcW w:w="1245" w:type="dxa"/>
                  <w:vMerge w:val="restart"/>
                  <w:vAlign w:val="center"/>
                </w:tcPr>
                <w:p w14:paraId="5AFC455A">
                  <w:pPr>
                    <w:jc w:val="cente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b/>
                      <w:color w:val="auto"/>
                      <w:sz w:val="21"/>
                      <w:szCs w:val="21"/>
                      <w:highlight w:val="none"/>
                    </w:rPr>
                    <w:t>贡献值</w:t>
                  </w:r>
                  <w:r>
                    <w:rPr>
                      <w:rFonts w:ascii="Times New Roman" w:hAnsi="Times New Roman" w:cs="Times New Roman" w:eastAsiaTheme="minorEastAsia"/>
                      <w:b/>
                      <w:color w:val="auto"/>
                      <w:sz w:val="21"/>
                      <w:szCs w:val="21"/>
                      <w:highlight w:val="none"/>
                    </w:rPr>
                    <w:t>（dB(A)）</w:t>
                  </w:r>
                </w:p>
              </w:tc>
              <w:tc>
                <w:tcPr>
                  <w:tcW w:w="1230" w:type="dxa"/>
                  <w:vMerge w:val="restart"/>
                  <w:vAlign w:val="center"/>
                </w:tcPr>
                <w:p w14:paraId="58E0A3D3">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标准限值（dB(A)）</w:t>
                  </w:r>
                </w:p>
              </w:tc>
              <w:tc>
                <w:tcPr>
                  <w:tcW w:w="1126" w:type="dxa"/>
                  <w:vMerge w:val="restart"/>
                  <w:vAlign w:val="center"/>
                </w:tcPr>
                <w:p w14:paraId="32DE1B84">
                  <w:pPr>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b/>
                      <w:color w:val="auto"/>
                      <w:sz w:val="21"/>
                      <w:szCs w:val="21"/>
                      <w:highlight w:val="none"/>
                    </w:rPr>
                    <w:t>达标情况</w:t>
                  </w:r>
                </w:p>
              </w:tc>
            </w:tr>
            <w:tr w14:paraId="7912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01" w:type="dxa"/>
                  <w:vMerge w:val="continue"/>
                  <w:shd w:val="clear" w:color="auto" w:fill="FFFFFF"/>
                  <w:vAlign w:val="center"/>
                </w:tcPr>
                <w:p w14:paraId="360C30DA">
                  <w:pPr>
                    <w:jc w:val="center"/>
                    <w:rPr>
                      <w:rFonts w:ascii="Times New Roman" w:hAnsi="Times New Roman" w:cs="Times New Roman" w:eastAsiaTheme="minorEastAsia"/>
                      <w:color w:val="auto"/>
                      <w:sz w:val="21"/>
                      <w:szCs w:val="21"/>
                      <w:highlight w:val="none"/>
                    </w:rPr>
                  </w:pPr>
                </w:p>
              </w:tc>
              <w:tc>
                <w:tcPr>
                  <w:tcW w:w="903" w:type="dxa"/>
                  <w:shd w:val="clear" w:color="auto" w:fill="FFFFFF"/>
                  <w:vAlign w:val="center"/>
                </w:tcPr>
                <w:p w14:paraId="1ED95569">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X</w:t>
                  </w:r>
                </w:p>
              </w:tc>
              <w:tc>
                <w:tcPr>
                  <w:tcW w:w="915" w:type="dxa"/>
                  <w:shd w:val="clear" w:color="auto" w:fill="FFFFFF"/>
                  <w:vAlign w:val="center"/>
                </w:tcPr>
                <w:p w14:paraId="5F13E178">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Y</w:t>
                  </w:r>
                </w:p>
              </w:tc>
              <w:tc>
                <w:tcPr>
                  <w:tcW w:w="870" w:type="dxa"/>
                  <w:shd w:val="clear" w:color="auto" w:fill="FFFFFF"/>
                  <w:vAlign w:val="center"/>
                </w:tcPr>
                <w:p w14:paraId="647BD669">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Z</w:t>
                  </w:r>
                </w:p>
              </w:tc>
              <w:tc>
                <w:tcPr>
                  <w:tcW w:w="975" w:type="dxa"/>
                  <w:vMerge w:val="continue"/>
                  <w:shd w:val="clear" w:color="auto" w:fill="FFFFFF"/>
                  <w:vAlign w:val="center"/>
                </w:tcPr>
                <w:p w14:paraId="57566429">
                  <w:pPr>
                    <w:jc w:val="center"/>
                    <w:rPr>
                      <w:rFonts w:ascii="Times New Roman" w:hAnsi="Times New Roman" w:cs="Times New Roman" w:eastAsiaTheme="minorEastAsia"/>
                      <w:color w:val="auto"/>
                      <w:sz w:val="21"/>
                      <w:szCs w:val="21"/>
                      <w:highlight w:val="none"/>
                    </w:rPr>
                  </w:pPr>
                </w:p>
              </w:tc>
              <w:tc>
                <w:tcPr>
                  <w:tcW w:w="1245" w:type="dxa"/>
                  <w:vMerge w:val="continue"/>
                  <w:shd w:val="clear" w:color="auto" w:fill="FFFFFF"/>
                  <w:vAlign w:val="center"/>
                </w:tcPr>
                <w:p w14:paraId="1CED04EB">
                  <w:pPr>
                    <w:jc w:val="center"/>
                    <w:rPr>
                      <w:rFonts w:ascii="Times New Roman" w:hAnsi="Times New Roman" w:cs="Times New Roman" w:eastAsiaTheme="minorEastAsia"/>
                      <w:color w:val="auto"/>
                      <w:sz w:val="21"/>
                      <w:szCs w:val="21"/>
                      <w:highlight w:val="none"/>
                    </w:rPr>
                  </w:pPr>
                </w:p>
              </w:tc>
              <w:tc>
                <w:tcPr>
                  <w:tcW w:w="1230" w:type="dxa"/>
                  <w:vMerge w:val="continue"/>
                  <w:shd w:val="clear" w:color="auto" w:fill="FFFFFF"/>
                  <w:vAlign w:val="center"/>
                </w:tcPr>
                <w:p w14:paraId="4FC67F2B">
                  <w:pPr>
                    <w:jc w:val="center"/>
                    <w:rPr>
                      <w:rFonts w:ascii="Times New Roman" w:hAnsi="Times New Roman" w:cs="Times New Roman" w:eastAsiaTheme="minorEastAsia"/>
                      <w:color w:val="auto"/>
                      <w:sz w:val="21"/>
                      <w:szCs w:val="21"/>
                      <w:highlight w:val="none"/>
                    </w:rPr>
                  </w:pPr>
                </w:p>
                <w:bookmarkEnd w:id="32"/>
              </w:tc>
              <w:tc>
                <w:tcPr>
                  <w:tcW w:w="1126" w:type="dxa"/>
                  <w:vMerge w:val="continue"/>
                  <w:shd w:val="clear" w:color="auto" w:fill="FFFFFF"/>
                  <w:vAlign w:val="center"/>
                </w:tcPr>
                <w:p w14:paraId="5DEDDDA2">
                  <w:pPr>
                    <w:jc w:val="center"/>
                    <w:rPr>
                      <w:rFonts w:ascii="Times New Roman" w:hAnsi="Times New Roman" w:cs="Times New Roman" w:eastAsiaTheme="minorEastAsia"/>
                      <w:color w:val="auto"/>
                      <w:sz w:val="21"/>
                      <w:szCs w:val="21"/>
                      <w:highlight w:val="none"/>
                    </w:rPr>
                  </w:pPr>
                </w:p>
              </w:tc>
            </w:tr>
            <w:tr w14:paraId="514C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3" w:hRule="exact"/>
                <w:jc w:val="center"/>
              </w:trPr>
              <w:tc>
                <w:tcPr>
                  <w:tcW w:w="1101" w:type="dxa"/>
                  <w:vMerge w:val="restart"/>
                  <w:shd w:val="clear" w:color="auto" w:fill="FFFFFF"/>
                  <w:vAlign w:val="center"/>
                </w:tcPr>
                <w:p w14:paraId="6F100C16">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东侧</w:t>
                  </w:r>
                </w:p>
              </w:tc>
              <w:tc>
                <w:tcPr>
                  <w:tcW w:w="903" w:type="dxa"/>
                  <w:shd w:val="clear" w:color="auto" w:fill="FFFFFF"/>
                  <w:vAlign w:val="center"/>
                </w:tcPr>
                <w:p w14:paraId="0549889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43.2</w:t>
                  </w:r>
                </w:p>
              </w:tc>
              <w:tc>
                <w:tcPr>
                  <w:tcW w:w="915" w:type="dxa"/>
                  <w:shd w:val="clear" w:color="auto" w:fill="FFFFFF"/>
                  <w:vAlign w:val="center"/>
                </w:tcPr>
                <w:p w14:paraId="523EC3A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0.7</w:t>
                  </w:r>
                </w:p>
              </w:tc>
              <w:tc>
                <w:tcPr>
                  <w:tcW w:w="870" w:type="dxa"/>
                  <w:shd w:val="clear" w:color="auto" w:fill="FFFFFF"/>
                  <w:vAlign w:val="center"/>
                </w:tcPr>
                <w:p w14:paraId="347547D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1.2</w:t>
                  </w:r>
                </w:p>
              </w:tc>
              <w:tc>
                <w:tcPr>
                  <w:tcW w:w="975" w:type="dxa"/>
                  <w:shd w:val="clear" w:color="auto" w:fill="FFFFFF"/>
                  <w:vAlign w:val="center"/>
                </w:tcPr>
                <w:p w14:paraId="317590C8">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昼间</w:t>
                  </w:r>
                </w:p>
              </w:tc>
              <w:tc>
                <w:tcPr>
                  <w:tcW w:w="1245" w:type="dxa"/>
                  <w:shd w:val="clear" w:color="auto" w:fill="FFFFFF"/>
                  <w:vAlign w:val="center"/>
                </w:tcPr>
                <w:p w14:paraId="07C1CB6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49.6</w:t>
                  </w:r>
                </w:p>
              </w:tc>
              <w:tc>
                <w:tcPr>
                  <w:tcW w:w="1230" w:type="dxa"/>
                  <w:shd w:val="clear" w:color="auto" w:fill="FFFFFF"/>
                  <w:vAlign w:val="center"/>
                </w:tcPr>
                <w:p w14:paraId="7CE1256C">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0"/>
                      <w:highlight w:val="none"/>
                    </w:rPr>
                    <w:t>65</w:t>
                  </w:r>
                </w:p>
              </w:tc>
              <w:tc>
                <w:tcPr>
                  <w:tcW w:w="1126" w:type="dxa"/>
                  <w:shd w:val="clear" w:color="auto" w:fill="FFFFFF"/>
                  <w:vAlign w:val="center"/>
                </w:tcPr>
                <w:p w14:paraId="44372065">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达标</w:t>
                  </w:r>
                </w:p>
              </w:tc>
            </w:tr>
            <w:tr w14:paraId="3E7E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8" w:hRule="exact"/>
                <w:jc w:val="center"/>
              </w:trPr>
              <w:tc>
                <w:tcPr>
                  <w:tcW w:w="1101" w:type="dxa"/>
                  <w:vMerge w:val="continue"/>
                  <w:shd w:val="clear" w:color="auto" w:fill="FFFFFF"/>
                  <w:vAlign w:val="center"/>
                </w:tcPr>
                <w:p w14:paraId="0981FD7B">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东侧</w:t>
                  </w:r>
                </w:p>
              </w:tc>
              <w:tc>
                <w:tcPr>
                  <w:tcW w:w="903" w:type="dxa"/>
                  <w:shd w:val="clear" w:color="auto" w:fill="FFFFFF"/>
                  <w:vAlign w:val="center"/>
                </w:tcPr>
                <w:p w14:paraId="64B549C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43.2</w:t>
                  </w:r>
                </w:p>
              </w:tc>
              <w:tc>
                <w:tcPr>
                  <w:tcW w:w="915" w:type="dxa"/>
                  <w:shd w:val="clear" w:color="auto" w:fill="FFFFFF"/>
                  <w:vAlign w:val="center"/>
                </w:tcPr>
                <w:p w14:paraId="17DE1B0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0.7</w:t>
                  </w:r>
                </w:p>
              </w:tc>
              <w:tc>
                <w:tcPr>
                  <w:tcW w:w="870" w:type="dxa"/>
                  <w:shd w:val="clear" w:color="auto" w:fill="FFFFFF"/>
                  <w:vAlign w:val="center"/>
                </w:tcPr>
                <w:p w14:paraId="153C768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1.2</w:t>
                  </w:r>
                </w:p>
              </w:tc>
              <w:tc>
                <w:tcPr>
                  <w:tcW w:w="975" w:type="dxa"/>
                  <w:shd w:val="clear" w:color="auto" w:fill="FFFFFF"/>
                  <w:vAlign w:val="center"/>
                </w:tcPr>
                <w:p w14:paraId="66F934B6">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夜间</w:t>
                  </w:r>
                </w:p>
              </w:tc>
              <w:tc>
                <w:tcPr>
                  <w:tcW w:w="1245" w:type="dxa"/>
                  <w:shd w:val="clear" w:color="auto" w:fill="FFFFFF"/>
                  <w:vAlign w:val="center"/>
                </w:tcPr>
                <w:p w14:paraId="4700AF8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49.6</w:t>
                  </w:r>
                </w:p>
              </w:tc>
              <w:tc>
                <w:tcPr>
                  <w:tcW w:w="1230" w:type="dxa"/>
                  <w:shd w:val="clear" w:color="auto" w:fill="FFFFFF"/>
                  <w:vAlign w:val="center"/>
                </w:tcPr>
                <w:p w14:paraId="6FFA3E5B">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0"/>
                      <w:highlight w:val="none"/>
                    </w:rPr>
                    <w:t>55</w:t>
                  </w:r>
                </w:p>
              </w:tc>
              <w:tc>
                <w:tcPr>
                  <w:tcW w:w="1126" w:type="dxa"/>
                  <w:shd w:val="clear" w:color="auto" w:fill="FFFFFF"/>
                  <w:vAlign w:val="center"/>
                </w:tcPr>
                <w:p w14:paraId="3F1EDF7E">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达标</w:t>
                  </w:r>
                </w:p>
              </w:tc>
            </w:tr>
            <w:tr w14:paraId="70BB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3" w:hRule="exact"/>
                <w:jc w:val="center"/>
              </w:trPr>
              <w:tc>
                <w:tcPr>
                  <w:tcW w:w="1101" w:type="dxa"/>
                  <w:vMerge w:val="restart"/>
                  <w:shd w:val="clear" w:color="auto" w:fill="FFFFFF"/>
                  <w:vAlign w:val="center"/>
                </w:tcPr>
                <w:p w14:paraId="047B050E">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南侧</w:t>
                  </w:r>
                </w:p>
              </w:tc>
              <w:tc>
                <w:tcPr>
                  <w:tcW w:w="903" w:type="dxa"/>
                  <w:shd w:val="clear" w:color="auto" w:fill="FFFFFF"/>
                  <w:vAlign w:val="center"/>
                </w:tcPr>
                <w:p w14:paraId="77CE20C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17.3</w:t>
                  </w:r>
                </w:p>
              </w:tc>
              <w:tc>
                <w:tcPr>
                  <w:tcW w:w="915" w:type="dxa"/>
                  <w:shd w:val="clear" w:color="auto" w:fill="FFFFFF"/>
                  <w:vAlign w:val="center"/>
                </w:tcPr>
                <w:p w14:paraId="67B528E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-58.2</w:t>
                  </w:r>
                </w:p>
              </w:tc>
              <w:tc>
                <w:tcPr>
                  <w:tcW w:w="870" w:type="dxa"/>
                  <w:shd w:val="clear" w:color="auto" w:fill="FFFFFF"/>
                  <w:vAlign w:val="center"/>
                </w:tcPr>
                <w:p w14:paraId="1C0DAF1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1.2</w:t>
                  </w:r>
                </w:p>
              </w:tc>
              <w:tc>
                <w:tcPr>
                  <w:tcW w:w="975" w:type="dxa"/>
                  <w:shd w:val="clear" w:color="auto" w:fill="FFFFFF"/>
                  <w:vAlign w:val="center"/>
                </w:tcPr>
                <w:p w14:paraId="465672FF">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昼间</w:t>
                  </w:r>
                </w:p>
              </w:tc>
              <w:tc>
                <w:tcPr>
                  <w:tcW w:w="1245" w:type="dxa"/>
                  <w:shd w:val="clear" w:color="auto" w:fill="FFFFFF"/>
                  <w:vAlign w:val="center"/>
                </w:tcPr>
                <w:p w14:paraId="47E087A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51</w:t>
                  </w:r>
                </w:p>
              </w:tc>
              <w:tc>
                <w:tcPr>
                  <w:tcW w:w="1230" w:type="dxa"/>
                  <w:shd w:val="clear" w:color="auto" w:fill="FFFFFF"/>
                  <w:vAlign w:val="center"/>
                </w:tcPr>
                <w:p w14:paraId="03E5FB3F">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0"/>
                      <w:highlight w:val="none"/>
                    </w:rPr>
                    <w:t>65</w:t>
                  </w:r>
                </w:p>
              </w:tc>
              <w:tc>
                <w:tcPr>
                  <w:tcW w:w="1126" w:type="dxa"/>
                  <w:shd w:val="clear" w:color="auto" w:fill="FFFFFF"/>
                  <w:vAlign w:val="center"/>
                </w:tcPr>
                <w:p w14:paraId="0212272C">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达标</w:t>
                  </w:r>
                </w:p>
              </w:tc>
            </w:tr>
            <w:tr w14:paraId="265B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8" w:hRule="exact"/>
                <w:jc w:val="center"/>
              </w:trPr>
              <w:tc>
                <w:tcPr>
                  <w:tcW w:w="1101" w:type="dxa"/>
                  <w:vMerge w:val="continue"/>
                  <w:shd w:val="clear" w:color="auto" w:fill="FFFFFF"/>
                  <w:vAlign w:val="center"/>
                </w:tcPr>
                <w:p w14:paraId="1C9752C7">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南侧</w:t>
                  </w:r>
                </w:p>
              </w:tc>
              <w:tc>
                <w:tcPr>
                  <w:tcW w:w="903" w:type="dxa"/>
                  <w:shd w:val="clear" w:color="auto" w:fill="FFFFFF"/>
                  <w:vAlign w:val="center"/>
                </w:tcPr>
                <w:p w14:paraId="242FC86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17.3</w:t>
                  </w:r>
                </w:p>
              </w:tc>
              <w:tc>
                <w:tcPr>
                  <w:tcW w:w="915" w:type="dxa"/>
                  <w:shd w:val="clear" w:color="auto" w:fill="FFFFFF"/>
                  <w:vAlign w:val="center"/>
                </w:tcPr>
                <w:p w14:paraId="5610A10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-58.2</w:t>
                  </w:r>
                </w:p>
              </w:tc>
              <w:tc>
                <w:tcPr>
                  <w:tcW w:w="870" w:type="dxa"/>
                  <w:shd w:val="clear" w:color="auto" w:fill="FFFFFF"/>
                  <w:vAlign w:val="center"/>
                </w:tcPr>
                <w:p w14:paraId="0E2BCEB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1.2</w:t>
                  </w:r>
                </w:p>
              </w:tc>
              <w:tc>
                <w:tcPr>
                  <w:tcW w:w="975" w:type="dxa"/>
                  <w:shd w:val="clear" w:color="auto" w:fill="FFFFFF"/>
                  <w:vAlign w:val="center"/>
                </w:tcPr>
                <w:p w14:paraId="1F9B5BB0">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夜间</w:t>
                  </w:r>
                </w:p>
              </w:tc>
              <w:tc>
                <w:tcPr>
                  <w:tcW w:w="1245" w:type="dxa"/>
                  <w:shd w:val="clear" w:color="auto" w:fill="FFFFFF"/>
                  <w:vAlign w:val="center"/>
                </w:tcPr>
                <w:p w14:paraId="0ADD9BA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51</w:t>
                  </w:r>
                </w:p>
              </w:tc>
              <w:tc>
                <w:tcPr>
                  <w:tcW w:w="1230" w:type="dxa"/>
                  <w:shd w:val="clear" w:color="auto" w:fill="FFFFFF"/>
                  <w:vAlign w:val="center"/>
                </w:tcPr>
                <w:p w14:paraId="2BAFF15B">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0"/>
                      <w:highlight w:val="none"/>
                    </w:rPr>
                    <w:t>55</w:t>
                  </w:r>
                </w:p>
              </w:tc>
              <w:tc>
                <w:tcPr>
                  <w:tcW w:w="1126" w:type="dxa"/>
                  <w:shd w:val="clear" w:color="auto" w:fill="FFFFFF"/>
                  <w:vAlign w:val="center"/>
                </w:tcPr>
                <w:p w14:paraId="5E8A1536">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达标</w:t>
                  </w:r>
                </w:p>
              </w:tc>
            </w:tr>
            <w:tr w14:paraId="66E4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exact"/>
                <w:jc w:val="center"/>
              </w:trPr>
              <w:tc>
                <w:tcPr>
                  <w:tcW w:w="1101" w:type="dxa"/>
                  <w:vMerge w:val="restart"/>
                  <w:shd w:val="clear" w:color="auto" w:fill="FFFFFF"/>
                  <w:vAlign w:val="center"/>
                </w:tcPr>
                <w:p w14:paraId="63D0384A">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西侧</w:t>
                  </w:r>
                </w:p>
              </w:tc>
              <w:tc>
                <w:tcPr>
                  <w:tcW w:w="903" w:type="dxa"/>
                  <w:shd w:val="clear" w:color="auto" w:fill="FFFFFF"/>
                  <w:vAlign w:val="center"/>
                </w:tcPr>
                <w:p w14:paraId="617DD5B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-40.8</w:t>
                  </w:r>
                </w:p>
              </w:tc>
              <w:tc>
                <w:tcPr>
                  <w:tcW w:w="915" w:type="dxa"/>
                  <w:shd w:val="clear" w:color="auto" w:fill="FFFFFF"/>
                  <w:vAlign w:val="center"/>
                </w:tcPr>
                <w:p w14:paraId="141B6DA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13.3</w:t>
                  </w:r>
                </w:p>
              </w:tc>
              <w:tc>
                <w:tcPr>
                  <w:tcW w:w="870" w:type="dxa"/>
                  <w:shd w:val="clear" w:color="auto" w:fill="FFFFFF"/>
                  <w:vAlign w:val="center"/>
                </w:tcPr>
                <w:p w14:paraId="6CC4315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1.2</w:t>
                  </w:r>
                </w:p>
              </w:tc>
              <w:tc>
                <w:tcPr>
                  <w:tcW w:w="975" w:type="dxa"/>
                  <w:shd w:val="clear" w:color="auto" w:fill="FFFFFF"/>
                  <w:vAlign w:val="center"/>
                </w:tcPr>
                <w:p w14:paraId="012EF7F9">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昼间</w:t>
                  </w:r>
                </w:p>
              </w:tc>
              <w:tc>
                <w:tcPr>
                  <w:tcW w:w="1245" w:type="dxa"/>
                  <w:shd w:val="clear" w:color="auto" w:fill="FFFFFF"/>
                  <w:vAlign w:val="center"/>
                </w:tcPr>
                <w:p w14:paraId="5352EC0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37.3</w:t>
                  </w:r>
                </w:p>
              </w:tc>
              <w:tc>
                <w:tcPr>
                  <w:tcW w:w="1230" w:type="dxa"/>
                  <w:shd w:val="clear" w:color="auto" w:fill="FFFFFF"/>
                  <w:vAlign w:val="center"/>
                </w:tcPr>
                <w:p w14:paraId="0D62890B">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0"/>
                      <w:highlight w:val="none"/>
                    </w:rPr>
                    <w:t>65</w:t>
                  </w:r>
                </w:p>
              </w:tc>
              <w:tc>
                <w:tcPr>
                  <w:tcW w:w="1126" w:type="dxa"/>
                  <w:shd w:val="clear" w:color="auto" w:fill="FFFFFF"/>
                  <w:vAlign w:val="center"/>
                </w:tcPr>
                <w:p w14:paraId="366ABF03">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达标</w:t>
                  </w:r>
                </w:p>
              </w:tc>
            </w:tr>
            <w:tr w14:paraId="72F8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3" w:hRule="exact"/>
                <w:jc w:val="center"/>
              </w:trPr>
              <w:tc>
                <w:tcPr>
                  <w:tcW w:w="1101" w:type="dxa"/>
                  <w:vMerge w:val="continue"/>
                  <w:shd w:val="clear" w:color="auto" w:fill="FFFFFF"/>
                  <w:vAlign w:val="center"/>
                </w:tcPr>
                <w:p w14:paraId="7D4D7C07">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西侧</w:t>
                  </w:r>
                </w:p>
              </w:tc>
              <w:tc>
                <w:tcPr>
                  <w:tcW w:w="903" w:type="dxa"/>
                  <w:shd w:val="clear" w:color="auto" w:fill="FFFFFF"/>
                  <w:vAlign w:val="center"/>
                </w:tcPr>
                <w:p w14:paraId="34AE5DC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-40.8</w:t>
                  </w:r>
                </w:p>
              </w:tc>
              <w:tc>
                <w:tcPr>
                  <w:tcW w:w="915" w:type="dxa"/>
                  <w:shd w:val="clear" w:color="auto" w:fill="FFFFFF"/>
                  <w:vAlign w:val="center"/>
                </w:tcPr>
                <w:p w14:paraId="6DAA7FC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13.3</w:t>
                  </w:r>
                </w:p>
              </w:tc>
              <w:tc>
                <w:tcPr>
                  <w:tcW w:w="870" w:type="dxa"/>
                  <w:shd w:val="clear" w:color="auto" w:fill="FFFFFF"/>
                  <w:vAlign w:val="center"/>
                </w:tcPr>
                <w:p w14:paraId="7274A1D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1.2</w:t>
                  </w:r>
                </w:p>
              </w:tc>
              <w:tc>
                <w:tcPr>
                  <w:tcW w:w="975" w:type="dxa"/>
                  <w:shd w:val="clear" w:color="auto" w:fill="FFFFFF"/>
                  <w:vAlign w:val="center"/>
                </w:tcPr>
                <w:p w14:paraId="745F53BF">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夜间</w:t>
                  </w:r>
                </w:p>
              </w:tc>
              <w:tc>
                <w:tcPr>
                  <w:tcW w:w="1245" w:type="dxa"/>
                  <w:shd w:val="clear" w:color="auto" w:fill="FFFFFF"/>
                  <w:vAlign w:val="center"/>
                </w:tcPr>
                <w:p w14:paraId="7313ADB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37.3</w:t>
                  </w:r>
                </w:p>
              </w:tc>
              <w:tc>
                <w:tcPr>
                  <w:tcW w:w="1230" w:type="dxa"/>
                  <w:shd w:val="clear" w:color="auto" w:fill="FFFFFF"/>
                  <w:vAlign w:val="center"/>
                </w:tcPr>
                <w:p w14:paraId="104E2F71">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0"/>
                      <w:highlight w:val="none"/>
                    </w:rPr>
                    <w:t>55</w:t>
                  </w:r>
                </w:p>
              </w:tc>
              <w:tc>
                <w:tcPr>
                  <w:tcW w:w="1126" w:type="dxa"/>
                  <w:shd w:val="clear" w:color="auto" w:fill="FFFFFF"/>
                  <w:vAlign w:val="center"/>
                </w:tcPr>
                <w:p w14:paraId="0694DA4B">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达标</w:t>
                  </w:r>
                </w:p>
              </w:tc>
            </w:tr>
            <w:tr w14:paraId="7C96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63" w:hRule="exact"/>
                <w:jc w:val="center"/>
              </w:trPr>
              <w:tc>
                <w:tcPr>
                  <w:tcW w:w="1101" w:type="dxa"/>
                  <w:vMerge w:val="restart"/>
                  <w:shd w:val="clear" w:color="auto" w:fill="FFFFFF"/>
                  <w:vAlign w:val="center"/>
                </w:tcPr>
                <w:p w14:paraId="558A93B5">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北侧</w:t>
                  </w:r>
                </w:p>
              </w:tc>
              <w:tc>
                <w:tcPr>
                  <w:tcW w:w="903" w:type="dxa"/>
                  <w:shd w:val="clear" w:color="auto" w:fill="FFFFFF"/>
                  <w:vAlign w:val="center"/>
                </w:tcPr>
                <w:p w14:paraId="64ACF2A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34.6</w:t>
                  </w:r>
                </w:p>
              </w:tc>
              <w:tc>
                <w:tcPr>
                  <w:tcW w:w="915" w:type="dxa"/>
                  <w:shd w:val="clear" w:color="auto" w:fill="FFFFFF"/>
                  <w:vAlign w:val="center"/>
                </w:tcPr>
                <w:p w14:paraId="40BC0C0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53.4</w:t>
                  </w:r>
                </w:p>
              </w:tc>
              <w:tc>
                <w:tcPr>
                  <w:tcW w:w="870" w:type="dxa"/>
                  <w:shd w:val="clear" w:color="auto" w:fill="FFFFFF"/>
                  <w:vAlign w:val="center"/>
                </w:tcPr>
                <w:p w14:paraId="27E9A99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1.2</w:t>
                  </w:r>
                </w:p>
              </w:tc>
              <w:tc>
                <w:tcPr>
                  <w:tcW w:w="975" w:type="dxa"/>
                  <w:shd w:val="clear" w:color="auto" w:fill="FFFFFF"/>
                  <w:vAlign w:val="center"/>
                </w:tcPr>
                <w:p w14:paraId="54DE0940">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昼间</w:t>
                  </w:r>
                </w:p>
              </w:tc>
              <w:tc>
                <w:tcPr>
                  <w:tcW w:w="1245" w:type="dxa"/>
                  <w:shd w:val="clear" w:color="auto" w:fill="FFFFFF"/>
                  <w:vAlign w:val="center"/>
                </w:tcPr>
                <w:p w14:paraId="2BF2C94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42.3</w:t>
                  </w:r>
                </w:p>
              </w:tc>
              <w:tc>
                <w:tcPr>
                  <w:tcW w:w="1230" w:type="dxa"/>
                  <w:shd w:val="clear" w:color="auto" w:fill="FFFFFF"/>
                  <w:vAlign w:val="center"/>
                </w:tcPr>
                <w:p w14:paraId="2881E1CF">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0"/>
                      <w:highlight w:val="none"/>
                    </w:rPr>
                    <w:t>65</w:t>
                  </w:r>
                </w:p>
              </w:tc>
              <w:tc>
                <w:tcPr>
                  <w:tcW w:w="1126" w:type="dxa"/>
                  <w:shd w:val="clear" w:color="auto" w:fill="FFFFFF"/>
                  <w:vAlign w:val="center"/>
                </w:tcPr>
                <w:p w14:paraId="7A3B1591">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达标</w:t>
                  </w:r>
                </w:p>
              </w:tc>
            </w:tr>
            <w:tr w14:paraId="7D20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63" w:hRule="exact"/>
                <w:jc w:val="center"/>
              </w:trPr>
              <w:tc>
                <w:tcPr>
                  <w:tcW w:w="1101" w:type="dxa"/>
                  <w:vMerge w:val="continue"/>
                  <w:shd w:val="clear" w:color="auto" w:fill="FFFFFF"/>
                  <w:vAlign w:val="center"/>
                </w:tcPr>
                <w:p w14:paraId="215CD011">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北侧</w:t>
                  </w:r>
                </w:p>
              </w:tc>
              <w:tc>
                <w:tcPr>
                  <w:tcW w:w="903" w:type="dxa"/>
                  <w:shd w:val="clear" w:color="auto" w:fill="FFFFFF"/>
                  <w:vAlign w:val="center"/>
                </w:tcPr>
                <w:p w14:paraId="60185EE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34.6</w:t>
                  </w:r>
                </w:p>
              </w:tc>
              <w:tc>
                <w:tcPr>
                  <w:tcW w:w="915" w:type="dxa"/>
                  <w:shd w:val="clear" w:color="auto" w:fill="FFFFFF"/>
                  <w:vAlign w:val="center"/>
                </w:tcPr>
                <w:p w14:paraId="0A87CD7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53.4</w:t>
                  </w:r>
                </w:p>
              </w:tc>
              <w:tc>
                <w:tcPr>
                  <w:tcW w:w="870" w:type="dxa"/>
                  <w:shd w:val="clear" w:color="auto" w:fill="FFFFFF"/>
                  <w:vAlign w:val="center"/>
                </w:tcPr>
                <w:p w14:paraId="5759277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1.2</w:t>
                  </w:r>
                </w:p>
              </w:tc>
              <w:tc>
                <w:tcPr>
                  <w:tcW w:w="975" w:type="dxa"/>
                  <w:shd w:val="clear" w:color="auto" w:fill="FFFFFF"/>
                  <w:vAlign w:val="center"/>
                </w:tcPr>
                <w:p w14:paraId="7DC34F58">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夜间</w:t>
                  </w:r>
                </w:p>
              </w:tc>
              <w:tc>
                <w:tcPr>
                  <w:tcW w:w="1245" w:type="dxa"/>
                  <w:shd w:val="clear" w:color="auto" w:fill="FFFFFF"/>
                  <w:vAlign w:val="center"/>
                </w:tcPr>
                <w:p w14:paraId="0D1C2ED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0"/>
                      <w:highlight w:val="none"/>
                    </w:rPr>
                    <w:t>42.3</w:t>
                  </w:r>
                </w:p>
              </w:tc>
              <w:tc>
                <w:tcPr>
                  <w:tcW w:w="1230" w:type="dxa"/>
                  <w:shd w:val="clear" w:color="auto" w:fill="FFFFFF"/>
                  <w:vAlign w:val="center"/>
                </w:tcPr>
                <w:p w14:paraId="6BAEE648">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0"/>
                      <w:highlight w:val="none"/>
                    </w:rPr>
                    <w:t>55</w:t>
                  </w:r>
                </w:p>
              </w:tc>
              <w:tc>
                <w:tcPr>
                  <w:tcW w:w="1126" w:type="dxa"/>
                  <w:shd w:val="clear" w:color="auto" w:fill="FFFFFF"/>
                  <w:vAlign w:val="center"/>
                </w:tcPr>
                <w:p w14:paraId="7E85433B">
                  <w:pPr>
                    <w:jc w:val="center"/>
                    <w:rPr>
                      <w:rFonts w:hint="eastAsia" w:ascii="宋体" w:hAnsi="宋体" w:eastAsia="宋体" w:cs="宋体"/>
                      <w:color w:val="auto"/>
                      <w:sz w:val="21"/>
                      <w:szCs w:val="21"/>
                      <w:highlight w:val="none"/>
                    </w:rPr>
                  </w:pPr>
                  <w:r>
                    <w:rPr>
                      <w:rFonts w:ascii="Arial" w:hAnsi="Arial" w:eastAsia="Arial" w:cs="Arial"/>
                      <w:color w:val="auto"/>
                      <w:sz w:val="20"/>
                      <w:highlight w:val="none"/>
                    </w:rPr>
                    <w:t>达标</w:t>
                  </w:r>
                </w:p>
              </w:tc>
            </w:tr>
          </w:tbl>
          <w:p w14:paraId="5057E4F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w:t>
            </w:r>
            <w:r>
              <w:rPr>
                <w:rFonts w:hint="default" w:ascii="Times New Roman" w:hAnsi="Times New Roman" w:eastAsia="宋体" w:cs="Times New Roman"/>
                <w:color w:val="auto"/>
                <w:sz w:val="21"/>
                <w:szCs w:val="21"/>
                <w:highlight w:val="none"/>
                <w:lang w:val="en-US" w:eastAsia="zh-CN"/>
              </w:rPr>
              <w:t>表中坐标以厂界中心（103.156242,25.462743）为坐标原点，正东向为X轴正方向，正北向为Y轴正方向</w:t>
            </w:r>
            <w:r>
              <w:rPr>
                <w:rFonts w:hint="eastAsia" w:ascii="Times New Roman" w:hAnsi="Times New Roman" w:eastAsia="宋体" w:cs="Times New Roman"/>
                <w:color w:val="auto"/>
                <w:sz w:val="21"/>
                <w:szCs w:val="21"/>
                <w:highlight w:val="none"/>
                <w:lang w:val="en-US" w:eastAsia="zh-CN"/>
              </w:rPr>
              <w:t>。</w:t>
            </w:r>
          </w:p>
          <w:p w14:paraId="08F47E99">
            <w:pPr>
              <w:snapToGrid w:val="0"/>
              <w:spacing w:line="360" w:lineRule="auto"/>
              <w:ind w:firstLine="480" w:firstLineChars="200"/>
              <w:rPr>
                <w:rFonts w:ascii="Times New Roman" w:hAnsi="Times New Roman" w:cs="Times New Roman" w:eastAsiaTheme="minorEastAsia"/>
                <w:color w:val="auto"/>
                <w:sz w:val="24"/>
                <w:szCs w:val="24"/>
                <w:highlight w:val="none"/>
                <w:lang w:eastAsia="zh-CN"/>
              </w:rPr>
            </w:pPr>
            <w:r>
              <w:rPr>
                <w:rFonts w:ascii="Times New Roman" w:hAnsi="Times New Roman" w:cs="Times New Roman" w:eastAsiaTheme="minorEastAsia"/>
                <w:color w:val="auto"/>
                <w:sz w:val="24"/>
                <w:szCs w:val="24"/>
                <w:highlight w:val="none"/>
                <w:lang w:eastAsia="zh-CN"/>
              </w:rPr>
              <w:t>由上表可知，正常工况下，项目厂界噪声满足《工业企业厂界环境噪声排放标准》(GB12348</w:t>
            </w:r>
            <w:r>
              <w:rPr>
                <w:rFonts w:hint="eastAsia" w:cs="Times New Roman" w:eastAsiaTheme="minorEastAsia"/>
                <w:color w:val="auto"/>
                <w:sz w:val="24"/>
                <w:szCs w:val="24"/>
                <w:highlight w:val="none"/>
                <w:lang w:val="en-US" w:eastAsia="zh-CN"/>
              </w:rPr>
              <w:t>-</w:t>
            </w:r>
            <w:r>
              <w:rPr>
                <w:rFonts w:ascii="Times New Roman" w:hAnsi="Times New Roman" w:cs="Times New Roman" w:eastAsiaTheme="minorEastAsia"/>
                <w:color w:val="auto"/>
                <w:sz w:val="24"/>
                <w:szCs w:val="24"/>
                <w:highlight w:val="none"/>
                <w:lang w:eastAsia="zh-CN"/>
              </w:rPr>
              <w:t xml:space="preserve">2008) </w:t>
            </w:r>
            <w:bookmarkStart w:id="33" w:name="PO_3"/>
            <w:r>
              <w:rPr>
                <w:rFonts w:ascii="Times New Roman" w:hAnsi="Times New Roman" w:cs="Times New Roman" w:eastAsiaTheme="minorEastAsia"/>
                <w:color w:val="auto"/>
                <w:sz w:val="24"/>
                <w:szCs w:val="24"/>
                <w:highlight w:val="none"/>
                <w:lang w:eastAsia="zh-CN"/>
              </w:rPr>
              <w:t>3</w:t>
            </w:r>
            <w:bookmarkEnd w:id="33"/>
            <w:r>
              <w:rPr>
                <w:rFonts w:ascii="Times New Roman" w:hAnsi="Times New Roman" w:cs="Times New Roman" w:eastAsiaTheme="minorEastAsia"/>
                <w:color w:val="auto"/>
                <w:sz w:val="24"/>
                <w:szCs w:val="24"/>
                <w:highlight w:val="none"/>
                <w:lang w:eastAsia="zh-CN"/>
              </w:rPr>
              <w:t>类标准。</w:t>
            </w:r>
          </w:p>
          <w:p w14:paraId="3456F173">
            <w:pPr>
              <w:pStyle w:val="15"/>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8"/>
                <w:highlight w:val="none"/>
                <w:lang w:val="en-US"/>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控制措施</w:t>
            </w:r>
          </w:p>
          <w:p w14:paraId="43BE2507">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14:paraId="79C214A2">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14:paraId="121CF8B0">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14:paraId="756A84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val="en-US" w:eastAsia="zh-CN"/>
              </w:rPr>
              <w:t>③风机设减震垫进行基础减振，风管设软连接，对设备进行有效地减震、隔声处理。</w:t>
            </w:r>
          </w:p>
          <w:p w14:paraId="20CE17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对操作员工影响加强个人防护意识，工作人员应佩戴防噪用品，如防声耳塞或耳罩等。</w:t>
            </w:r>
          </w:p>
          <w:p w14:paraId="06936B34">
            <w:pPr>
              <w:pStyle w:val="48"/>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加强管理培训，确保工人文明操作，装卸货物时轻拿轻放，避免因野蛮操作产生的突发性噪声；</w:t>
            </w:r>
            <w:r>
              <w:rPr>
                <w:rFonts w:hint="default" w:ascii="Times New Roman" w:hAnsi="Times New Roman" w:eastAsia="宋体" w:cs="Times New Roman"/>
                <w:color w:val="auto"/>
                <w:sz w:val="24"/>
                <w:highlight w:val="none"/>
                <w:lang w:val="zh-CN"/>
              </w:rPr>
              <w:t>以上处理措施在各行业噪声防治中广泛应用，处理效果好。</w:t>
            </w:r>
          </w:p>
          <w:p w14:paraId="6388E4A6">
            <w:pPr>
              <w:pStyle w:val="48"/>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eastAsia="zh-CN"/>
              </w:rPr>
              <w:t>（</w:t>
            </w:r>
            <w:r>
              <w:rPr>
                <w:rFonts w:hint="eastAsia" w:cs="Times New Roman"/>
                <w:b/>
                <w:bCs/>
                <w:color w:val="auto"/>
                <w:sz w:val="24"/>
                <w:highlight w:val="none"/>
                <w:lang w:val="en-US" w:eastAsia="zh-CN"/>
              </w:rPr>
              <w:t>4</w:t>
            </w:r>
            <w:r>
              <w:rPr>
                <w:rFonts w:hint="eastAsia" w:cs="Times New Roman"/>
                <w:b/>
                <w:bCs/>
                <w:color w:val="auto"/>
                <w:sz w:val="24"/>
                <w:highlight w:val="none"/>
                <w:lang w:eastAsia="zh-CN"/>
              </w:rPr>
              <w:t>）</w:t>
            </w:r>
            <w:r>
              <w:rPr>
                <w:rFonts w:hint="default" w:ascii="Times New Roman" w:hAnsi="Times New Roman" w:eastAsia="宋体" w:cs="Times New Roman"/>
                <w:b/>
                <w:bCs/>
                <w:color w:val="auto"/>
                <w:sz w:val="24"/>
                <w:highlight w:val="none"/>
              </w:rPr>
              <w:t>监测要求</w:t>
            </w:r>
          </w:p>
          <w:p w14:paraId="786BD126">
            <w:pPr>
              <w:pStyle w:val="48"/>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《排污单位自行监测技术指南 总则》（HJ 819-2017）</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highlight w:val="none"/>
              </w:rPr>
              <w:t>监测要求详见下表。</w:t>
            </w:r>
          </w:p>
          <w:p w14:paraId="63D1B56E">
            <w:pPr>
              <w:pStyle w:val="48"/>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eastAsia" w:cs="Times New Roman"/>
                <w:b/>
                <w:bCs/>
                <w:color w:val="auto"/>
                <w:szCs w:val="21"/>
                <w:highlight w:val="none"/>
                <w:lang w:val="en-US" w:eastAsia="zh-CN"/>
              </w:rPr>
              <w:t>18</w:t>
            </w:r>
            <w:r>
              <w:rPr>
                <w:rFonts w:hint="default" w:ascii="Times New Roman" w:hAnsi="Times New Roman" w:eastAsia="宋体" w:cs="Times New Roman"/>
                <w:b/>
                <w:bCs/>
                <w:color w:val="auto"/>
                <w:szCs w:val="21"/>
                <w:highlight w:val="none"/>
              </w:rPr>
              <w:t xml:space="preserve">   噪声监测计划一览表</w:t>
            </w:r>
          </w:p>
          <w:tbl>
            <w:tblPr>
              <w:tblStyle w:val="26"/>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5"/>
              <w:gridCol w:w="1506"/>
              <w:gridCol w:w="1298"/>
              <w:gridCol w:w="2685"/>
            </w:tblGrid>
            <w:tr w14:paraId="1AAA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86" w:type="pct"/>
                  <w:vAlign w:val="center"/>
                </w:tcPr>
                <w:p w14:paraId="67C1226D">
                  <w:pPr>
                    <w:pStyle w:val="48"/>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908" w:type="pct"/>
                  <w:vAlign w:val="center"/>
                </w:tcPr>
                <w:p w14:paraId="603A10E9">
                  <w:pPr>
                    <w:pStyle w:val="48"/>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783" w:type="pct"/>
                  <w:vAlign w:val="center"/>
                </w:tcPr>
                <w:p w14:paraId="178FD4DD">
                  <w:pPr>
                    <w:pStyle w:val="48"/>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监测</w:t>
                  </w:r>
                  <w:r>
                    <w:rPr>
                      <w:rFonts w:hint="default" w:ascii="Times New Roman" w:hAnsi="Times New Roman" w:eastAsia="宋体" w:cs="Times New Roman"/>
                      <w:b/>
                      <w:bCs/>
                      <w:color w:val="auto"/>
                      <w:sz w:val="21"/>
                      <w:szCs w:val="21"/>
                      <w:highlight w:val="none"/>
                    </w:rPr>
                    <w:t>频次</w:t>
                  </w:r>
                </w:p>
              </w:tc>
              <w:tc>
                <w:tcPr>
                  <w:tcW w:w="1620" w:type="pct"/>
                  <w:vAlign w:val="center"/>
                </w:tcPr>
                <w:p w14:paraId="341D07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执行标准</w:t>
                  </w:r>
                </w:p>
              </w:tc>
            </w:tr>
            <w:tr w14:paraId="35B7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686" w:type="pct"/>
                  <w:vAlign w:val="center"/>
                </w:tcPr>
                <w:p w14:paraId="27012AF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沿项目区厂界东、南、西、</w:t>
                  </w:r>
                </w:p>
                <w:p w14:paraId="2F2F6D89">
                  <w:pPr>
                    <w:pStyle w:val="48"/>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北界外1m 处布点监测</w:t>
                  </w:r>
                </w:p>
              </w:tc>
              <w:tc>
                <w:tcPr>
                  <w:tcW w:w="908" w:type="pct"/>
                  <w:vAlign w:val="center"/>
                </w:tcPr>
                <w:p w14:paraId="373FE1F8">
                  <w:pPr>
                    <w:pStyle w:val="48"/>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等效声级Leq(dB (A))</w:t>
                  </w:r>
                </w:p>
              </w:tc>
              <w:tc>
                <w:tcPr>
                  <w:tcW w:w="783" w:type="pct"/>
                  <w:vAlign w:val="center"/>
                </w:tcPr>
                <w:p w14:paraId="0688716E">
                  <w:pPr>
                    <w:pStyle w:val="48"/>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1次/季度</w:t>
                  </w:r>
                </w:p>
              </w:tc>
              <w:tc>
                <w:tcPr>
                  <w:tcW w:w="1620" w:type="pct"/>
                  <w:vAlign w:val="center"/>
                </w:tcPr>
                <w:p w14:paraId="302839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《工业企业厂界环境噪声排放标准》（GB12348-2008）3类标准</w:t>
                  </w:r>
                </w:p>
              </w:tc>
            </w:tr>
          </w:tbl>
          <w:p w14:paraId="63DC25F1">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4、固体废弃物</w:t>
            </w:r>
          </w:p>
          <w:p w14:paraId="3341E770">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（1）固体废物核算</w:t>
            </w:r>
          </w:p>
          <w:p w14:paraId="462ABB4A">
            <w:pPr>
              <w:pStyle w:val="4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项目运营期产生的固体废物主要为一般</w:t>
            </w:r>
            <w:r>
              <w:rPr>
                <w:rFonts w:hint="eastAsia" w:cs="Times New Roman"/>
                <w:color w:val="auto"/>
                <w:kern w:val="0"/>
                <w:sz w:val="24"/>
                <w:szCs w:val="24"/>
                <w:highlight w:val="none"/>
                <w:lang w:val="en-US" w:eastAsia="zh-CN" w:bidi="ar"/>
              </w:rPr>
              <w:t>工业</w:t>
            </w:r>
            <w:r>
              <w:rPr>
                <w:rFonts w:hint="default" w:ascii="Times New Roman" w:hAnsi="Times New Roman" w:eastAsia="宋体" w:cs="Times New Roman"/>
                <w:color w:val="auto"/>
                <w:kern w:val="0"/>
                <w:sz w:val="24"/>
                <w:szCs w:val="24"/>
                <w:highlight w:val="none"/>
                <w:lang w:val="en-US" w:eastAsia="zh-CN" w:bidi="ar"/>
              </w:rPr>
              <w:t>固废</w:t>
            </w:r>
            <w:r>
              <w:rPr>
                <w:rFonts w:hint="eastAsia" w:cs="Times New Roman"/>
                <w:color w:val="auto"/>
                <w:kern w:val="0"/>
                <w:sz w:val="24"/>
                <w:szCs w:val="24"/>
                <w:highlight w:val="none"/>
                <w:lang w:val="en-US" w:eastAsia="zh-CN" w:bidi="ar"/>
              </w:rPr>
              <w:t>、生活固废</w:t>
            </w:r>
            <w:r>
              <w:rPr>
                <w:rFonts w:hint="default" w:ascii="Times New Roman" w:hAnsi="Times New Roman" w:eastAsia="宋体" w:cs="Times New Roman"/>
                <w:color w:val="auto"/>
                <w:kern w:val="0"/>
                <w:sz w:val="24"/>
                <w:szCs w:val="24"/>
                <w:highlight w:val="none"/>
                <w:lang w:val="en-US" w:eastAsia="zh-CN" w:bidi="ar"/>
              </w:rPr>
              <w:t>和危险</w:t>
            </w:r>
            <w:r>
              <w:rPr>
                <w:rFonts w:hint="eastAsia" w:cs="Times New Roman"/>
                <w:color w:val="auto"/>
                <w:kern w:val="0"/>
                <w:sz w:val="24"/>
                <w:szCs w:val="24"/>
                <w:highlight w:val="none"/>
                <w:lang w:val="en-US" w:eastAsia="zh-CN" w:bidi="ar"/>
              </w:rPr>
              <w:t>废物</w:t>
            </w:r>
            <w:r>
              <w:rPr>
                <w:rFonts w:hint="default" w:ascii="Times New Roman" w:hAnsi="Times New Roman" w:eastAsia="宋体" w:cs="Times New Roman"/>
                <w:color w:val="auto"/>
                <w:kern w:val="0"/>
                <w:sz w:val="24"/>
                <w:szCs w:val="24"/>
                <w:highlight w:val="none"/>
                <w:lang w:val="en-US" w:eastAsia="zh-CN" w:bidi="ar"/>
              </w:rPr>
              <w:t>。</w:t>
            </w:r>
          </w:p>
          <w:p w14:paraId="34D63C5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kern w:val="0"/>
                <w:sz w:val="24"/>
                <w:szCs w:val="24"/>
                <w:highlight w:val="none"/>
                <w:lang w:val="en-US" w:eastAsia="zh-CN" w:bidi="ar"/>
              </w:rPr>
              <w:t>1）一般</w:t>
            </w:r>
            <w:r>
              <w:rPr>
                <w:rFonts w:hint="eastAsia" w:cs="Times New Roman"/>
                <w:b w:val="0"/>
                <w:bCs/>
                <w:color w:val="auto"/>
                <w:kern w:val="0"/>
                <w:sz w:val="24"/>
                <w:szCs w:val="24"/>
                <w:highlight w:val="none"/>
                <w:lang w:val="en-US" w:eastAsia="zh-CN" w:bidi="ar"/>
              </w:rPr>
              <w:t>工业</w:t>
            </w:r>
            <w:r>
              <w:rPr>
                <w:rFonts w:hint="default" w:ascii="Times New Roman" w:hAnsi="Times New Roman" w:eastAsia="宋体" w:cs="Times New Roman"/>
                <w:b w:val="0"/>
                <w:bCs/>
                <w:color w:val="auto"/>
                <w:kern w:val="0"/>
                <w:sz w:val="24"/>
                <w:szCs w:val="24"/>
                <w:highlight w:val="none"/>
                <w:lang w:val="en-US" w:eastAsia="zh-CN" w:bidi="ar"/>
              </w:rPr>
              <w:t>固废</w:t>
            </w:r>
          </w:p>
          <w:p w14:paraId="62EA63EE">
            <w:pPr>
              <w:pStyle w:val="4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一般</w:t>
            </w:r>
            <w:r>
              <w:rPr>
                <w:rFonts w:hint="eastAsia" w:cs="Times New Roman"/>
                <w:color w:val="auto"/>
                <w:kern w:val="0"/>
                <w:sz w:val="24"/>
                <w:szCs w:val="24"/>
                <w:highlight w:val="none"/>
                <w:lang w:val="en-US" w:eastAsia="zh-CN" w:bidi="ar"/>
              </w:rPr>
              <w:t>工业</w:t>
            </w:r>
            <w:r>
              <w:rPr>
                <w:rFonts w:hint="default" w:ascii="Times New Roman" w:hAnsi="Times New Roman" w:eastAsia="宋体" w:cs="Times New Roman"/>
                <w:color w:val="auto"/>
                <w:kern w:val="0"/>
                <w:sz w:val="24"/>
                <w:szCs w:val="24"/>
                <w:highlight w:val="none"/>
                <w:lang w:val="en-US" w:eastAsia="zh-CN" w:bidi="ar"/>
              </w:rPr>
              <w:t>固废</w:t>
            </w:r>
            <w:r>
              <w:rPr>
                <w:rFonts w:hint="eastAsia" w:cs="Times New Roman"/>
                <w:color w:val="auto"/>
                <w:kern w:val="0"/>
                <w:sz w:val="24"/>
                <w:szCs w:val="24"/>
                <w:highlight w:val="none"/>
                <w:lang w:val="en-US" w:eastAsia="zh-CN" w:bidi="ar"/>
              </w:rPr>
              <w:t>包括废包装材料、废弃玻璃和边角料、</w:t>
            </w:r>
            <w:r>
              <w:rPr>
                <w:rFonts w:hint="eastAsia" w:ascii="Times New Roman" w:hAnsi="Times New Roman" w:eastAsia="宋体" w:cs="Times New Roman"/>
                <w:color w:val="auto"/>
                <w:kern w:val="0"/>
                <w:sz w:val="24"/>
                <w:szCs w:val="24"/>
                <w:highlight w:val="none"/>
                <w:lang w:val="en-US" w:eastAsia="zh-CN" w:bidi="ar"/>
              </w:rPr>
              <w:t>磨边废水沉淀池沉渣</w:t>
            </w:r>
            <w:r>
              <w:rPr>
                <w:rFonts w:hint="eastAsia" w:cs="Times New Roman"/>
                <w:color w:val="auto"/>
                <w:kern w:val="0"/>
                <w:sz w:val="24"/>
                <w:szCs w:val="24"/>
                <w:highlight w:val="none"/>
                <w:lang w:val="en-US" w:eastAsia="zh-CN" w:bidi="ar"/>
              </w:rPr>
              <w:t>（玻璃碎屑）、不合格品、废</w:t>
            </w:r>
            <w:r>
              <w:rPr>
                <w:rFonts w:hint="eastAsia" w:eastAsia="宋体" w:cs="Times New Roman"/>
                <w:color w:val="auto"/>
                <w:kern w:val="0"/>
                <w:sz w:val="24"/>
                <w:szCs w:val="24"/>
                <w:highlight w:val="none"/>
                <w:lang w:val="en-US" w:eastAsia="zh-CN" w:bidi="ar"/>
              </w:rPr>
              <w:t>原辅料包装袋</w:t>
            </w:r>
            <w:r>
              <w:rPr>
                <w:rFonts w:hint="eastAsia" w:cs="Times New Roman"/>
                <w:color w:val="auto"/>
                <w:kern w:val="0"/>
                <w:sz w:val="24"/>
                <w:szCs w:val="24"/>
                <w:highlight w:val="none"/>
                <w:lang w:val="en-US" w:eastAsia="zh-CN" w:bidi="ar"/>
              </w:rPr>
              <w:t>。</w:t>
            </w:r>
          </w:p>
          <w:p w14:paraId="304B985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eastAsia" w:cs="Times New Roman"/>
                <w:b w:val="0"/>
                <w:bCs/>
                <w:color w:val="auto"/>
                <w:kern w:val="0"/>
                <w:sz w:val="24"/>
                <w:szCs w:val="24"/>
                <w:highlight w:val="none"/>
                <w:lang w:val="en-US" w:eastAsia="zh-CN" w:bidi="ar"/>
              </w:rPr>
              <w:t>①</w:t>
            </w:r>
            <w:r>
              <w:rPr>
                <w:rFonts w:hint="eastAsia" w:cs="Times New Roman"/>
                <w:color w:val="auto"/>
                <w:kern w:val="0"/>
                <w:sz w:val="24"/>
                <w:szCs w:val="24"/>
                <w:highlight w:val="none"/>
                <w:lang w:val="en-US" w:eastAsia="zh-CN" w:bidi="ar"/>
              </w:rPr>
              <w:t>废包装材料</w:t>
            </w:r>
          </w:p>
          <w:p w14:paraId="336FF23A">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项目在</w:t>
            </w:r>
            <w:r>
              <w:rPr>
                <w:rFonts w:hint="eastAsia" w:ascii="Times New Roman" w:hAnsi="Times New Roman" w:cs="Times New Roman"/>
                <w:b w:val="0"/>
                <w:bCs/>
                <w:color w:val="auto"/>
                <w:sz w:val="24"/>
                <w:szCs w:val="24"/>
                <w:highlight w:val="none"/>
                <w:lang w:val="en-US" w:eastAsia="zh-CN"/>
              </w:rPr>
              <w:t>玻璃</w:t>
            </w:r>
            <w:r>
              <w:rPr>
                <w:rFonts w:hint="default" w:ascii="Times New Roman" w:hAnsi="Times New Roman" w:eastAsia="宋体" w:cs="Times New Roman"/>
                <w:b w:val="0"/>
                <w:bCs/>
                <w:color w:val="auto"/>
                <w:sz w:val="24"/>
                <w:szCs w:val="24"/>
                <w:highlight w:val="none"/>
                <w:lang w:val="en-US" w:eastAsia="zh-CN"/>
              </w:rPr>
              <w:t>包装过程中，会产生少量的废弃包装材料，</w:t>
            </w:r>
            <w:r>
              <w:rPr>
                <w:rFonts w:hint="default" w:ascii="Times New Roman" w:hAnsi="Times New Roman" w:eastAsia="宋体" w:cs="Times New Roman"/>
                <w:b w:val="0"/>
                <w:bCs/>
                <w:color w:val="auto"/>
                <w:kern w:val="0"/>
                <w:sz w:val="24"/>
                <w:szCs w:val="24"/>
                <w:highlight w:val="none"/>
                <w:lang w:val="en-US" w:eastAsia="zh-CN" w:bidi="ar"/>
              </w:rPr>
              <w:t>根据业主提供资料，</w:t>
            </w:r>
            <w:r>
              <w:rPr>
                <w:rFonts w:hint="eastAsia" w:ascii="Times New Roman" w:hAnsi="Times New Roman" w:eastAsia="宋体" w:cs="Times New Roman"/>
                <w:b w:val="0"/>
                <w:bCs/>
                <w:color w:val="auto"/>
                <w:sz w:val="24"/>
                <w:szCs w:val="24"/>
                <w:highlight w:val="none"/>
                <w:lang w:val="en-US" w:eastAsia="zh-CN"/>
              </w:rPr>
              <w:t>产生量</w:t>
            </w:r>
            <w:r>
              <w:rPr>
                <w:rFonts w:hint="default" w:ascii="Times New Roman" w:hAnsi="Times New Roman" w:eastAsia="宋体" w:cs="Times New Roman"/>
                <w:b w:val="0"/>
                <w:bCs/>
                <w:color w:val="auto"/>
                <w:sz w:val="24"/>
                <w:szCs w:val="24"/>
                <w:highlight w:val="none"/>
                <w:lang w:val="en-US" w:eastAsia="zh-CN"/>
              </w:rPr>
              <w:t>约</w:t>
            </w:r>
            <w:r>
              <w:rPr>
                <w:rFonts w:hint="eastAsia" w:ascii="Times New Roman" w:hAnsi="Times New Roman" w:eastAsia="宋体" w:cs="Times New Roman"/>
                <w:b w:val="0"/>
                <w:bCs/>
                <w:color w:val="auto"/>
                <w:sz w:val="24"/>
                <w:szCs w:val="24"/>
                <w:highlight w:val="none"/>
                <w:lang w:val="en-US" w:eastAsia="zh-CN"/>
              </w:rPr>
              <w:t>为</w:t>
            </w:r>
            <w:r>
              <w:rPr>
                <w:rFonts w:hint="eastAsia" w:ascii="Times New Roman" w:hAnsi="Times New Roman" w:cs="Times New Roman"/>
                <w:b w:val="0"/>
                <w:bCs/>
                <w:color w:val="auto"/>
                <w:sz w:val="24"/>
                <w:szCs w:val="24"/>
                <w:highlight w:val="none"/>
                <w:lang w:val="en-US" w:eastAsia="zh-CN"/>
              </w:rPr>
              <w:t>0.5</w:t>
            </w:r>
            <w:r>
              <w:rPr>
                <w:rFonts w:hint="default" w:ascii="Times New Roman" w:hAnsi="Times New Roman" w:eastAsia="宋体" w:cs="Times New Roman"/>
                <w:b w:val="0"/>
                <w:bCs/>
                <w:color w:val="auto"/>
                <w:sz w:val="24"/>
                <w:szCs w:val="24"/>
                <w:highlight w:val="none"/>
                <w:lang w:val="en-US" w:eastAsia="zh-CN"/>
              </w:rPr>
              <w:t>t/a，收集后暂存于一般固废暂存处，定期外售废品收购站。</w:t>
            </w:r>
          </w:p>
          <w:p w14:paraId="532299C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auto"/>
                <w:kern w:val="0"/>
                <w:sz w:val="24"/>
                <w:szCs w:val="24"/>
                <w:highlight w:val="none"/>
                <w:lang w:val="en-US" w:eastAsia="zh-CN" w:bidi="ar"/>
              </w:rPr>
            </w:pPr>
            <w:r>
              <w:rPr>
                <w:rFonts w:hint="eastAsia" w:cs="Times New Roman"/>
                <w:b w:val="0"/>
                <w:bCs/>
                <w:color w:val="auto"/>
                <w:kern w:val="0"/>
                <w:sz w:val="24"/>
                <w:szCs w:val="24"/>
                <w:highlight w:val="none"/>
                <w:lang w:val="en-US" w:eastAsia="zh-CN" w:bidi="ar"/>
              </w:rPr>
              <w:t>②</w:t>
            </w:r>
            <w:r>
              <w:rPr>
                <w:rFonts w:hint="eastAsia" w:ascii="Times New Roman" w:hAnsi="Times New Roman" w:eastAsia="宋体" w:cs="Times New Roman"/>
                <w:b w:val="0"/>
                <w:bCs/>
                <w:color w:val="auto"/>
                <w:kern w:val="0"/>
                <w:sz w:val="24"/>
                <w:szCs w:val="24"/>
                <w:highlight w:val="none"/>
                <w:lang w:val="en-US" w:eastAsia="zh-CN" w:bidi="ar"/>
              </w:rPr>
              <w:t>废弃玻璃和边角料</w:t>
            </w:r>
          </w:p>
          <w:p w14:paraId="4A2B856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eastAsia="宋体" w:cs="Times New Roman"/>
                <w:b w:val="0"/>
                <w:bCs/>
                <w:color w:val="auto"/>
                <w:kern w:val="0"/>
                <w:sz w:val="24"/>
                <w:szCs w:val="24"/>
                <w:highlight w:val="none"/>
                <w:lang w:val="en-US" w:eastAsia="zh-CN" w:bidi="ar"/>
              </w:rPr>
              <w:t>玻璃原片在进行切割过程会产生废弃玻璃和边角料，</w:t>
            </w:r>
            <w:r>
              <w:rPr>
                <w:rFonts w:hint="default" w:ascii="Times New Roman" w:hAnsi="Times New Roman" w:eastAsia="宋体" w:cs="Times New Roman"/>
                <w:b w:val="0"/>
                <w:bCs/>
                <w:color w:val="auto"/>
                <w:kern w:val="0"/>
                <w:sz w:val="24"/>
                <w:szCs w:val="24"/>
                <w:highlight w:val="none"/>
                <w:lang w:val="en-US" w:eastAsia="zh-CN" w:bidi="ar"/>
              </w:rPr>
              <w:t>根据业主提供资料，切割过程产生的边角料等损耗的玻璃约为玻璃原料的3%。</w:t>
            </w:r>
            <w:r>
              <w:rPr>
                <w:rFonts w:hint="eastAsia" w:cs="Times New Roman"/>
                <w:b w:val="0"/>
                <w:bCs/>
                <w:color w:val="auto"/>
                <w:kern w:val="0"/>
                <w:sz w:val="24"/>
                <w:szCs w:val="24"/>
                <w:highlight w:val="none"/>
                <w:lang w:val="en-US" w:eastAsia="zh-CN" w:bidi="ar"/>
              </w:rPr>
              <w:t>本项目共使用玻璃原片22.05万m</w:t>
            </w:r>
            <w:r>
              <w:rPr>
                <w:rFonts w:hint="eastAsia" w:cs="Times New Roman"/>
                <w:b w:val="0"/>
                <w:bCs/>
                <w:color w:val="auto"/>
                <w:kern w:val="0"/>
                <w:sz w:val="24"/>
                <w:szCs w:val="24"/>
                <w:highlight w:val="none"/>
                <w:vertAlign w:val="superscript"/>
                <w:lang w:val="en-US" w:eastAsia="zh-CN" w:bidi="ar"/>
              </w:rPr>
              <w:t>2</w:t>
            </w:r>
            <w:r>
              <w:rPr>
                <w:rFonts w:hint="eastAsia" w:cs="Times New Roman"/>
                <w:b w:val="0"/>
                <w:bCs/>
                <w:color w:val="auto"/>
                <w:kern w:val="0"/>
                <w:sz w:val="24"/>
                <w:szCs w:val="24"/>
                <w:highlight w:val="none"/>
                <w:lang w:val="en-US" w:eastAsia="zh-CN" w:bidi="ar"/>
              </w:rPr>
              <w:t>，</w:t>
            </w:r>
            <w:r>
              <w:rPr>
                <w:rFonts w:hint="default" w:ascii="Times New Roman" w:hAnsi="Times New Roman" w:eastAsia="宋体" w:cs="Times New Roman"/>
                <w:b w:val="0"/>
                <w:bCs/>
                <w:color w:val="auto"/>
                <w:kern w:val="0"/>
                <w:sz w:val="24"/>
                <w:szCs w:val="24"/>
                <w:highlight w:val="none"/>
                <w:lang w:val="en-US" w:eastAsia="zh-CN" w:bidi="ar"/>
              </w:rPr>
              <w:t>1m</w:t>
            </w:r>
            <w:r>
              <w:rPr>
                <w:rFonts w:hint="default" w:ascii="Times New Roman" w:hAnsi="Times New Roman" w:eastAsia="宋体" w:cs="Times New Roman"/>
                <w:b w:val="0"/>
                <w:bCs/>
                <w:color w:val="auto"/>
                <w:kern w:val="0"/>
                <w:sz w:val="24"/>
                <w:szCs w:val="24"/>
                <w:highlight w:val="none"/>
                <w:vertAlign w:val="superscript"/>
                <w:lang w:val="en-US" w:eastAsia="zh-CN" w:bidi="ar"/>
              </w:rPr>
              <w:t>2</w:t>
            </w:r>
            <w:r>
              <w:rPr>
                <w:rFonts w:hint="default" w:ascii="Times New Roman" w:hAnsi="Times New Roman" w:eastAsia="宋体" w:cs="Times New Roman"/>
                <w:b w:val="0"/>
                <w:bCs/>
                <w:color w:val="auto"/>
                <w:kern w:val="0"/>
                <w:sz w:val="24"/>
                <w:szCs w:val="24"/>
                <w:highlight w:val="none"/>
                <w:lang w:val="en-US" w:eastAsia="zh-CN" w:bidi="ar"/>
              </w:rPr>
              <w:t>原片玻璃质量为12.5kg，则项目运营期产生的废弃玻璃和边角料量为</w:t>
            </w:r>
            <w:r>
              <w:rPr>
                <w:rFonts w:hint="eastAsia" w:cs="Times New Roman"/>
                <w:b w:val="0"/>
                <w:bCs/>
                <w:color w:val="auto"/>
                <w:kern w:val="0"/>
                <w:sz w:val="24"/>
                <w:szCs w:val="24"/>
                <w:highlight w:val="none"/>
                <w:lang w:val="en-US" w:eastAsia="zh-CN" w:bidi="ar"/>
              </w:rPr>
              <w:t>82.69</w:t>
            </w:r>
            <w:r>
              <w:rPr>
                <w:rFonts w:hint="default" w:ascii="Times New Roman" w:hAnsi="Times New Roman" w:eastAsia="宋体" w:cs="Times New Roman"/>
                <w:b w:val="0"/>
                <w:bCs/>
                <w:color w:val="auto"/>
                <w:kern w:val="0"/>
                <w:sz w:val="24"/>
                <w:szCs w:val="24"/>
                <w:highlight w:val="none"/>
                <w:lang w:val="en-US" w:eastAsia="zh-CN" w:bidi="ar"/>
              </w:rPr>
              <w:t>t/a，项目产生的废弃玻璃和边角料，经碎玻璃收集箱收集后全部暂存于一般固废暂存处，后定期出售给废玻璃回收商。</w:t>
            </w:r>
          </w:p>
          <w:p w14:paraId="6851494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val="en-US" w:eastAsia="zh-CN" w:bidi="ar"/>
              </w:rPr>
              <w:t>磨边废水沉淀池沉渣</w:t>
            </w:r>
            <w:r>
              <w:rPr>
                <w:rFonts w:hint="eastAsia" w:cs="Times New Roman"/>
                <w:color w:val="auto"/>
                <w:kern w:val="0"/>
                <w:sz w:val="24"/>
                <w:szCs w:val="24"/>
                <w:highlight w:val="none"/>
                <w:lang w:val="en-US" w:eastAsia="zh-CN" w:bidi="ar"/>
              </w:rPr>
              <w:t>（玻璃碎屑）</w:t>
            </w:r>
          </w:p>
          <w:p w14:paraId="5E09585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因项目磨边</w:t>
            </w:r>
            <w:r>
              <w:rPr>
                <w:rFonts w:hint="eastAsia" w:cs="Times New Roman"/>
                <w:color w:val="auto"/>
                <w:kern w:val="0"/>
                <w:sz w:val="24"/>
                <w:szCs w:val="24"/>
                <w:highlight w:val="none"/>
                <w:lang w:val="en-US" w:eastAsia="zh-CN" w:bidi="ar"/>
              </w:rPr>
              <w:t>清洗</w:t>
            </w:r>
            <w:r>
              <w:rPr>
                <w:rFonts w:hint="eastAsia" w:ascii="Times New Roman" w:hAnsi="Times New Roman" w:eastAsia="宋体" w:cs="Times New Roman"/>
                <w:color w:val="auto"/>
                <w:kern w:val="0"/>
                <w:sz w:val="24"/>
                <w:szCs w:val="24"/>
                <w:highlight w:val="none"/>
                <w:lang w:val="en-US" w:eastAsia="zh-CN" w:bidi="ar"/>
              </w:rPr>
              <w:t>过程使用沉淀池对磨边废水进行沉淀，该过程会在沉淀池中产生一定量的磨边废水沉淀池沉渣，该沉渣主要成分为玻璃碎屑，根据业主提供资料，项目磨边</w:t>
            </w:r>
            <w:r>
              <w:rPr>
                <w:rFonts w:hint="eastAsia" w:cs="Times New Roman"/>
                <w:color w:val="auto"/>
                <w:kern w:val="0"/>
                <w:sz w:val="24"/>
                <w:szCs w:val="24"/>
                <w:highlight w:val="none"/>
                <w:lang w:val="en-US" w:eastAsia="zh-CN" w:bidi="ar"/>
              </w:rPr>
              <w:t>清洗</w:t>
            </w:r>
            <w:r>
              <w:rPr>
                <w:rFonts w:hint="eastAsia" w:ascii="Times New Roman" w:hAnsi="Times New Roman" w:eastAsia="宋体" w:cs="Times New Roman"/>
                <w:color w:val="auto"/>
                <w:kern w:val="0"/>
                <w:sz w:val="24"/>
                <w:szCs w:val="24"/>
                <w:highlight w:val="none"/>
                <w:lang w:val="en-US" w:eastAsia="zh-CN" w:bidi="ar"/>
              </w:rPr>
              <w:t>废水沉淀池产生的玻璃沉渣约为玻璃原料的1%</w:t>
            </w:r>
            <w:r>
              <w:rPr>
                <w:rFonts w:hint="eastAsia" w:cs="Times New Roman"/>
                <w:color w:val="auto"/>
                <w:kern w:val="0"/>
                <w:sz w:val="24"/>
                <w:szCs w:val="24"/>
                <w:highlight w:val="none"/>
                <w:lang w:val="en-US" w:eastAsia="zh-CN" w:bidi="ar"/>
              </w:rPr>
              <w:t>。</w:t>
            </w:r>
            <w:r>
              <w:rPr>
                <w:rFonts w:hint="eastAsia" w:cs="Times New Roman"/>
                <w:b w:val="0"/>
                <w:bCs/>
                <w:color w:val="auto"/>
                <w:kern w:val="0"/>
                <w:sz w:val="24"/>
                <w:szCs w:val="24"/>
                <w:highlight w:val="none"/>
                <w:lang w:val="en-US" w:eastAsia="zh-CN" w:bidi="ar"/>
              </w:rPr>
              <w:t>本项目共使用玻璃原片22.05万m</w:t>
            </w:r>
            <w:r>
              <w:rPr>
                <w:rFonts w:hint="eastAsia" w:cs="Times New Roman"/>
                <w:b w:val="0"/>
                <w:bCs/>
                <w:color w:val="auto"/>
                <w:kern w:val="0"/>
                <w:sz w:val="24"/>
                <w:szCs w:val="24"/>
                <w:highlight w:val="none"/>
                <w:vertAlign w:val="superscript"/>
                <w:lang w:val="en-US" w:eastAsia="zh-CN" w:bidi="ar"/>
              </w:rPr>
              <w:t>2</w:t>
            </w:r>
            <w:r>
              <w:rPr>
                <w:rFonts w:hint="default" w:ascii="Times New Roman" w:hAnsi="Times New Roman" w:eastAsia="宋体" w:cs="Times New Roman"/>
                <w:b w:val="0"/>
                <w:bCs/>
                <w:color w:val="auto"/>
                <w:kern w:val="0"/>
                <w:sz w:val="24"/>
                <w:szCs w:val="24"/>
                <w:highlight w:val="none"/>
                <w:lang w:val="en-US" w:eastAsia="zh-CN" w:bidi="ar"/>
              </w:rPr>
              <w:t>，1m</w:t>
            </w:r>
            <w:r>
              <w:rPr>
                <w:rFonts w:hint="default" w:ascii="Times New Roman" w:hAnsi="Times New Roman" w:eastAsia="宋体" w:cs="Times New Roman"/>
                <w:b w:val="0"/>
                <w:bCs/>
                <w:color w:val="auto"/>
                <w:kern w:val="0"/>
                <w:sz w:val="24"/>
                <w:szCs w:val="24"/>
                <w:highlight w:val="none"/>
                <w:vertAlign w:val="superscript"/>
                <w:lang w:val="en-US" w:eastAsia="zh-CN" w:bidi="ar"/>
              </w:rPr>
              <w:t>2</w:t>
            </w:r>
            <w:r>
              <w:rPr>
                <w:rFonts w:hint="default" w:ascii="Times New Roman" w:hAnsi="Times New Roman" w:eastAsia="宋体" w:cs="Times New Roman"/>
                <w:b w:val="0"/>
                <w:bCs/>
                <w:color w:val="auto"/>
                <w:kern w:val="0"/>
                <w:sz w:val="24"/>
                <w:szCs w:val="24"/>
                <w:highlight w:val="none"/>
                <w:lang w:val="en-US" w:eastAsia="zh-CN" w:bidi="ar"/>
              </w:rPr>
              <w:t>原片玻璃质量为12.5kg，</w:t>
            </w:r>
            <w:r>
              <w:rPr>
                <w:rFonts w:hint="eastAsia" w:ascii="Times New Roman" w:hAnsi="Times New Roman" w:eastAsia="宋体" w:cs="Times New Roman"/>
                <w:color w:val="auto"/>
                <w:kern w:val="0"/>
                <w:sz w:val="24"/>
                <w:szCs w:val="24"/>
                <w:highlight w:val="none"/>
                <w:lang w:val="en-US" w:eastAsia="zh-CN" w:bidi="ar"/>
              </w:rPr>
              <w:t>则项目运营期产生的玻璃沉渣为</w:t>
            </w:r>
            <w:r>
              <w:rPr>
                <w:rFonts w:hint="eastAsia" w:cs="Times New Roman"/>
                <w:color w:val="auto"/>
                <w:kern w:val="0"/>
                <w:sz w:val="24"/>
                <w:szCs w:val="24"/>
                <w:highlight w:val="none"/>
                <w:lang w:val="en-US" w:eastAsia="zh-CN" w:bidi="ar"/>
              </w:rPr>
              <w:t>27.56t</w:t>
            </w:r>
            <w:r>
              <w:rPr>
                <w:rFonts w:hint="eastAsia" w:ascii="Times New Roman" w:hAnsi="Times New Roman" w:eastAsia="宋体" w:cs="Times New Roman"/>
                <w:color w:val="auto"/>
                <w:kern w:val="0"/>
                <w:sz w:val="24"/>
                <w:szCs w:val="24"/>
                <w:highlight w:val="none"/>
                <w:lang w:val="en-US" w:eastAsia="zh-CN" w:bidi="ar"/>
              </w:rPr>
              <w:t>/a，项目产生的玻璃沉渣定期打捞，</w:t>
            </w:r>
            <w:r>
              <w:rPr>
                <w:rFonts w:hint="default" w:ascii="Times New Roman" w:hAnsi="Times New Roman" w:eastAsia="宋体" w:cs="Times New Roman"/>
                <w:b w:val="0"/>
                <w:bCs/>
                <w:color w:val="auto"/>
                <w:kern w:val="0"/>
                <w:sz w:val="24"/>
                <w:szCs w:val="24"/>
                <w:highlight w:val="none"/>
                <w:lang w:val="en-US" w:eastAsia="zh-CN" w:bidi="ar"/>
              </w:rPr>
              <w:t>经碎玻璃收集箱收集后暂存于一般固废暂存处，后定期</w:t>
            </w:r>
            <w:r>
              <w:rPr>
                <w:rFonts w:hint="eastAsia" w:ascii="Times New Roman" w:hAnsi="Times New Roman" w:eastAsia="宋体" w:cs="宋体"/>
                <w:color w:val="auto"/>
                <w:kern w:val="2"/>
                <w:sz w:val="24"/>
                <w:szCs w:val="24"/>
                <w:highlight w:val="none"/>
                <w:lang w:val="en-US" w:eastAsia="zh-CN" w:bidi="ar"/>
              </w:rPr>
              <w:t>外售废品收购站。</w:t>
            </w:r>
          </w:p>
          <w:p w14:paraId="23762B7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④</w:t>
            </w:r>
            <w:r>
              <w:rPr>
                <w:rFonts w:hint="eastAsia" w:ascii="Times New Roman" w:hAnsi="Times New Roman" w:eastAsia="宋体" w:cs="Times New Roman"/>
                <w:color w:val="auto"/>
                <w:kern w:val="0"/>
                <w:sz w:val="24"/>
                <w:szCs w:val="24"/>
                <w:highlight w:val="none"/>
                <w:lang w:val="en-US" w:eastAsia="zh-CN" w:bidi="ar"/>
              </w:rPr>
              <w:t>不合格品</w:t>
            </w:r>
          </w:p>
          <w:p w14:paraId="45A47E8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玻璃在进行灯检过程中会产生不合格品，</w:t>
            </w:r>
            <w:r>
              <w:rPr>
                <w:rFonts w:hint="default" w:ascii="Times New Roman" w:hAnsi="Times New Roman" w:eastAsia="宋体" w:cs="Times New Roman"/>
                <w:b w:val="0"/>
                <w:bCs/>
                <w:color w:val="auto"/>
                <w:kern w:val="0"/>
                <w:sz w:val="24"/>
                <w:szCs w:val="24"/>
                <w:highlight w:val="none"/>
                <w:lang w:val="en-US" w:eastAsia="zh-CN" w:bidi="ar"/>
              </w:rPr>
              <w:t>根据业主提供资料，</w:t>
            </w:r>
            <w:r>
              <w:rPr>
                <w:rFonts w:hint="eastAsia" w:ascii="Times New Roman" w:hAnsi="Times New Roman" w:cs="Times New Roman"/>
                <w:b w:val="0"/>
                <w:bCs/>
                <w:color w:val="auto"/>
                <w:kern w:val="0"/>
                <w:sz w:val="24"/>
                <w:szCs w:val="24"/>
                <w:highlight w:val="none"/>
                <w:lang w:val="en-US" w:eastAsia="zh-CN" w:bidi="ar"/>
              </w:rPr>
              <w:t>灯检</w:t>
            </w:r>
            <w:r>
              <w:rPr>
                <w:rFonts w:hint="default" w:ascii="Times New Roman" w:hAnsi="Times New Roman" w:eastAsia="宋体" w:cs="Times New Roman"/>
                <w:b w:val="0"/>
                <w:bCs/>
                <w:color w:val="auto"/>
                <w:kern w:val="0"/>
                <w:sz w:val="24"/>
                <w:szCs w:val="24"/>
                <w:highlight w:val="none"/>
                <w:lang w:val="en-US" w:eastAsia="zh-CN" w:bidi="ar"/>
              </w:rPr>
              <w:t>过程产生的</w:t>
            </w:r>
            <w:r>
              <w:rPr>
                <w:rFonts w:hint="eastAsia" w:ascii="Times New Roman" w:hAnsi="Times New Roman" w:cs="Times New Roman"/>
                <w:b w:val="0"/>
                <w:bCs/>
                <w:color w:val="auto"/>
                <w:kern w:val="0"/>
                <w:sz w:val="24"/>
                <w:szCs w:val="24"/>
                <w:highlight w:val="none"/>
                <w:lang w:val="en-US" w:eastAsia="zh-CN" w:bidi="ar"/>
              </w:rPr>
              <w:t>不合格品</w:t>
            </w:r>
            <w:r>
              <w:rPr>
                <w:rFonts w:hint="default" w:ascii="Times New Roman" w:hAnsi="Times New Roman" w:eastAsia="宋体" w:cs="Times New Roman"/>
                <w:b w:val="0"/>
                <w:bCs/>
                <w:color w:val="auto"/>
                <w:kern w:val="0"/>
                <w:sz w:val="24"/>
                <w:szCs w:val="24"/>
                <w:highlight w:val="none"/>
                <w:lang w:val="en-US" w:eastAsia="zh-CN" w:bidi="ar"/>
              </w:rPr>
              <w:t>约为玻璃原料的</w:t>
            </w:r>
            <w:r>
              <w:rPr>
                <w:rFonts w:hint="eastAsia" w:ascii="Times New Roman" w:hAnsi="Times New Roman" w:cs="Times New Roman"/>
                <w:b w:val="0"/>
                <w:bCs/>
                <w:color w:val="auto"/>
                <w:kern w:val="0"/>
                <w:sz w:val="24"/>
                <w:szCs w:val="24"/>
                <w:highlight w:val="none"/>
                <w:lang w:val="en-US" w:eastAsia="zh-CN" w:bidi="ar"/>
              </w:rPr>
              <w:t>1</w:t>
            </w:r>
            <w:r>
              <w:rPr>
                <w:rFonts w:hint="default" w:ascii="Times New Roman" w:hAnsi="Times New Roman" w:eastAsia="宋体" w:cs="Times New Roman"/>
                <w:b w:val="0"/>
                <w:bCs/>
                <w:color w:val="auto"/>
                <w:kern w:val="0"/>
                <w:sz w:val="24"/>
                <w:szCs w:val="24"/>
                <w:highlight w:val="none"/>
                <w:lang w:val="en-US" w:eastAsia="zh-CN" w:bidi="ar"/>
              </w:rPr>
              <w:t>%。</w:t>
            </w:r>
            <w:r>
              <w:rPr>
                <w:rFonts w:hint="eastAsia" w:cs="Times New Roman"/>
                <w:b w:val="0"/>
                <w:bCs/>
                <w:color w:val="auto"/>
                <w:kern w:val="0"/>
                <w:sz w:val="24"/>
                <w:szCs w:val="24"/>
                <w:highlight w:val="none"/>
                <w:lang w:val="en-US" w:eastAsia="zh-CN" w:bidi="ar"/>
              </w:rPr>
              <w:t>本项目共使用玻璃原片22.05万m</w:t>
            </w:r>
            <w:r>
              <w:rPr>
                <w:rFonts w:hint="eastAsia" w:cs="Times New Roman"/>
                <w:b w:val="0"/>
                <w:bCs/>
                <w:color w:val="auto"/>
                <w:kern w:val="0"/>
                <w:sz w:val="24"/>
                <w:szCs w:val="24"/>
                <w:highlight w:val="none"/>
                <w:vertAlign w:val="superscript"/>
                <w:lang w:val="en-US" w:eastAsia="zh-CN" w:bidi="ar"/>
              </w:rPr>
              <w:t>2</w:t>
            </w:r>
            <w:r>
              <w:rPr>
                <w:rFonts w:hint="default" w:ascii="Times New Roman" w:hAnsi="Times New Roman" w:eastAsia="宋体" w:cs="Times New Roman"/>
                <w:b w:val="0"/>
                <w:bCs/>
                <w:color w:val="auto"/>
                <w:kern w:val="0"/>
                <w:sz w:val="24"/>
                <w:szCs w:val="24"/>
                <w:highlight w:val="none"/>
                <w:lang w:val="en-US" w:eastAsia="zh-CN" w:bidi="ar"/>
              </w:rPr>
              <w:t>，1m</w:t>
            </w:r>
            <w:r>
              <w:rPr>
                <w:rFonts w:hint="default" w:ascii="Times New Roman" w:hAnsi="Times New Roman" w:eastAsia="宋体" w:cs="Times New Roman"/>
                <w:b w:val="0"/>
                <w:bCs/>
                <w:color w:val="auto"/>
                <w:kern w:val="0"/>
                <w:sz w:val="24"/>
                <w:szCs w:val="24"/>
                <w:highlight w:val="none"/>
                <w:vertAlign w:val="superscript"/>
                <w:lang w:val="en-US" w:eastAsia="zh-CN" w:bidi="ar"/>
              </w:rPr>
              <w:t>2</w:t>
            </w:r>
            <w:r>
              <w:rPr>
                <w:rFonts w:hint="default" w:ascii="Times New Roman" w:hAnsi="Times New Roman" w:eastAsia="宋体" w:cs="Times New Roman"/>
                <w:b w:val="0"/>
                <w:bCs/>
                <w:color w:val="auto"/>
                <w:kern w:val="0"/>
                <w:sz w:val="24"/>
                <w:szCs w:val="24"/>
                <w:highlight w:val="none"/>
                <w:lang w:val="en-US" w:eastAsia="zh-CN" w:bidi="ar"/>
              </w:rPr>
              <w:t>原片玻璃质量为12.5kg，</w:t>
            </w:r>
            <w:r>
              <w:rPr>
                <w:rFonts w:hint="eastAsia" w:ascii="Times New Roman" w:hAnsi="Times New Roman" w:eastAsia="宋体" w:cs="Times New Roman"/>
                <w:color w:val="auto"/>
                <w:kern w:val="0"/>
                <w:sz w:val="24"/>
                <w:szCs w:val="24"/>
                <w:highlight w:val="none"/>
                <w:lang w:val="en-US" w:eastAsia="zh-CN" w:bidi="ar"/>
              </w:rPr>
              <w:t>则项目运营期产生的</w:t>
            </w:r>
            <w:r>
              <w:rPr>
                <w:rFonts w:hint="eastAsia" w:ascii="Times New Roman" w:hAnsi="Times New Roman" w:cs="Times New Roman"/>
                <w:color w:val="auto"/>
                <w:kern w:val="0"/>
                <w:sz w:val="24"/>
                <w:szCs w:val="24"/>
                <w:highlight w:val="none"/>
                <w:lang w:val="en-US" w:eastAsia="zh-CN" w:bidi="ar"/>
              </w:rPr>
              <w:t>不合格品约</w:t>
            </w:r>
            <w:r>
              <w:rPr>
                <w:rFonts w:hint="eastAsia" w:ascii="Times New Roman" w:hAnsi="Times New Roman" w:eastAsia="宋体" w:cs="Times New Roman"/>
                <w:color w:val="auto"/>
                <w:kern w:val="0"/>
                <w:sz w:val="24"/>
                <w:szCs w:val="24"/>
                <w:highlight w:val="none"/>
                <w:lang w:val="en-US" w:eastAsia="zh-CN" w:bidi="ar"/>
              </w:rPr>
              <w:t>为</w:t>
            </w:r>
            <w:r>
              <w:rPr>
                <w:rFonts w:hint="eastAsia" w:cs="Times New Roman"/>
                <w:color w:val="auto"/>
                <w:kern w:val="0"/>
                <w:sz w:val="24"/>
                <w:szCs w:val="24"/>
                <w:highlight w:val="none"/>
                <w:lang w:val="en-US" w:eastAsia="zh-CN" w:bidi="ar"/>
              </w:rPr>
              <w:t>27.56t</w:t>
            </w:r>
            <w:r>
              <w:rPr>
                <w:rFonts w:hint="eastAsia" w:ascii="Times New Roman" w:hAnsi="Times New Roman" w:eastAsia="宋体" w:cs="Times New Roman"/>
                <w:color w:val="auto"/>
                <w:kern w:val="0"/>
                <w:sz w:val="24"/>
                <w:szCs w:val="24"/>
                <w:highlight w:val="none"/>
                <w:lang w:val="en-US" w:eastAsia="zh-CN" w:bidi="ar"/>
              </w:rPr>
              <w:t>/a，项目产生的</w:t>
            </w:r>
            <w:r>
              <w:rPr>
                <w:rFonts w:hint="eastAsia" w:ascii="Times New Roman" w:hAnsi="Times New Roman" w:cs="Times New Roman"/>
                <w:color w:val="auto"/>
                <w:kern w:val="0"/>
                <w:sz w:val="24"/>
                <w:szCs w:val="24"/>
                <w:highlight w:val="none"/>
                <w:lang w:val="en-US" w:eastAsia="zh-CN" w:bidi="ar"/>
              </w:rPr>
              <w:t>不合格品</w:t>
            </w:r>
            <w:r>
              <w:rPr>
                <w:rFonts w:hint="default" w:ascii="Times New Roman" w:hAnsi="Times New Roman" w:eastAsia="宋体" w:cs="Times New Roman"/>
                <w:b w:val="0"/>
                <w:bCs/>
                <w:color w:val="auto"/>
                <w:kern w:val="0"/>
                <w:sz w:val="24"/>
                <w:szCs w:val="24"/>
                <w:highlight w:val="none"/>
                <w:lang w:val="en-US" w:eastAsia="zh-CN" w:bidi="ar"/>
              </w:rPr>
              <w:t>经收集后全部暂存于一般固废暂存处，后定期出售给废玻璃回收商。</w:t>
            </w:r>
          </w:p>
          <w:p w14:paraId="222F84F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s="Times New Roman"/>
                <w:color w:val="auto"/>
                <w:kern w:val="0"/>
                <w:sz w:val="24"/>
                <w:szCs w:val="24"/>
                <w:highlight w:val="none"/>
                <w:lang w:val="zh-CN" w:eastAsia="zh-CN" w:bidi="ar"/>
              </w:rPr>
            </w:pPr>
            <w:r>
              <w:rPr>
                <w:rFonts w:hint="eastAsia" w:cs="Times New Roman"/>
                <w:color w:val="auto"/>
                <w:kern w:val="0"/>
                <w:sz w:val="24"/>
                <w:szCs w:val="24"/>
                <w:highlight w:val="none"/>
                <w:lang w:val="zh-CN" w:eastAsia="zh-CN" w:bidi="ar"/>
              </w:rPr>
              <w:t>⑤废原辅料包装袋</w:t>
            </w:r>
          </w:p>
          <w:p w14:paraId="3A8919A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zh-CN" w:eastAsia="zh-CN" w:bidi="ar"/>
              </w:rPr>
              <w:t>项目</w:t>
            </w:r>
            <w:r>
              <w:rPr>
                <w:rFonts w:hint="default" w:cs="Times New Roman"/>
                <w:color w:val="auto"/>
                <w:kern w:val="0"/>
                <w:sz w:val="24"/>
                <w:szCs w:val="24"/>
                <w:highlight w:val="none"/>
                <w:lang w:val="zh-CN" w:eastAsia="zh-CN" w:bidi="ar"/>
              </w:rPr>
              <w:t>使用原</w:t>
            </w:r>
            <w:r>
              <w:rPr>
                <w:rFonts w:hint="eastAsia" w:cs="Times New Roman"/>
                <w:color w:val="auto"/>
                <w:kern w:val="0"/>
                <w:sz w:val="24"/>
                <w:szCs w:val="24"/>
                <w:highlight w:val="none"/>
                <w:lang w:val="zh-CN" w:eastAsia="zh-CN" w:bidi="ar"/>
              </w:rPr>
              <w:t>辅</w:t>
            </w:r>
            <w:r>
              <w:rPr>
                <w:rFonts w:hint="default" w:cs="Times New Roman"/>
                <w:color w:val="auto"/>
                <w:kern w:val="0"/>
                <w:sz w:val="24"/>
                <w:szCs w:val="24"/>
                <w:highlight w:val="none"/>
                <w:lang w:val="zh-CN" w:eastAsia="zh-CN" w:bidi="ar"/>
              </w:rPr>
              <w:t>料氟化氢铵</w:t>
            </w:r>
            <w:r>
              <w:rPr>
                <w:rFonts w:hint="eastAsia" w:cs="Times New Roman"/>
                <w:color w:val="auto"/>
                <w:kern w:val="0"/>
                <w:sz w:val="24"/>
                <w:szCs w:val="24"/>
                <w:highlight w:val="none"/>
                <w:lang w:val="zh-CN" w:eastAsia="zh-CN" w:bidi="ar"/>
              </w:rPr>
              <w:t>、</w:t>
            </w:r>
            <w:r>
              <w:rPr>
                <w:rFonts w:hint="eastAsia" w:cs="Times New Roman"/>
                <w:color w:val="auto"/>
                <w:kern w:val="0"/>
                <w:sz w:val="24"/>
                <w:szCs w:val="24"/>
                <w:highlight w:val="none"/>
                <w:lang w:val="en-US" w:eastAsia="zh-CN" w:bidi="ar"/>
              </w:rPr>
              <w:t>火碱、生石灰、PAC、PAM</w:t>
            </w:r>
            <w:r>
              <w:rPr>
                <w:rFonts w:hint="default" w:cs="Times New Roman"/>
                <w:color w:val="auto"/>
                <w:kern w:val="0"/>
                <w:sz w:val="24"/>
                <w:szCs w:val="24"/>
                <w:highlight w:val="none"/>
                <w:lang w:val="zh-CN" w:eastAsia="zh-CN" w:bidi="ar"/>
              </w:rPr>
              <w:t>过程</w:t>
            </w:r>
            <w:r>
              <w:rPr>
                <w:rFonts w:hint="eastAsia" w:cs="Times New Roman"/>
                <w:color w:val="auto"/>
                <w:kern w:val="0"/>
                <w:sz w:val="24"/>
                <w:szCs w:val="24"/>
                <w:highlight w:val="none"/>
                <w:lang w:val="zh-CN" w:eastAsia="zh-CN" w:bidi="ar"/>
              </w:rPr>
              <w:t>中会产生</w:t>
            </w:r>
            <w:r>
              <w:rPr>
                <w:rFonts w:hint="default" w:cs="Times New Roman"/>
                <w:color w:val="auto"/>
                <w:kern w:val="0"/>
                <w:sz w:val="24"/>
                <w:szCs w:val="24"/>
                <w:highlight w:val="none"/>
                <w:lang w:val="zh-CN" w:eastAsia="zh-CN" w:bidi="ar"/>
              </w:rPr>
              <w:t>废</w:t>
            </w:r>
            <w:r>
              <w:rPr>
                <w:rFonts w:hint="eastAsia" w:cs="Times New Roman"/>
                <w:color w:val="auto"/>
                <w:kern w:val="0"/>
                <w:sz w:val="24"/>
                <w:szCs w:val="24"/>
                <w:highlight w:val="none"/>
                <w:lang w:val="en-US" w:eastAsia="zh-CN" w:bidi="ar"/>
              </w:rPr>
              <w:t>包装袋</w:t>
            </w:r>
            <w:r>
              <w:rPr>
                <w:rFonts w:hint="default" w:cs="Times New Roman"/>
                <w:color w:val="auto"/>
                <w:kern w:val="0"/>
                <w:sz w:val="24"/>
                <w:szCs w:val="24"/>
                <w:highlight w:val="none"/>
                <w:lang w:val="zh-CN" w:eastAsia="zh-CN" w:bidi="ar"/>
              </w:rPr>
              <w:t>，产生量为0.</w:t>
            </w:r>
            <w:r>
              <w:rPr>
                <w:rFonts w:hint="eastAsia" w:cs="Times New Roman"/>
                <w:color w:val="auto"/>
                <w:kern w:val="0"/>
                <w:sz w:val="24"/>
                <w:szCs w:val="24"/>
                <w:highlight w:val="none"/>
                <w:lang w:val="en-US" w:eastAsia="zh-CN" w:bidi="ar"/>
              </w:rPr>
              <w:t>01</w:t>
            </w:r>
            <w:r>
              <w:rPr>
                <w:rFonts w:hint="default" w:cs="Times New Roman"/>
                <w:color w:val="auto"/>
                <w:kern w:val="0"/>
                <w:sz w:val="24"/>
                <w:szCs w:val="24"/>
                <w:highlight w:val="none"/>
                <w:lang w:val="zh-CN" w:eastAsia="zh-CN" w:bidi="ar"/>
              </w:rPr>
              <w:t>t/a，收集后暂存于一般固废暂存处，定期外售废品收购站</w:t>
            </w:r>
            <w:r>
              <w:rPr>
                <w:rFonts w:hint="eastAsia" w:cs="Times New Roman"/>
                <w:color w:val="auto"/>
                <w:kern w:val="0"/>
                <w:sz w:val="24"/>
                <w:szCs w:val="24"/>
                <w:highlight w:val="none"/>
                <w:lang w:val="zh-CN" w:eastAsia="zh-CN" w:bidi="ar"/>
              </w:rPr>
              <w:t>。</w:t>
            </w:r>
          </w:p>
          <w:p w14:paraId="038AA60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eastAsia" w:cs="Times New Roman"/>
                <w:b w:val="0"/>
                <w:bCs/>
                <w:color w:val="auto"/>
                <w:kern w:val="0"/>
                <w:sz w:val="24"/>
                <w:szCs w:val="24"/>
                <w:highlight w:val="none"/>
                <w:lang w:val="en-US" w:eastAsia="zh-CN" w:bidi="ar"/>
              </w:rPr>
              <w:t>2</w:t>
            </w:r>
            <w:r>
              <w:rPr>
                <w:rFonts w:hint="default" w:ascii="Times New Roman" w:hAnsi="Times New Roman" w:eastAsia="宋体" w:cs="Times New Roman"/>
                <w:b w:val="0"/>
                <w:bCs/>
                <w:color w:val="auto"/>
                <w:kern w:val="0"/>
                <w:sz w:val="24"/>
                <w:szCs w:val="24"/>
                <w:highlight w:val="none"/>
                <w:lang w:val="en-US" w:eastAsia="zh-CN" w:bidi="ar"/>
              </w:rPr>
              <w:t>）</w:t>
            </w:r>
            <w:r>
              <w:rPr>
                <w:rFonts w:hint="eastAsia" w:cs="Times New Roman"/>
                <w:b w:val="0"/>
                <w:bCs/>
                <w:color w:val="auto"/>
                <w:kern w:val="0"/>
                <w:sz w:val="24"/>
                <w:szCs w:val="24"/>
                <w:highlight w:val="none"/>
                <w:lang w:val="en-US" w:eastAsia="zh-CN" w:bidi="ar"/>
              </w:rPr>
              <w:t>生活</w:t>
            </w:r>
            <w:r>
              <w:rPr>
                <w:rFonts w:hint="default" w:ascii="Times New Roman" w:hAnsi="Times New Roman" w:eastAsia="宋体" w:cs="Times New Roman"/>
                <w:b w:val="0"/>
                <w:bCs/>
                <w:color w:val="auto"/>
                <w:kern w:val="0"/>
                <w:sz w:val="24"/>
                <w:szCs w:val="24"/>
                <w:highlight w:val="none"/>
                <w:lang w:val="en-US" w:eastAsia="zh-CN" w:bidi="ar"/>
              </w:rPr>
              <w:t>固废</w:t>
            </w:r>
          </w:p>
          <w:p w14:paraId="3374A0F6">
            <w:pPr>
              <w:pStyle w:val="4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生活</w:t>
            </w:r>
            <w:r>
              <w:rPr>
                <w:rFonts w:hint="default" w:ascii="Times New Roman" w:hAnsi="Times New Roman" w:eastAsia="宋体" w:cs="Times New Roman"/>
                <w:color w:val="auto"/>
                <w:kern w:val="0"/>
                <w:sz w:val="24"/>
                <w:szCs w:val="24"/>
                <w:highlight w:val="none"/>
                <w:lang w:val="en-US" w:eastAsia="zh-CN" w:bidi="ar"/>
              </w:rPr>
              <w:t>固废</w:t>
            </w:r>
            <w:r>
              <w:rPr>
                <w:rFonts w:hint="eastAsia" w:cs="Times New Roman"/>
                <w:color w:val="auto"/>
                <w:kern w:val="0"/>
                <w:sz w:val="24"/>
                <w:szCs w:val="24"/>
                <w:highlight w:val="none"/>
                <w:lang w:val="en-US" w:eastAsia="zh-CN" w:bidi="ar"/>
              </w:rPr>
              <w:t>包括生活垃圾、食堂泔水、隔油池废油脂、化粪池污泥、生活污水处理站污泥。</w:t>
            </w:r>
          </w:p>
          <w:p w14:paraId="6A1C033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①生活垃圾</w:t>
            </w:r>
          </w:p>
          <w:p w14:paraId="05B9E0D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zh-CN" w:eastAsia="zh-CN" w:bidi="ar"/>
              </w:rPr>
            </w:pPr>
            <w:r>
              <w:rPr>
                <w:rFonts w:hint="default" w:ascii="Times New Roman" w:hAnsi="Times New Roman" w:eastAsia="宋体" w:cs="Times New Roman"/>
                <w:b w:val="0"/>
                <w:bCs/>
                <w:color w:val="auto"/>
                <w:kern w:val="0"/>
                <w:sz w:val="24"/>
                <w:szCs w:val="24"/>
                <w:highlight w:val="none"/>
                <w:lang w:val="zh-CN" w:eastAsia="zh-CN" w:bidi="ar"/>
              </w:rPr>
              <w:t>项目</w:t>
            </w:r>
            <w:r>
              <w:rPr>
                <w:rFonts w:hint="eastAsia" w:ascii="Times New Roman" w:hAnsi="Times New Roman" w:eastAsia="宋体" w:cs="Times New Roman"/>
                <w:b w:val="0"/>
                <w:bCs/>
                <w:color w:val="auto"/>
                <w:kern w:val="0"/>
                <w:sz w:val="24"/>
                <w:szCs w:val="24"/>
                <w:highlight w:val="none"/>
                <w:lang w:val="en-US" w:eastAsia="zh-CN" w:bidi="ar"/>
              </w:rPr>
              <w:t>新增</w:t>
            </w:r>
            <w:r>
              <w:rPr>
                <w:rFonts w:hint="default" w:ascii="Times New Roman" w:hAnsi="Times New Roman" w:eastAsia="宋体" w:cs="Times New Roman"/>
                <w:b w:val="0"/>
                <w:bCs/>
                <w:color w:val="auto"/>
                <w:kern w:val="0"/>
                <w:sz w:val="24"/>
                <w:szCs w:val="24"/>
                <w:highlight w:val="none"/>
                <w:lang w:val="zh-CN" w:eastAsia="zh-CN" w:bidi="ar"/>
              </w:rPr>
              <w:t>职工人数为</w:t>
            </w:r>
            <w:r>
              <w:rPr>
                <w:rFonts w:hint="eastAsia" w:ascii="Times New Roman" w:hAnsi="Times New Roman" w:eastAsia="宋体" w:cs="Times New Roman"/>
                <w:b w:val="0"/>
                <w:bCs/>
                <w:color w:val="auto"/>
                <w:kern w:val="0"/>
                <w:sz w:val="24"/>
                <w:szCs w:val="24"/>
                <w:highlight w:val="none"/>
                <w:lang w:val="en-US" w:eastAsia="zh-CN" w:bidi="ar"/>
              </w:rPr>
              <w:t>20</w:t>
            </w:r>
            <w:r>
              <w:rPr>
                <w:rFonts w:hint="default" w:ascii="Times New Roman" w:hAnsi="Times New Roman" w:eastAsia="宋体" w:cs="Times New Roman"/>
                <w:b w:val="0"/>
                <w:bCs/>
                <w:color w:val="auto"/>
                <w:kern w:val="0"/>
                <w:sz w:val="24"/>
                <w:szCs w:val="24"/>
                <w:highlight w:val="none"/>
                <w:lang w:val="zh-CN" w:eastAsia="zh-CN" w:bidi="ar"/>
              </w:rPr>
              <w:t>人，垃圾产生量按0.5kg/人</w:t>
            </w:r>
            <w:r>
              <w:rPr>
                <w:rFonts w:hint="eastAsia" w:ascii="Times New Roman" w:hAnsi="Times New Roman" w:eastAsia="宋体" w:cs="Times New Roman"/>
                <w:b w:val="0"/>
                <w:bCs/>
                <w:color w:val="auto"/>
                <w:kern w:val="0"/>
                <w:sz w:val="24"/>
                <w:szCs w:val="24"/>
                <w:highlight w:val="none"/>
                <w:lang w:val="en-US" w:eastAsia="zh-CN" w:bidi="ar"/>
              </w:rPr>
              <w:t>·d</w:t>
            </w:r>
            <w:r>
              <w:rPr>
                <w:rFonts w:hint="default" w:ascii="Times New Roman" w:hAnsi="Times New Roman" w:eastAsia="宋体" w:cs="Times New Roman"/>
                <w:b w:val="0"/>
                <w:bCs/>
                <w:color w:val="auto"/>
                <w:kern w:val="0"/>
                <w:sz w:val="24"/>
                <w:szCs w:val="24"/>
                <w:highlight w:val="none"/>
                <w:lang w:val="zh-CN" w:eastAsia="zh-CN" w:bidi="ar"/>
              </w:rPr>
              <w:t>计，则生活垃圾</w:t>
            </w:r>
            <w:r>
              <w:rPr>
                <w:rFonts w:hint="eastAsia" w:ascii="Times New Roman" w:hAnsi="Times New Roman" w:eastAsia="宋体" w:cs="Times New Roman"/>
                <w:b w:val="0"/>
                <w:bCs/>
                <w:color w:val="auto"/>
                <w:kern w:val="0"/>
                <w:sz w:val="24"/>
                <w:szCs w:val="24"/>
                <w:highlight w:val="none"/>
                <w:lang w:val="en-US" w:eastAsia="zh-CN" w:bidi="ar"/>
              </w:rPr>
              <w:t>产生量为10</w:t>
            </w:r>
            <w:r>
              <w:rPr>
                <w:rFonts w:hint="default" w:ascii="Times New Roman" w:hAnsi="Times New Roman" w:eastAsia="宋体" w:cs="Times New Roman"/>
                <w:b w:val="0"/>
                <w:bCs/>
                <w:color w:val="auto"/>
                <w:kern w:val="0"/>
                <w:sz w:val="24"/>
                <w:szCs w:val="24"/>
                <w:highlight w:val="none"/>
                <w:lang w:val="zh-CN" w:eastAsia="zh-CN" w:bidi="ar"/>
              </w:rPr>
              <w:t>kg/d，</w:t>
            </w:r>
            <w:r>
              <w:rPr>
                <w:rFonts w:hint="eastAsia" w:ascii="Times New Roman" w:hAnsi="Times New Roman" w:eastAsia="宋体" w:cs="Times New Roman"/>
                <w:b w:val="0"/>
                <w:bCs/>
                <w:color w:val="auto"/>
                <w:kern w:val="0"/>
                <w:sz w:val="24"/>
                <w:szCs w:val="24"/>
                <w:highlight w:val="none"/>
                <w:lang w:val="en-US" w:eastAsia="zh-CN" w:bidi="ar"/>
              </w:rPr>
              <w:t>3.0</w:t>
            </w:r>
            <w:r>
              <w:rPr>
                <w:rFonts w:hint="default" w:ascii="Times New Roman" w:hAnsi="Times New Roman" w:eastAsia="宋体" w:cs="Times New Roman"/>
                <w:b w:val="0"/>
                <w:bCs/>
                <w:color w:val="auto"/>
                <w:kern w:val="0"/>
                <w:sz w:val="24"/>
                <w:szCs w:val="24"/>
                <w:highlight w:val="none"/>
                <w:lang w:val="zh-CN" w:eastAsia="zh-CN" w:bidi="ar"/>
              </w:rPr>
              <w:t>t/a，集中收集</w:t>
            </w:r>
            <w:r>
              <w:rPr>
                <w:rFonts w:hint="eastAsia" w:ascii="Times New Roman" w:hAnsi="Times New Roman" w:eastAsia="宋体" w:cs="Times New Roman"/>
                <w:b w:val="0"/>
                <w:bCs/>
                <w:color w:val="auto"/>
                <w:kern w:val="0"/>
                <w:sz w:val="24"/>
                <w:szCs w:val="24"/>
                <w:highlight w:val="none"/>
                <w:lang w:val="en-US" w:eastAsia="zh-CN" w:bidi="ar"/>
              </w:rPr>
              <w:t>于垃圾桶内</w:t>
            </w:r>
            <w:r>
              <w:rPr>
                <w:rFonts w:hint="default" w:ascii="Times New Roman" w:hAnsi="Times New Roman" w:eastAsia="宋体" w:cs="Times New Roman"/>
                <w:b w:val="0"/>
                <w:bCs/>
                <w:color w:val="auto"/>
                <w:kern w:val="0"/>
                <w:sz w:val="24"/>
                <w:szCs w:val="24"/>
                <w:highlight w:val="none"/>
                <w:lang w:val="zh-CN" w:eastAsia="zh-CN" w:bidi="ar"/>
              </w:rPr>
              <w:t>，</w:t>
            </w:r>
            <w:r>
              <w:rPr>
                <w:rFonts w:hint="default" w:ascii="Times New Roman" w:hAnsi="Times New Roman" w:eastAsia="宋体" w:cs="Times New Roman"/>
                <w:b w:val="0"/>
                <w:bCs/>
                <w:color w:val="auto"/>
                <w:sz w:val="24"/>
                <w:szCs w:val="24"/>
                <w:highlight w:val="none"/>
                <w:lang w:val="en-US" w:eastAsia="zh-CN"/>
              </w:rPr>
              <w:t>委托环卫部门</w:t>
            </w:r>
            <w:r>
              <w:rPr>
                <w:rFonts w:hint="eastAsia" w:ascii="Times New Roman" w:hAnsi="Times New Roman" w:eastAsia="宋体" w:cs="Times New Roman"/>
                <w:b w:val="0"/>
                <w:bCs/>
                <w:color w:val="auto"/>
                <w:sz w:val="24"/>
                <w:szCs w:val="24"/>
                <w:highlight w:val="none"/>
                <w:lang w:val="en-US" w:eastAsia="zh-CN"/>
              </w:rPr>
              <w:t>清运处置</w:t>
            </w:r>
            <w:r>
              <w:rPr>
                <w:rFonts w:hint="default" w:ascii="Times New Roman" w:hAnsi="Times New Roman" w:eastAsia="宋体" w:cs="Times New Roman"/>
                <w:b w:val="0"/>
                <w:bCs/>
                <w:color w:val="auto"/>
                <w:sz w:val="24"/>
                <w:szCs w:val="24"/>
                <w:highlight w:val="none"/>
              </w:rPr>
              <w:t>。</w:t>
            </w:r>
          </w:p>
          <w:p w14:paraId="2E3A261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eastAsia" w:cs="Times New Roman"/>
                <w:b w:val="0"/>
                <w:bCs/>
                <w:color w:val="auto"/>
                <w:kern w:val="0"/>
                <w:sz w:val="24"/>
                <w:szCs w:val="24"/>
                <w:highlight w:val="none"/>
                <w:lang w:val="en-US" w:eastAsia="zh-CN" w:bidi="ar"/>
              </w:rPr>
              <w:t>②</w:t>
            </w:r>
            <w:r>
              <w:rPr>
                <w:rFonts w:hint="eastAsia" w:cs="Times New Roman"/>
                <w:color w:val="auto"/>
                <w:kern w:val="0"/>
                <w:sz w:val="24"/>
                <w:szCs w:val="24"/>
                <w:highlight w:val="none"/>
                <w:lang w:val="en-US" w:eastAsia="zh-CN" w:bidi="ar"/>
              </w:rPr>
              <w:t>食堂泔水</w:t>
            </w:r>
          </w:p>
          <w:p w14:paraId="0A717E2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zh-CN" w:bidi="ar"/>
              </w:rPr>
            </w:pPr>
            <w:r>
              <w:rPr>
                <w:rFonts w:hint="default" w:ascii="Times New Roman" w:hAnsi="Times New Roman" w:eastAsia="宋体" w:cs="Times New Roman"/>
                <w:b w:val="0"/>
                <w:bCs/>
                <w:color w:val="auto"/>
                <w:kern w:val="0"/>
                <w:sz w:val="24"/>
                <w:szCs w:val="24"/>
                <w:highlight w:val="none"/>
                <w:lang w:val="zh-CN" w:eastAsia="zh-CN" w:bidi="ar"/>
              </w:rPr>
              <w:t>项目</w:t>
            </w:r>
            <w:r>
              <w:rPr>
                <w:rFonts w:hint="eastAsia" w:ascii="Times New Roman" w:hAnsi="Times New Roman" w:eastAsia="宋体" w:cs="Times New Roman"/>
                <w:b w:val="0"/>
                <w:bCs/>
                <w:color w:val="auto"/>
                <w:kern w:val="0"/>
                <w:sz w:val="24"/>
                <w:szCs w:val="24"/>
                <w:highlight w:val="none"/>
                <w:lang w:val="en-US" w:eastAsia="zh-CN" w:bidi="ar"/>
              </w:rPr>
              <w:t>新增</w:t>
            </w:r>
            <w:r>
              <w:rPr>
                <w:rFonts w:hint="default" w:ascii="Times New Roman" w:hAnsi="Times New Roman" w:eastAsia="宋体" w:cs="Times New Roman"/>
                <w:b w:val="0"/>
                <w:bCs/>
                <w:color w:val="auto"/>
                <w:kern w:val="0"/>
                <w:sz w:val="24"/>
                <w:szCs w:val="24"/>
                <w:highlight w:val="none"/>
                <w:lang w:val="zh-CN" w:eastAsia="zh-CN" w:bidi="ar"/>
              </w:rPr>
              <w:t>职工人数</w:t>
            </w:r>
            <w:r>
              <w:rPr>
                <w:rFonts w:hint="eastAsia" w:ascii="Times New Roman" w:hAnsi="Times New Roman" w:eastAsia="宋体" w:cs="Times New Roman"/>
                <w:b w:val="0"/>
                <w:bCs/>
                <w:color w:val="auto"/>
                <w:kern w:val="0"/>
                <w:sz w:val="24"/>
                <w:szCs w:val="24"/>
                <w:highlight w:val="none"/>
                <w:lang w:val="en-US" w:eastAsia="zh-CN" w:bidi="ar"/>
              </w:rPr>
              <w:t>为</w:t>
            </w:r>
            <w:r>
              <w:rPr>
                <w:rFonts w:hint="eastAsia" w:ascii="Times New Roman" w:hAnsi="Times New Roman" w:eastAsia="宋体" w:cs="Times New Roman"/>
                <w:b w:val="0"/>
                <w:bCs/>
                <w:color w:val="auto"/>
                <w:sz w:val="24"/>
                <w:szCs w:val="24"/>
                <w:highlight w:val="none"/>
                <w:lang w:val="en-US" w:eastAsia="zh-CN" w:bidi="ar"/>
              </w:rPr>
              <w:t>20</w:t>
            </w:r>
            <w:r>
              <w:rPr>
                <w:rFonts w:hint="default" w:ascii="Times New Roman" w:hAnsi="Times New Roman" w:eastAsia="宋体" w:cs="Times New Roman"/>
                <w:b w:val="0"/>
                <w:bCs/>
                <w:color w:val="auto"/>
                <w:sz w:val="24"/>
                <w:szCs w:val="24"/>
                <w:highlight w:val="none"/>
                <w:lang w:val="zh-CN" w:bidi="ar"/>
              </w:rPr>
              <w:t>人</w:t>
            </w:r>
            <w:r>
              <w:rPr>
                <w:rFonts w:hint="eastAsia" w:ascii="Times New Roman" w:hAnsi="Times New Roman" w:eastAsia="宋体" w:cs="Times New Roman"/>
                <w:b w:val="0"/>
                <w:bCs/>
                <w:color w:val="auto"/>
                <w:sz w:val="24"/>
                <w:szCs w:val="24"/>
                <w:highlight w:val="none"/>
                <w:lang w:val="zh-CN" w:bidi="ar"/>
              </w:rPr>
              <w:t>，</w:t>
            </w:r>
            <w:r>
              <w:rPr>
                <w:rFonts w:hint="eastAsia" w:ascii="Times New Roman" w:hAnsi="Times New Roman" w:eastAsia="宋体" w:cs="Times New Roman"/>
                <w:b w:val="0"/>
                <w:bCs/>
                <w:color w:val="auto"/>
                <w:sz w:val="24"/>
                <w:szCs w:val="24"/>
                <w:highlight w:val="none"/>
                <w:lang w:val="en-US" w:eastAsia="zh-CN" w:bidi="ar"/>
              </w:rPr>
              <w:t>均在项目区就餐，</w:t>
            </w:r>
            <w:r>
              <w:rPr>
                <w:rFonts w:hint="default" w:ascii="Times New Roman" w:hAnsi="Times New Roman" w:eastAsia="宋体" w:cs="Times New Roman"/>
                <w:color w:val="auto"/>
                <w:sz w:val="24"/>
                <w:highlight w:val="none"/>
                <w:lang w:val="zh-CN"/>
              </w:rPr>
              <w:t>食堂</w:t>
            </w:r>
            <w:r>
              <w:rPr>
                <w:rFonts w:hint="default" w:ascii="Times New Roman" w:hAnsi="Times New Roman" w:eastAsia="宋体" w:cs="Times New Roman"/>
                <w:color w:val="auto"/>
                <w:sz w:val="24"/>
                <w:highlight w:val="none"/>
                <w:lang w:val="en-US" w:eastAsia="zh-CN"/>
              </w:rPr>
              <w:t>泔水</w:t>
            </w:r>
            <w:r>
              <w:rPr>
                <w:rFonts w:hint="default" w:ascii="Times New Roman" w:hAnsi="Times New Roman" w:eastAsia="宋体" w:cs="Times New Roman"/>
                <w:color w:val="auto"/>
                <w:sz w:val="24"/>
                <w:highlight w:val="none"/>
                <w:lang w:val="zh-CN"/>
              </w:rPr>
              <w:t>产生量按0.2kg/（人</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d）计，</w:t>
            </w:r>
            <w:r>
              <w:rPr>
                <w:rFonts w:hint="default" w:ascii="Times New Roman" w:hAnsi="Times New Roman" w:eastAsia="宋体" w:cs="Times New Roman"/>
                <w:color w:val="auto"/>
                <w:sz w:val="24"/>
                <w:highlight w:val="none"/>
                <w:lang w:val="en-US" w:eastAsia="zh-CN"/>
              </w:rPr>
              <w:t>则</w:t>
            </w:r>
            <w:r>
              <w:rPr>
                <w:rFonts w:hint="eastAsia" w:eastAsia="宋体" w:cs="Times New Roman"/>
                <w:color w:val="auto"/>
                <w:sz w:val="24"/>
                <w:highlight w:val="none"/>
                <w:lang w:val="en-US" w:eastAsia="zh-CN"/>
              </w:rPr>
              <w:t>食堂</w:t>
            </w:r>
            <w:r>
              <w:rPr>
                <w:rFonts w:hint="default" w:ascii="Times New Roman" w:hAnsi="Times New Roman" w:eastAsia="宋体" w:cs="Times New Roman"/>
                <w:color w:val="auto"/>
                <w:sz w:val="24"/>
                <w:highlight w:val="none"/>
                <w:lang w:val="zh-CN"/>
              </w:rPr>
              <w:t>泔水产生量为</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rPr>
              <w:t>kg/d，</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lang w:val="zh-CN"/>
              </w:rPr>
              <w:t>t/a</w:t>
            </w:r>
            <w:r>
              <w:rPr>
                <w:rFonts w:hint="eastAsia" w:ascii="Times New Roman" w:hAnsi="Times New Roman" w:eastAsia="宋体" w:cs="Times New Roman"/>
                <w:color w:val="auto"/>
                <w:sz w:val="24"/>
                <w:highlight w:val="none"/>
                <w:lang w:val="zh-CN"/>
              </w:rPr>
              <w:t>。</w:t>
            </w:r>
            <w:r>
              <w:rPr>
                <w:rFonts w:hint="default" w:ascii="Times New Roman" w:hAnsi="Times New Roman" w:eastAsia="宋体" w:cs="Times New Roman"/>
                <w:b w:val="0"/>
                <w:bCs/>
                <w:color w:val="auto"/>
                <w:sz w:val="24"/>
                <w:szCs w:val="24"/>
                <w:highlight w:val="none"/>
                <w:lang w:val="zh-CN" w:bidi="ar"/>
              </w:rPr>
              <w:t>食堂</w:t>
            </w:r>
            <w:r>
              <w:rPr>
                <w:rFonts w:hint="eastAsia" w:cs="Times New Roman"/>
                <w:b w:val="0"/>
                <w:bCs/>
                <w:color w:val="auto"/>
                <w:sz w:val="24"/>
                <w:szCs w:val="24"/>
                <w:highlight w:val="none"/>
                <w:lang w:val="en-US" w:eastAsia="zh-CN" w:bidi="ar"/>
              </w:rPr>
              <w:t>已</w:t>
            </w:r>
            <w:r>
              <w:rPr>
                <w:rFonts w:hint="default" w:ascii="Times New Roman" w:hAnsi="Times New Roman" w:eastAsia="宋体" w:cs="Times New Roman"/>
                <w:b w:val="0"/>
                <w:bCs/>
                <w:color w:val="auto"/>
                <w:sz w:val="24"/>
                <w:szCs w:val="24"/>
                <w:highlight w:val="none"/>
                <w:lang w:val="zh-CN" w:bidi="ar"/>
              </w:rPr>
              <w:t>设置泔水桶，泔水统一收集后</w:t>
            </w:r>
            <w:r>
              <w:rPr>
                <w:rFonts w:hint="default" w:ascii="Times New Roman" w:hAnsi="Times New Roman" w:eastAsia="宋体" w:cs="Times New Roman"/>
                <w:b w:val="0"/>
                <w:bCs/>
                <w:color w:val="auto"/>
                <w:sz w:val="24"/>
                <w:szCs w:val="24"/>
                <w:highlight w:val="none"/>
                <w:lang w:val="zh-CN" w:eastAsia="zh-CN" w:bidi="ar"/>
              </w:rPr>
              <w:t>委托有资质的单位清运、处置</w:t>
            </w:r>
            <w:r>
              <w:rPr>
                <w:rFonts w:hint="default" w:ascii="Times New Roman" w:hAnsi="Times New Roman" w:eastAsia="宋体" w:cs="Times New Roman"/>
                <w:b w:val="0"/>
                <w:bCs/>
                <w:color w:val="auto"/>
                <w:sz w:val="24"/>
                <w:szCs w:val="24"/>
                <w:highlight w:val="none"/>
                <w:lang w:val="zh-CN" w:bidi="ar"/>
              </w:rPr>
              <w:t>。</w:t>
            </w:r>
          </w:p>
          <w:p w14:paraId="246BC8B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eastAsia" w:cs="Times New Roman"/>
                <w:b w:val="0"/>
                <w:bCs/>
                <w:color w:val="auto"/>
                <w:kern w:val="0"/>
                <w:sz w:val="24"/>
                <w:szCs w:val="24"/>
                <w:highlight w:val="none"/>
                <w:lang w:val="en-US" w:eastAsia="zh-CN" w:bidi="ar"/>
              </w:rPr>
              <w:t>③</w:t>
            </w:r>
            <w:r>
              <w:rPr>
                <w:rFonts w:hint="eastAsia" w:cs="Times New Roman"/>
                <w:color w:val="auto"/>
                <w:kern w:val="0"/>
                <w:sz w:val="24"/>
                <w:szCs w:val="24"/>
                <w:highlight w:val="none"/>
                <w:lang w:val="en-US" w:eastAsia="zh-CN" w:bidi="ar"/>
              </w:rPr>
              <w:t>隔油池废油脂</w:t>
            </w:r>
          </w:p>
          <w:p w14:paraId="0AFA775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eastAsia" w:ascii="Times New Roman" w:hAnsi="Times New Roman" w:eastAsia="宋体" w:cs="Times New Roman"/>
                <w:color w:val="auto"/>
                <w:sz w:val="24"/>
                <w:highlight w:val="none"/>
                <w:lang w:val="en-US" w:eastAsia="zh-CN"/>
              </w:rPr>
              <w:t>根据废水章节计算，</w:t>
            </w:r>
            <w:r>
              <w:rPr>
                <w:rFonts w:hint="default" w:ascii="Times New Roman" w:hAnsi="Times New Roman" w:eastAsia="宋体" w:cs="Times New Roman"/>
                <w:color w:val="auto"/>
                <w:sz w:val="24"/>
                <w:highlight w:val="none"/>
                <w:lang w:val="zh-CN"/>
              </w:rPr>
              <w:t>项目隔油池废油产生量约为</w:t>
            </w:r>
            <w:r>
              <w:rPr>
                <w:rFonts w:hint="eastAsia" w:ascii="Times New Roman" w:hAnsi="Times New Roman" w:eastAsia="宋体" w:cs="Times New Roman"/>
                <w:color w:val="auto"/>
                <w:sz w:val="24"/>
                <w:highlight w:val="none"/>
                <w:lang w:val="en-US" w:eastAsia="zh-CN"/>
              </w:rPr>
              <w:t>0.01</w:t>
            </w:r>
            <w:r>
              <w:rPr>
                <w:rFonts w:hint="default" w:ascii="Times New Roman" w:hAnsi="Times New Roman" w:eastAsia="宋体" w:cs="Times New Roman"/>
                <w:color w:val="auto"/>
                <w:sz w:val="24"/>
                <w:highlight w:val="none"/>
                <w:lang w:val="zh-CN"/>
              </w:rPr>
              <w:t>t/a</w:t>
            </w:r>
            <w:r>
              <w:rPr>
                <w:rFonts w:hint="eastAsia" w:ascii="Times New Roman" w:hAnsi="Times New Roman" w:eastAsia="宋体" w:cs="Times New Roman"/>
                <w:color w:val="auto"/>
                <w:sz w:val="24"/>
                <w:highlight w:val="none"/>
                <w:lang w:val="zh-CN"/>
              </w:rPr>
              <w:t>。</w:t>
            </w:r>
            <w:r>
              <w:rPr>
                <w:rFonts w:hint="eastAsia" w:ascii="Times New Roman" w:hAnsi="Times New Roman" w:eastAsia="宋体" w:cs="Times New Roman"/>
                <w:color w:val="auto"/>
                <w:sz w:val="24"/>
                <w:highlight w:val="none"/>
                <w:lang w:val="en-US" w:eastAsia="zh-CN"/>
              </w:rPr>
              <w:t>隔油池废油脂</w:t>
            </w:r>
            <w:r>
              <w:rPr>
                <w:rFonts w:hint="default" w:ascii="Times New Roman" w:hAnsi="Times New Roman" w:eastAsia="宋体" w:cs="Times New Roman"/>
                <w:color w:val="auto"/>
                <w:sz w:val="24"/>
                <w:highlight w:val="none"/>
                <w:lang w:val="zh-CN"/>
              </w:rPr>
              <w:t>定期</w:t>
            </w:r>
            <w:r>
              <w:rPr>
                <w:rFonts w:hint="default" w:ascii="Times New Roman" w:hAnsi="Times New Roman" w:eastAsia="宋体" w:cs="Times New Roman"/>
                <w:b w:val="0"/>
                <w:bCs/>
                <w:color w:val="auto"/>
                <w:kern w:val="0"/>
                <w:sz w:val="24"/>
                <w:szCs w:val="24"/>
                <w:highlight w:val="none"/>
                <w:lang w:val="en-US" w:eastAsia="zh-CN" w:bidi="ar"/>
              </w:rPr>
              <w:t>清掏后</w:t>
            </w:r>
            <w:r>
              <w:rPr>
                <w:rFonts w:hint="default" w:ascii="Times New Roman" w:hAnsi="Times New Roman" w:eastAsia="宋体" w:cs="Times New Roman"/>
                <w:b w:val="0"/>
                <w:bCs/>
                <w:color w:val="auto"/>
                <w:kern w:val="0"/>
                <w:sz w:val="24"/>
                <w:szCs w:val="24"/>
                <w:highlight w:val="none"/>
                <w:lang w:val="zh-CN" w:eastAsia="zh-CN" w:bidi="ar"/>
              </w:rPr>
              <w:t>委托有资质的单位定期清运、处置</w:t>
            </w:r>
            <w:r>
              <w:rPr>
                <w:rFonts w:hint="default" w:ascii="Times New Roman" w:hAnsi="Times New Roman" w:eastAsia="宋体" w:cs="Times New Roman"/>
                <w:b w:val="0"/>
                <w:bCs/>
                <w:color w:val="auto"/>
                <w:kern w:val="0"/>
                <w:sz w:val="24"/>
                <w:szCs w:val="24"/>
                <w:highlight w:val="none"/>
                <w:lang w:val="en-US" w:eastAsia="zh-CN" w:bidi="ar"/>
              </w:rPr>
              <w:t>。</w:t>
            </w:r>
          </w:p>
          <w:p w14:paraId="576D05C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eastAsia" w:cs="Times New Roman"/>
                <w:b w:val="0"/>
                <w:bCs w:val="0"/>
                <w:caps w:val="0"/>
                <w:smallCaps w:val="0"/>
                <w:color w:val="auto"/>
                <w:sz w:val="24"/>
                <w:szCs w:val="24"/>
                <w:highlight w:val="none"/>
                <w:lang w:val="en-US" w:eastAsia="zh-CN"/>
              </w:rPr>
              <w:t>④</w:t>
            </w:r>
            <w:r>
              <w:rPr>
                <w:rFonts w:hint="eastAsia" w:cs="Times New Roman"/>
                <w:b w:val="0"/>
                <w:bCs/>
                <w:color w:val="auto"/>
                <w:kern w:val="0"/>
                <w:sz w:val="24"/>
                <w:szCs w:val="24"/>
                <w:highlight w:val="none"/>
                <w:lang w:val="en-US" w:eastAsia="zh-CN" w:bidi="ar"/>
              </w:rPr>
              <w:t>化粪池污泥</w:t>
            </w:r>
          </w:p>
          <w:p w14:paraId="74E78D59">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aps w:val="0"/>
                <w:smallCaps w:val="0"/>
                <w:color w:val="auto"/>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bidi="ar"/>
              </w:rPr>
              <w:t>项目</w:t>
            </w:r>
            <w:r>
              <w:rPr>
                <w:rFonts w:hint="eastAsia" w:cs="Times New Roman"/>
                <w:b w:val="0"/>
                <w:bCs/>
                <w:color w:val="auto"/>
                <w:kern w:val="0"/>
                <w:sz w:val="24"/>
                <w:szCs w:val="24"/>
                <w:highlight w:val="none"/>
                <w:lang w:val="en-US" w:eastAsia="zh-CN" w:bidi="ar"/>
              </w:rPr>
              <w:t>化粪池</w:t>
            </w:r>
            <w:r>
              <w:rPr>
                <w:rFonts w:hint="default" w:ascii="Times New Roman" w:hAnsi="Times New Roman" w:eastAsia="宋体" w:cs="Times New Roman"/>
                <w:b w:val="0"/>
                <w:bCs/>
                <w:color w:val="auto"/>
                <w:kern w:val="0"/>
                <w:sz w:val="24"/>
                <w:szCs w:val="24"/>
                <w:highlight w:val="none"/>
                <w:lang w:val="en-US" w:eastAsia="zh-CN" w:bidi="ar"/>
              </w:rPr>
              <w:t>在</w:t>
            </w:r>
            <w:r>
              <w:rPr>
                <w:rFonts w:hint="eastAsia" w:cs="Times New Roman"/>
                <w:b w:val="0"/>
                <w:bCs/>
                <w:color w:val="auto"/>
                <w:kern w:val="0"/>
                <w:sz w:val="24"/>
                <w:szCs w:val="24"/>
                <w:highlight w:val="none"/>
                <w:lang w:val="en-US" w:eastAsia="zh-CN" w:bidi="ar"/>
              </w:rPr>
              <w:t>运行</w:t>
            </w:r>
            <w:r>
              <w:rPr>
                <w:rFonts w:hint="default" w:ascii="Times New Roman" w:hAnsi="Times New Roman" w:eastAsia="宋体" w:cs="Times New Roman"/>
                <w:b w:val="0"/>
                <w:bCs/>
                <w:color w:val="auto"/>
                <w:kern w:val="0"/>
                <w:sz w:val="24"/>
                <w:szCs w:val="24"/>
                <w:highlight w:val="none"/>
                <w:lang w:val="en-US" w:eastAsia="zh-CN" w:bidi="ar"/>
              </w:rPr>
              <w:t>过程会有污泥产生，</w:t>
            </w:r>
            <w:r>
              <w:rPr>
                <w:rFonts w:hint="eastAsia" w:ascii="Times New Roman" w:hAnsi="Times New Roman" w:eastAsia="宋体" w:cs="Times New Roman"/>
                <w:color w:val="auto"/>
                <w:sz w:val="24"/>
                <w:highlight w:val="none"/>
                <w:lang w:val="zh-CN"/>
              </w:rPr>
              <w:t>化粪池</w:t>
            </w:r>
            <w:r>
              <w:rPr>
                <w:rFonts w:hint="default" w:ascii="Times New Roman" w:hAnsi="Times New Roman" w:eastAsia="宋体" w:cs="Times New Roman"/>
                <w:color w:val="auto"/>
                <w:sz w:val="24"/>
                <w:highlight w:val="none"/>
                <w:lang w:val="zh-CN"/>
              </w:rPr>
              <w:t>产生的污泥量一般为每立方米污水产泥量约有0.15kg（含水率98%）</w:t>
            </w:r>
            <w:r>
              <w:rPr>
                <w:rFonts w:hint="eastAsia" w:ascii="Times New Roman" w:hAnsi="Times New Roman" w:eastAsia="宋体" w:cs="Times New Roman"/>
                <w:color w:val="auto"/>
                <w:sz w:val="24"/>
                <w:highlight w:val="none"/>
                <w:lang w:val="zh-CN"/>
              </w:rPr>
              <w:t>，</w:t>
            </w:r>
            <w:r>
              <w:rPr>
                <w:rFonts w:hint="eastAsia" w:ascii="Times New Roman" w:hAnsi="Times New Roman" w:eastAsia="宋体" w:cs="Times New Roman"/>
                <w:b w:val="0"/>
                <w:bCs w:val="0"/>
                <w:caps w:val="0"/>
                <w:smallCaps w:val="0"/>
                <w:color w:val="auto"/>
                <w:sz w:val="24"/>
                <w:szCs w:val="24"/>
                <w:highlight w:val="none"/>
                <w:lang w:val="en-US" w:eastAsia="zh-CN"/>
              </w:rPr>
              <w:t>本项目化粪池处理废水共计</w:t>
            </w:r>
            <w:r>
              <w:rPr>
                <w:rFonts w:hint="eastAsia" w:cs="Times New Roman"/>
                <w:b w:val="0"/>
                <w:bCs w:val="0"/>
                <w:caps w:val="0"/>
                <w:smallCaps w:val="0"/>
                <w:color w:val="auto"/>
                <w:sz w:val="24"/>
                <w:szCs w:val="24"/>
                <w:highlight w:val="none"/>
                <w:lang w:val="en-US" w:eastAsia="zh-CN"/>
              </w:rPr>
              <w:t>360</w:t>
            </w:r>
            <w:r>
              <w:rPr>
                <w:rFonts w:hint="default" w:ascii="Times New Roman" w:hAnsi="Times New Roman" w:eastAsia="宋体" w:cs="Times New Roman"/>
                <w:b w:val="0"/>
                <w:bCs w:val="0"/>
                <w:caps w:val="0"/>
                <w:smallCaps w:val="0"/>
                <w:color w:val="auto"/>
                <w:sz w:val="24"/>
                <w:szCs w:val="24"/>
                <w:highlight w:val="none"/>
                <w:lang w:val="en-US" w:eastAsia="zh-CN"/>
              </w:rPr>
              <w:t>m</w:t>
            </w:r>
            <w:r>
              <w:rPr>
                <w:rFonts w:hint="default" w:ascii="Times New Roman" w:hAnsi="Times New Roman" w:eastAsia="宋体" w:cs="Times New Roman"/>
                <w:b w:val="0"/>
                <w:bCs w:val="0"/>
                <w:caps w:val="0"/>
                <w:smallCaps w:val="0"/>
                <w:color w:val="auto"/>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z w:val="24"/>
                <w:szCs w:val="24"/>
                <w:highlight w:val="none"/>
                <w:lang w:val="en-US" w:eastAsia="zh-CN"/>
              </w:rPr>
              <w:t xml:space="preserve"> /a</w:t>
            </w:r>
            <w:r>
              <w:rPr>
                <w:rFonts w:hint="eastAsia" w:ascii="Times New Roman" w:hAnsi="Times New Roman" w:eastAsia="宋体" w:cs="Times New Roman"/>
                <w:b w:val="0"/>
                <w:bCs w:val="0"/>
                <w:caps w:val="0"/>
                <w:smallCaps w:val="0"/>
                <w:color w:val="auto"/>
                <w:sz w:val="24"/>
                <w:szCs w:val="24"/>
                <w:highlight w:val="none"/>
                <w:lang w:val="en-US" w:eastAsia="zh-CN"/>
              </w:rPr>
              <w:t>，则化粪池污泥产生量约为</w:t>
            </w:r>
            <w:r>
              <w:rPr>
                <w:rFonts w:hint="eastAsia" w:cs="Times New Roman"/>
                <w:b w:val="0"/>
                <w:bCs w:val="0"/>
                <w:caps w:val="0"/>
                <w:smallCaps w:val="0"/>
                <w:color w:val="auto"/>
                <w:sz w:val="24"/>
                <w:szCs w:val="24"/>
                <w:highlight w:val="none"/>
                <w:lang w:val="en-US" w:eastAsia="zh-CN"/>
              </w:rPr>
              <w:t>0.054</w:t>
            </w:r>
            <w:r>
              <w:rPr>
                <w:rFonts w:hint="default" w:ascii="Times New Roman" w:hAnsi="Times New Roman" w:eastAsia="宋体" w:cs="Times New Roman"/>
                <w:b w:val="0"/>
                <w:bCs w:val="0"/>
                <w:caps w:val="0"/>
                <w:smallCaps w:val="0"/>
                <w:color w:val="auto"/>
                <w:sz w:val="24"/>
                <w:szCs w:val="24"/>
                <w:highlight w:val="none"/>
                <w:lang w:val="en-US" w:eastAsia="zh-CN"/>
              </w:rPr>
              <w:t>t/a</w:t>
            </w:r>
            <w:r>
              <w:rPr>
                <w:rFonts w:hint="eastAsia" w:ascii="Times New Roman" w:hAnsi="Times New Roman" w:eastAsia="宋体" w:cs="Times New Roman"/>
                <w:b w:val="0"/>
                <w:bCs w:val="0"/>
                <w:caps w:val="0"/>
                <w:smallCaps w:val="0"/>
                <w:color w:val="auto"/>
                <w:sz w:val="24"/>
                <w:szCs w:val="24"/>
                <w:highlight w:val="none"/>
                <w:lang w:val="en-US" w:eastAsia="zh-CN"/>
              </w:rPr>
              <w:t>。化粪池污泥</w:t>
            </w:r>
            <w:r>
              <w:rPr>
                <w:rFonts w:hint="default" w:ascii="Times New Roman" w:hAnsi="Times New Roman" w:eastAsia="宋体" w:cs="Times New Roman"/>
                <w:b w:val="0"/>
                <w:bCs w:val="0"/>
                <w:caps w:val="0"/>
                <w:smallCaps w:val="0"/>
                <w:color w:val="auto"/>
                <w:sz w:val="24"/>
                <w:szCs w:val="24"/>
                <w:highlight w:val="none"/>
                <w:lang w:val="en-US" w:eastAsia="zh-CN"/>
              </w:rPr>
              <w:t>委托环卫部门定期进行清掏、清运、处置。</w:t>
            </w:r>
          </w:p>
          <w:p w14:paraId="1514C2EA">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aps w:val="0"/>
                <w:smallCaps w:val="0"/>
                <w:color w:val="auto"/>
                <w:sz w:val="24"/>
                <w:szCs w:val="24"/>
                <w:highlight w:val="none"/>
                <w:lang w:val="en-US" w:eastAsia="zh-CN"/>
              </w:rPr>
            </w:pPr>
            <w:r>
              <w:rPr>
                <w:rFonts w:hint="eastAsia" w:cs="Times New Roman"/>
                <w:color w:val="auto"/>
                <w:sz w:val="24"/>
                <w:szCs w:val="24"/>
                <w:highlight w:val="none"/>
                <w:lang w:val="en-US" w:eastAsia="zh-CN"/>
              </w:rPr>
              <w:t>⑤生活</w:t>
            </w:r>
            <w:r>
              <w:rPr>
                <w:rFonts w:hint="eastAsia" w:cs="Times New Roman"/>
                <w:b w:val="0"/>
                <w:bCs/>
                <w:color w:val="auto"/>
                <w:kern w:val="0"/>
                <w:sz w:val="24"/>
                <w:szCs w:val="24"/>
                <w:highlight w:val="none"/>
                <w:lang w:val="en-US" w:eastAsia="zh-CN" w:bidi="ar"/>
              </w:rPr>
              <w:t>污水处理站</w:t>
            </w:r>
            <w:r>
              <w:rPr>
                <w:rFonts w:hint="eastAsia" w:cs="Times New Roman"/>
                <w:color w:val="auto"/>
                <w:kern w:val="0"/>
                <w:sz w:val="24"/>
                <w:szCs w:val="24"/>
                <w:highlight w:val="none"/>
                <w:lang w:val="en-US" w:eastAsia="zh-CN" w:bidi="ar"/>
              </w:rPr>
              <w:t>污泥</w:t>
            </w:r>
          </w:p>
          <w:p w14:paraId="05A1182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b w:val="0"/>
                <w:bCs/>
                <w:color w:val="auto"/>
                <w:kern w:val="0"/>
                <w:sz w:val="24"/>
                <w:szCs w:val="24"/>
                <w:highlight w:val="none"/>
                <w:lang w:val="en-US" w:eastAsia="zh-CN" w:bidi="ar"/>
              </w:rPr>
              <w:t>项目</w:t>
            </w:r>
            <w:r>
              <w:rPr>
                <w:rFonts w:hint="eastAsia" w:cs="Times New Roman"/>
                <w:b w:val="0"/>
                <w:bCs/>
                <w:color w:val="auto"/>
                <w:kern w:val="0"/>
                <w:sz w:val="24"/>
                <w:szCs w:val="24"/>
                <w:highlight w:val="none"/>
                <w:lang w:val="en-US" w:eastAsia="zh-CN" w:bidi="ar"/>
              </w:rPr>
              <w:t>生活污水处理站</w:t>
            </w:r>
            <w:r>
              <w:rPr>
                <w:rFonts w:hint="default" w:ascii="Times New Roman" w:hAnsi="Times New Roman" w:eastAsia="宋体" w:cs="Times New Roman"/>
                <w:b w:val="0"/>
                <w:bCs/>
                <w:color w:val="auto"/>
                <w:kern w:val="0"/>
                <w:sz w:val="24"/>
                <w:szCs w:val="24"/>
                <w:highlight w:val="none"/>
                <w:lang w:val="en-US" w:eastAsia="zh-CN" w:bidi="ar"/>
              </w:rPr>
              <w:t>在</w:t>
            </w:r>
            <w:r>
              <w:rPr>
                <w:rFonts w:hint="eastAsia" w:cs="Times New Roman"/>
                <w:b w:val="0"/>
                <w:bCs/>
                <w:color w:val="auto"/>
                <w:kern w:val="0"/>
                <w:sz w:val="24"/>
                <w:szCs w:val="24"/>
                <w:highlight w:val="none"/>
                <w:lang w:val="en-US" w:eastAsia="zh-CN" w:bidi="ar"/>
              </w:rPr>
              <w:t>运行</w:t>
            </w:r>
            <w:r>
              <w:rPr>
                <w:rFonts w:hint="default" w:ascii="Times New Roman" w:hAnsi="Times New Roman" w:eastAsia="宋体" w:cs="Times New Roman"/>
                <w:b w:val="0"/>
                <w:bCs/>
                <w:color w:val="auto"/>
                <w:kern w:val="0"/>
                <w:sz w:val="24"/>
                <w:szCs w:val="24"/>
                <w:highlight w:val="none"/>
                <w:lang w:val="en-US" w:eastAsia="zh-CN" w:bidi="ar"/>
              </w:rPr>
              <w:t>过程会有污泥产生</w:t>
            </w:r>
            <w:r>
              <w:rPr>
                <w:rFonts w:hint="eastAsia" w:ascii="Times New Roman" w:hAnsi="Times New Roman" w:eastAsia="宋体" w:cs="Times New Roman"/>
                <w:b w:val="0"/>
                <w:bCs/>
                <w:color w:val="auto"/>
                <w:kern w:val="0"/>
                <w:sz w:val="24"/>
                <w:szCs w:val="24"/>
                <w:highlight w:val="none"/>
                <w:lang w:val="en-US" w:eastAsia="zh-CN" w:bidi="ar"/>
              </w:rPr>
              <w:t>。</w:t>
            </w:r>
            <w:r>
              <w:rPr>
                <w:rFonts w:hint="eastAsia" w:cs="Times New Roman"/>
                <w:b w:val="0"/>
                <w:bCs/>
                <w:color w:val="auto"/>
                <w:kern w:val="0"/>
                <w:sz w:val="24"/>
                <w:szCs w:val="24"/>
                <w:highlight w:val="none"/>
                <w:lang w:val="en-US" w:eastAsia="zh-CN" w:bidi="ar"/>
              </w:rPr>
              <w:t>根据建设单位提供资料，原项目</w:t>
            </w:r>
            <w:r>
              <w:rPr>
                <w:rFonts w:hint="eastAsia" w:cs="Times New Roman"/>
                <w:color w:val="auto"/>
                <w:sz w:val="24"/>
                <w:szCs w:val="24"/>
                <w:highlight w:val="none"/>
                <w:lang w:val="en-US" w:eastAsia="zh-CN"/>
              </w:rPr>
              <w:t>生活</w:t>
            </w:r>
            <w:r>
              <w:rPr>
                <w:rFonts w:hint="eastAsia" w:cs="Times New Roman"/>
                <w:b w:val="0"/>
                <w:bCs/>
                <w:color w:val="auto"/>
                <w:kern w:val="0"/>
                <w:sz w:val="24"/>
                <w:szCs w:val="24"/>
                <w:highlight w:val="none"/>
                <w:lang w:val="en-US" w:eastAsia="zh-CN" w:bidi="ar"/>
              </w:rPr>
              <w:t>污水处理站</w:t>
            </w:r>
            <w:r>
              <w:rPr>
                <w:rFonts w:hint="eastAsia" w:ascii="Times New Roman" w:hAnsi="Times New Roman" w:eastAsia="宋体" w:cs="Times New Roman"/>
                <w:b w:val="0"/>
                <w:bCs w:val="0"/>
                <w:caps w:val="0"/>
                <w:smallCaps w:val="0"/>
                <w:color w:val="auto"/>
                <w:sz w:val="24"/>
                <w:szCs w:val="24"/>
                <w:highlight w:val="none"/>
                <w:lang w:val="en-US" w:eastAsia="zh-CN"/>
              </w:rPr>
              <w:t>处理废水共计</w:t>
            </w:r>
            <w:r>
              <w:rPr>
                <w:rFonts w:hint="eastAsia" w:cs="Times New Roman"/>
                <w:b w:val="0"/>
                <w:bCs w:val="0"/>
                <w:caps w:val="0"/>
                <w:smallCaps w:val="0"/>
                <w:color w:val="auto"/>
                <w:sz w:val="24"/>
                <w:szCs w:val="24"/>
                <w:highlight w:val="none"/>
                <w:lang w:val="en-US" w:eastAsia="zh-CN"/>
              </w:rPr>
              <w:t>654</w:t>
            </w:r>
            <w:r>
              <w:rPr>
                <w:rFonts w:hint="default" w:ascii="Times New Roman" w:hAnsi="Times New Roman" w:eastAsia="宋体" w:cs="Times New Roman"/>
                <w:b w:val="0"/>
                <w:bCs w:val="0"/>
                <w:caps w:val="0"/>
                <w:smallCaps w:val="0"/>
                <w:color w:val="auto"/>
                <w:sz w:val="24"/>
                <w:szCs w:val="24"/>
                <w:highlight w:val="none"/>
                <w:lang w:val="en-US" w:eastAsia="zh-CN"/>
              </w:rPr>
              <w:t>m</w:t>
            </w:r>
            <w:r>
              <w:rPr>
                <w:rFonts w:hint="default" w:ascii="Times New Roman" w:hAnsi="Times New Roman" w:eastAsia="宋体" w:cs="Times New Roman"/>
                <w:b w:val="0"/>
                <w:bCs w:val="0"/>
                <w:caps w:val="0"/>
                <w:smallCaps w:val="0"/>
                <w:color w:val="auto"/>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z w:val="24"/>
                <w:szCs w:val="24"/>
                <w:highlight w:val="none"/>
                <w:lang w:val="en-US" w:eastAsia="zh-CN"/>
              </w:rPr>
              <w:t xml:space="preserve"> /a</w:t>
            </w:r>
            <w:r>
              <w:rPr>
                <w:rFonts w:hint="eastAsia" w:ascii="Times New Roman" w:hAnsi="Times New Roman" w:eastAsia="宋体" w:cs="Times New Roman"/>
                <w:b w:val="0"/>
                <w:bCs w:val="0"/>
                <w:caps w:val="0"/>
                <w:smallCaps w:val="0"/>
                <w:color w:val="auto"/>
                <w:sz w:val="24"/>
                <w:szCs w:val="24"/>
                <w:highlight w:val="none"/>
                <w:lang w:val="en-US" w:eastAsia="zh-CN"/>
              </w:rPr>
              <w:t>，</w:t>
            </w:r>
            <w:r>
              <w:rPr>
                <w:rFonts w:hint="eastAsia" w:ascii="Times New Roman" w:hAnsi="Times New Roman" w:eastAsia="宋体" w:cs="Times New Roman"/>
                <w:b w:val="0"/>
                <w:bCs/>
                <w:color w:val="auto"/>
                <w:kern w:val="0"/>
                <w:sz w:val="24"/>
                <w:szCs w:val="24"/>
                <w:highlight w:val="none"/>
                <w:lang w:val="en-US" w:eastAsia="zh-CN" w:bidi="ar"/>
              </w:rPr>
              <w:t>污泥产生量</w:t>
            </w:r>
            <w:r>
              <w:rPr>
                <w:rFonts w:hint="eastAsia" w:cs="Times New Roman"/>
                <w:b w:val="0"/>
                <w:bCs/>
                <w:color w:val="auto"/>
                <w:kern w:val="0"/>
                <w:sz w:val="24"/>
                <w:szCs w:val="24"/>
                <w:highlight w:val="none"/>
                <w:lang w:val="en-US" w:eastAsia="zh-CN" w:bidi="ar"/>
              </w:rPr>
              <w:t>约</w:t>
            </w:r>
            <w:r>
              <w:rPr>
                <w:rFonts w:hint="eastAsia" w:ascii="Times New Roman" w:hAnsi="Times New Roman" w:eastAsia="宋体" w:cs="Times New Roman"/>
                <w:b w:val="0"/>
                <w:bCs/>
                <w:color w:val="auto"/>
                <w:kern w:val="0"/>
                <w:sz w:val="24"/>
                <w:szCs w:val="24"/>
                <w:highlight w:val="none"/>
                <w:lang w:val="en-US" w:eastAsia="zh-CN" w:bidi="ar"/>
              </w:rPr>
              <w:t>为3.825</w:t>
            </w:r>
            <w:r>
              <w:rPr>
                <w:rFonts w:hint="default" w:ascii="Times New Roman" w:hAnsi="Times New Roman" w:eastAsia="宋体" w:cs="Times New Roman"/>
                <w:b w:val="0"/>
                <w:bCs w:val="0"/>
                <w:caps w:val="0"/>
                <w:smallCaps w:val="0"/>
                <w:color w:val="auto"/>
                <w:sz w:val="24"/>
                <w:szCs w:val="24"/>
                <w:highlight w:val="none"/>
                <w:lang w:val="en-US" w:eastAsia="zh-CN"/>
              </w:rPr>
              <w:t>t/a</w:t>
            </w:r>
            <w:r>
              <w:rPr>
                <w:rFonts w:hint="eastAsia" w:cs="Times New Roman"/>
                <w:b w:val="0"/>
                <w:bCs w:val="0"/>
                <w:caps w:val="0"/>
                <w:smallCaps w:val="0"/>
                <w:color w:val="auto"/>
                <w:sz w:val="24"/>
                <w:szCs w:val="24"/>
                <w:highlight w:val="none"/>
                <w:lang w:val="en-US" w:eastAsia="zh-CN"/>
              </w:rPr>
              <w:t>，本项目扩建完成后，</w:t>
            </w:r>
            <w:r>
              <w:rPr>
                <w:rFonts w:hint="eastAsia" w:cs="Times New Roman"/>
                <w:color w:val="auto"/>
                <w:sz w:val="24"/>
                <w:szCs w:val="24"/>
                <w:highlight w:val="none"/>
                <w:lang w:val="en-US" w:eastAsia="zh-CN"/>
              </w:rPr>
              <w:t>生活</w:t>
            </w:r>
            <w:r>
              <w:rPr>
                <w:rFonts w:hint="eastAsia" w:cs="Times New Roman"/>
                <w:b w:val="0"/>
                <w:bCs/>
                <w:color w:val="auto"/>
                <w:kern w:val="0"/>
                <w:sz w:val="24"/>
                <w:szCs w:val="24"/>
                <w:highlight w:val="none"/>
                <w:lang w:val="en-US" w:eastAsia="zh-CN" w:bidi="ar"/>
              </w:rPr>
              <w:t>污水处理站</w:t>
            </w:r>
            <w:r>
              <w:rPr>
                <w:rFonts w:hint="eastAsia" w:ascii="Times New Roman" w:hAnsi="Times New Roman" w:eastAsia="宋体" w:cs="Times New Roman"/>
                <w:b w:val="0"/>
                <w:bCs w:val="0"/>
                <w:caps w:val="0"/>
                <w:smallCaps w:val="0"/>
                <w:color w:val="auto"/>
                <w:sz w:val="24"/>
                <w:szCs w:val="24"/>
                <w:highlight w:val="none"/>
                <w:lang w:val="en-US" w:eastAsia="zh-CN"/>
              </w:rPr>
              <w:t>处理废水共计</w:t>
            </w:r>
            <w:r>
              <w:rPr>
                <w:rFonts w:hint="eastAsia" w:cs="Times New Roman"/>
                <w:b w:val="0"/>
                <w:bCs w:val="0"/>
                <w:caps w:val="0"/>
                <w:smallCaps w:val="0"/>
                <w:color w:val="auto"/>
                <w:sz w:val="24"/>
                <w:szCs w:val="24"/>
                <w:highlight w:val="none"/>
                <w:lang w:val="en-US" w:eastAsia="zh-CN"/>
              </w:rPr>
              <w:t>1014</w:t>
            </w:r>
            <w:r>
              <w:rPr>
                <w:rFonts w:hint="default" w:ascii="Times New Roman" w:hAnsi="Times New Roman" w:eastAsia="宋体" w:cs="Times New Roman"/>
                <w:b w:val="0"/>
                <w:bCs w:val="0"/>
                <w:caps w:val="0"/>
                <w:smallCaps w:val="0"/>
                <w:color w:val="auto"/>
                <w:sz w:val="24"/>
                <w:szCs w:val="24"/>
                <w:highlight w:val="none"/>
                <w:lang w:val="en-US" w:eastAsia="zh-CN"/>
              </w:rPr>
              <w:t>m</w:t>
            </w:r>
            <w:r>
              <w:rPr>
                <w:rFonts w:hint="default" w:ascii="Times New Roman" w:hAnsi="Times New Roman" w:eastAsia="宋体" w:cs="Times New Roman"/>
                <w:b w:val="0"/>
                <w:bCs w:val="0"/>
                <w:caps w:val="0"/>
                <w:smallCaps w:val="0"/>
                <w:color w:val="auto"/>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z w:val="24"/>
                <w:szCs w:val="24"/>
                <w:highlight w:val="none"/>
                <w:lang w:val="en-US" w:eastAsia="zh-CN"/>
              </w:rPr>
              <w:t xml:space="preserve"> /a</w:t>
            </w:r>
            <w:r>
              <w:rPr>
                <w:rFonts w:hint="eastAsia" w:ascii="Times New Roman" w:hAnsi="Times New Roman" w:eastAsia="宋体" w:cs="Times New Roman"/>
                <w:b w:val="0"/>
                <w:bCs w:val="0"/>
                <w:caps w:val="0"/>
                <w:smallCaps w:val="0"/>
                <w:color w:val="auto"/>
                <w:sz w:val="24"/>
                <w:szCs w:val="24"/>
                <w:highlight w:val="none"/>
                <w:lang w:val="en-US" w:eastAsia="zh-CN"/>
              </w:rPr>
              <w:t>，</w:t>
            </w:r>
            <w:r>
              <w:rPr>
                <w:rFonts w:hint="eastAsia" w:cs="Times New Roman"/>
                <w:b w:val="0"/>
                <w:bCs w:val="0"/>
                <w:caps w:val="0"/>
                <w:smallCaps w:val="0"/>
                <w:color w:val="auto"/>
                <w:sz w:val="24"/>
                <w:szCs w:val="24"/>
                <w:highlight w:val="none"/>
                <w:lang w:val="en-US" w:eastAsia="zh-CN"/>
              </w:rPr>
              <w:t>则本项目扩建完成污泥产生量约为5.93</w:t>
            </w:r>
            <w:r>
              <w:rPr>
                <w:rFonts w:hint="default" w:ascii="Times New Roman" w:hAnsi="Times New Roman" w:eastAsia="宋体" w:cs="Times New Roman"/>
                <w:b w:val="0"/>
                <w:bCs w:val="0"/>
                <w:caps w:val="0"/>
                <w:smallCaps w:val="0"/>
                <w:color w:val="auto"/>
                <w:sz w:val="24"/>
                <w:szCs w:val="24"/>
                <w:highlight w:val="none"/>
                <w:lang w:val="en-US" w:eastAsia="zh-CN"/>
              </w:rPr>
              <w:t>t/a</w:t>
            </w:r>
            <w:r>
              <w:rPr>
                <w:rFonts w:hint="eastAsia" w:ascii="Times New Roman" w:hAnsi="Times New Roman" w:eastAsia="宋体" w:cs="Times New Roman"/>
                <w:b w:val="0"/>
                <w:bCs w:val="0"/>
                <w:caps w:val="0"/>
                <w:smallCaps w:val="0"/>
                <w:color w:val="auto"/>
                <w:sz w:val="24"/>
                <w:szCs w:val="24"/>
                <w:highlight w:val="none"/>
                <w:lang w:val="en-US" w:eastAsia="zh-CN"/>
              </w:rPr>
              <w:t>，即本项目新增</w:t>
            </w:r>
            <w:r>
              <w:rPr>
                <w:rFonts w:hint="eastAsia" w:cs="Times New Roman"/>
                <w:color w:val="auto"/>
                <w:sz w:val="24"/>
                <w:szCs w:val="24"/>
                <w:highlight w:val="none"/>
                <w:lang w:val="en-US" w:eastAsia="zh-CN"/>
              </w:rPr>
              <w:t>生活</w:t>
            </w:r>
            <w:r>
              <w:rPr>
                <w:rFonts w:hint="eastAsia" w:cs="Times New Roman"/>
                <w:b w:val="0"/>
                <w:bCs/>
                <w:color w:val="auto"/>
                <w:kern w:val="0"/>
                <w:sz w:val="24"/>
                <w:szCs w:val="24"/>
                <w:highlight w:val="none"/>
                <w:lang w:val="en-US" w:eastAsia="zh-CN" w:bidi="ar"/>
              </w:rPr>
              <w:t>污水处理站</w:t>
            </w:r>
            <w:r>
              <w:rPr>
                <w:rFonts w:hint="eastAsia" w:cs="Times New Roman"/>
                <w:color w:val="auto"/>
                <w:kern w:val="0"/>
                <w:sz w:val="24"/>
                <w:szCs w:val="24"/>
                <w:highlight w:val="none"/>
                <w:lang w:val="en-US" w:eastAsia="zh-CN" w:bidi="ar"/>
              </w:rPr>
              <w:t>污泥的产生量为</w:t>
            </w:r>
            <w:r>
              <w:rPr>
                <w:rFonts w:hint="eastAsia" w:cs="Times New Roman"/>
                <w:b w:val="0"/>
                <w:bCs w:val="0"/>
                <w:caps w:val="0"/>
                <w:smallCaps w:val="0"/>
                <w:color w:val="auto"/>
                <w:sz w:val="24"/>
                <w:szCs w:val="24"/>
                <w:highlight w:val="none"/>
                <w:lang w:val="en-US" w:eastAsia="zh-CN"/>
              </w:rPr>
              <w:t>2.105</w:t>
            </w:r>
            <w:r>
              <w:rPr>
                <w:rFonts w:hint="default" w:ascii="Times New Roman" w:hAnsi="Times New Roman" w:eastAsia="宋体" w:cs="Times New Roman"/>
                <w:b w:val="0"/>
                <w:bCs w:val="0"/>
                <w:caps w:val="0"/>
                <w:smallCaps w:val="0"/>
                <w:color w:val="auto"/>
                <w:sz w:val="24"/>
                <w:szCs w:val="24"/>
                <w:highlight w:val="none"/>
                <w:lang w:val="en-US" w:eastAsia="zh-CN"/>
              </w:rPr>
              <w:t>t/a</w:t>
            </w:r>
            <w:r>
              <w:rPr>
                <w:rFonts w:hint="eastAsia" w:ascii="Times New Roman" w:hAnsi="Times New Roman" w:eastAsia="宋体" w:cs="Times New Roman"/>
                <w:b w:val="0"/>
                <w:bCs w:val="0"/>
                <w:caps w:val="0"/>
                <w:smallCaps w:val="0"/>
                <w:color w:val="auto"/>
                <w:sz w:val="24"/>
                <w:szCs w:val="24"/>
                <w:highlight w:val="none"/>
                <w:lang w:val="en-US" w:eastAsia="zh-CN"/>
              </w:rPr>
              <w:t>。</w:t>
            </w:r>
            <w:r>
              <w:rPr>
                <w:rFonts w:hint="eastAsia" w:ascii="Times New Roman" w:hAnsi="Times New Roman" w:eastAsia="宋体" w:cs="Times New Roman"/>
                <w:b w:val="0"/>
                <w:bCs/>
                <w:color w:val="auto"/>
                <w:kern w:val="0"/>
                <w:sz w:val="24"/>
                <w:szCs w:val="24"/>
                <w:highlight w:val="none"/>
                <w:lang w:val="en-US" w:eastAsia="zh-CN" w:bidi="ar"/>
              </w:rPr>
              <w:t>产生的污泥属于固体废物，不属于危险废物，定期委托环卫部门清掏清运处置</w:t>
            </w:r>
            <w:r>
              <w:rPr>
                <w:rFonts w:hint="default" w:ascii="Times New Roman" w:hAnsi="Times New Roman" w:eastAsia="宋体" w:cs="Times New Roman"/>
                <w:b w:val="0"/>
                <w:bCs/>
                <w:color w:val="auto"/>
                <w:kern w:val="0"/>
                <w:sz w:val="24"/>
                <w:szCs w:val="24"/>
                <w:highlight w:val="none"/>
                <w:lang w:val="en-US" w:eastAsia="zh-CN" w:bidi="ar"/>
              </w:rPr>
              <w:t>。</w:t>
            </w:r>
          </w:p>
          <w:p w14:paraId="56D14A4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eastAsia" w:cs="Times New Roman"/>
                <w:b w:val="0"/>
                <w:bCs/>
                <w:color w:val="auto"/>
                <w:kern w:val="0"/>
                <w:sz w:val="24"/>
                <w:szCs w:val="24"/>
                <w:highlight w:val="none"/>
                <w:lang w:val="en-US" w:eastAsia="zh-CN" w:bidi="ar"/>
              </w:rPr>
              <w:t>3</w:t>
            </w:r>
            <w:r>
              <w:rPr>
                <w:rFonts w:hint="default" w:ascii="Times New Roman" w:hAnsi="Times New Roman" w:eastAsia="宋体" w:cs="Times New Roman"/>
                <w:b w:val="0"/>
                <w:bCs/>
                <w:color w:val="auto"/>
                <w:kern w:val="0"/>
                <w:sz w:val="24"/>
                <w:szCs w:val="24"/>
                <w:highlight w:val="none"/>
                <w:lang w:val="en-US" w:eastAsia="zh-CN" w:bidi="ar"/>
              </w:rPr>
              <w:t>）危险</w:t>
            </w:r>
            <w:r>
              <w:rPr>
                <w:rFonts w:hint="eastAsia" w:cs="Times New Roman"/>
                <w:b w:val="0"/>
                <w:bCs/>
                <w:color w:val="auto"/>
                <w:kern w:val="0"/>
                <w:sz w:val="24"/>
                <w:szCs w:val="24"/>
                <w:highlight w:val="none"/>
                <w:lang w:val="en-US" w:eastAsia="zh-CN" w:bidi="ar"/>
              </w:rPr>
              <w:t>废物</w:t>
            </w:r>
          </w:p>
          <w:p w14:paraId="7455D819">
            <w:pPr>
              <w:pStyle w:val="4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本项目危险</w:t>
            </w:r>
            <w:r>
              <w:rPr>
                <w:rFonts w:hint="eastAsia" w:cs="Times New Roman"/>
                <w:color w:val="auto"/>
                <w:kern w:val="0"/>
                <w:sz w:val="24"/>
                <w:szCs w:val="24"/>
                <w:highlight w:val="none"/>
                <w:lang w:val="en-US" w:eastAsia="zh-CN" w:bidi="ar"/>
              </w:rPr>
              <w:t>废物主要为</w:t>
            </w:r>
            <w:r>
              <w:rPr>
                <w:rFonts w:hint="eastAsia" w:ascii="Times New Roman" w:hAnsi="Times New Roman" w:eastAsia="宋体" w:cs="Times New Roman"/>
                <w:color w:val="auto"/>
                <w:kern w:val="0"/>
                <w:sz w:val="24"/>
                <w:szCs w:val="24"/>
                <w:highlight w:val="none"/>
                <w:lang w:val="en-US" w:eastAsia="zh-CN" w:bidi="ar"/>
              </w:rPr>
              <w:t>机修过程产生的废机油</w:t>
            </w:r>
            <w:r>
              <w:rPr>
                <w:rFonts w:hint="eastAsia" w:cs="Times New Roman"/>
                <w:color w:val="auto"/>
                <w:kern w:val="0"/>
                <w:sz w:val="24"/>
                <w:szCs w:val="24"/>
                <w:highlight w:val="none"/>
                <w:lang w:val="en-US" w:eastAsia="zh-CN" w:bidi="ar"/>
              </w:rPr>
              <w:t>、生产废水处理站污泥、空桶（空硫酸桶、空盐酸桶、空防火液桶）</w:t>
            </w:r>
            <w:r>
              <w:rPr>
                <w:rFonts w:hint="eastAsia" w:ascii="Times New Roman" w:hAnsi="Times New Roman" w:eastAsia="宋体" w:cs="Times New Roman"/>
                <w:color w:val="auto"/>
                <w:kern w:val="0"/>
                <w:sz w:val="24"/>
                <w:szCs w:val="24"/>
                <w:highlight w:val="none"/>
                <w:lang w:val="en-US" w:eastAsia="zh-CN" w:bidi="ar"/>
              </w:rPr>
              <w:t>。</w:t>
            </w:r>
          </w:p>
          <w:p w14:paraId="183C1262">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①</w:t>
            </w:r>
            <w:r>
              <w:rPr>
                <w:rFonts w:hint="eastAsia" w:ascii="Times New Roman" w:hAnsi="Times New Roman" w:eastAsia="宋体" w:cs="Times New Roman"/>
                <w:color w:val="auto"/>
                <w:kern w:val="0"/>
                <w:sz w:val="24"/>
                <w:szCs w:val="24"/>
                <w:highlight w:val="none"/>
                <w:lang w:val="en-US" w:eastAsia="zh-CN" w:bidi="ar"/>
              </w:rPr>
              <w:t>废机油</w:t>
            </w:r>
          </w:p>
          <w:p w14:paraId="7A0589DD">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cs="Times New Roman"/>
                <w:color w:val="auto"/>
                <w:kern w:val="0"/>
                <w:sz w:val="24"/>
                <w:szCs w:val="24"/>
                <w:highlight w:val="none"/>
                <w:lang w:val="en-US" w:eastAsia="zh-CN" w:bidi="ar"/>
              </w:rPr>
              <w:t>项目使用的生产设备和公辅设施在定期维护保养过程中会产生废机油，根据建设单位提供资料，产生量约</w:t>
            </w:r>
            <w:r>
              <w:rPr>
                <w:rFonts w:hint="eastAsia" w:cs="Times New Roman"/>
                <w:color w:val="auto"/>
                <w:kern w:val="0"/>
                <w:sz w:val="24"/>
                <w:szCs w:val="24"/>
                <w:highlight w:val="none"/>
                <w:lang w:val="en-US" w:eastAsia="zh-CN" w:bidi="ar"/>
              </w:rPr>
              <w:t>为</w:t>
            </w:r>
            <w:r>
              <w:rPr>
                <w:rFonts w:hint="default"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5</w:t>
            </w:r>
            <w:r>
              <w:rPr>
                <w:rFonts w:hint="default" w:cs="Times New Roman"/>
                <w:color w:val="auto"/>
                <w:kern w:val="0"/>
                <w:sz w:val="24"/>
                <w:szCs w:val="24"/>
                <w:highlight w:val="none"/>
                <w:lang w:val="en-US" w:eastAsia="zh-CN" w:bidi="ar"/>
              </w:rPr>
              <w:t>t/a</w:t>
            </w:r>
            <w:r>
              <w:rPr>
                <w:rFonts w:hint="eastAsia" w:cs="Times New Roman"/>
                <w:color w:val="auto"/>
                <w:kern w:val="0"/>
                <w:sz w:val="24"/>
                <w:szCs w:val="24"/>
                <w:highlight w:val="none"/>
                <w:lang w:val="en-US" w:eastAsia="zh-CN" w:bidi="ar"/>
              </w:rPr>
              <w:t>。</w:t>
            </w:r>
            <w:r>
              <w:rPr>
                <w:rFonts w:hint="default" w:cs="Times New Roman"/>
                <w:color w:val="auto"/>
                <w:kern w:val="0"/>
                <w:sz w:val="24"/>
                <w:szCs w:val="24"/>
                <w:highlight w:val="none"/>
                <w:lang w:val="en-US" w:eastAsia="zh-CN" w:bidi="ar"/>
              </w:rPr>
              <w:t>根据《国家危险废物名录（2021年版）》，</w:t>
            </w:r>
            <w:r>
              <w:rPr>
                <w:rFonts w:hint="eastAsia" w:cs="Times New Roman"/>
                <w:color w:val="auto"/>
                <w:kern w:val="0"/>
                <w:sz w:val="24"/>
                <w:szCs w:val="24"/>
                <w:highlight w:val="none"/>
                <w:lang w:val="en-US" w:eastAsia="zh-CN" w:bidi="ar"/>
              </w:rPr>
              <w:t>废机油属于</w:t>
            </w:r>
            <w:r>
              <w:rPr>
                <w:rFonts w:hint="default" w:cs="Times New Roman"/>
                <w:color w:val="auto"/>
                <w:kern w:val="0"/>
                <w:sz w:val="24"/>
                <w:szCs w:val="24"/>
                <w:highlight w:val="none"/>
                <w:lang w:val="en-US" w:eastAsia="zh-CN" w:bidi="ar"/>
              </w:rPr>
              <w:t>HW</w:t>
            </w:r>
            <w:r>
              <w:rPr>
                <w:rFonts w:hint="eastAsia" w:cs="Times New Roman"/>
                <w:color w:val="auto"/>
                <w:kern w:val="0"/>
                <w:sz w:val="24"/>
                <w:szCs w:val="24"/>
                <w:highlight w:val="none"/>
                <w:lang w:val="en-US" w:eastAsia="zh-CN" w:bidi="ar"/>
              </w:rPr>
              <w:t>08 废矿物油与含矿物油废物</w:t>
            </w:r>
            <w:r>
              <w:rPr>
                <w:rFonts w:hint="eastAsia" w:cs="Times New Roman"/>
                <w:color w:val="auto"/>
                <w:kern w:val="0"/>
                <w:sz w:val="24"/>
                <w:szCs w:val="24"/>
                <w:highlight w:val="none"/>
                <w:lang w:val="zh-CN" w:eastAsia="zh-CN" w:bidi="ar"/>
              </w:rPr>
              <w:t>，</w:t>
            </w:r>
            <w:r>
              <w:rPr>
                <w:rFonts w:hint="eastAsia" w:cs="Times New Roman"/>
                <w:color w:val="auto"/>
                <w:kern w:val="0"/>
                <w:sz w:val="24"/>
                <w:szCs w:val="24"/>
                <w:highlight w:val="none"/>
                <w:lang w:val="en-US" w:eastAsia="zh-CN" w:bidi="ar"/>
              </w:rPr>
              <w:t>废物代</w:t>
            </w:r>
            <w:r>
              <w:rPr>
                <w:rFonts w:hint="eastAsia" w:cs="Times New Roman"/>
                <w:b w:val="0"/>
                <w:bCs w:val="0"/>
                <w:color w:val="auto"/>
                <w:sz w:val="24"/>
                <w:szCs w:val="24"/>
                <w:highlight w:val="none"/>
                <w:lang w:val="en-US" w:eastAsia="zh-CN"/>
              </w:rPr>
              <w:t>码为</w:t>
            </w:r>
            <w:r>
              <w:rPr>
                <w:rFonts w:hint="default" w:ascii="Times New Roman" w:hAnsi="Times New Roman" w:eastAsia="宋体" w:cs="Times New Roman"/>
                <w:b w:val="0"/>
                <w:bCs w:val="0"/>
                <w:color w:val="auto"/>
                <w:sz w:val="24"/>
                <w:szCs w:val="24"/>
                <w:highlight w:val="none"/>
                <w:lang w:val="en-US" w:eastAsia="zh-CN"/>
              </w:rPr>
              <w:t>900-</w:t>
            </w:r>
            <w:r>
              <w:rPr>
                <w:rFonts w:hint="eastAsia" w:cs="Times New Roman"/>
                <w:b w:val="0"/>
                <w:bCs w:val="0"/>
                <w:color w:val="auto"/>
                <w:sz w:val="24"/>
                <w:szCs w:val="24"/>
                <w:highlight w:val="none"/>
                <w:lang w:val="en-US" w:eastAsia="zh-CN"/>
              </w:rPr>
              <w:t>214</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08</w:t>
            </w:r>
            <w:r>
              <w:rPr>
                <w:rFonts w:hint="default" w:ascii="Times New Roman" w:hAnsi="Times New Roman" w:eastAsia="宋体" w:cs="Times New Roman"/>
                <w:color w:val="auto"/>
                <w:kern w:val="2"/>
                <w:sz w:val="24"/>
                <w:szCs w:val="24"/>
                <w:highlight w:val="none"/>
                <w:lang w:val="en-US" w:eastAsia="zh-CN" w:bidi="ar"/>
              </w:rPr>
              <w:t>，</w:t>
            </w:r>
            <w:r>
              <w:rPr>
                <w:rFonts w:hint="default" w:cs="Times New Roman"/>
                <w:color w:val="auto"/>
                <w:kern w:val="0"/>
                <w:sz w:val="24"/>
                <w:szCs w:val="24"/>
                <w:highlight w:val="none"/>
                <w:lang w:val="zh-CN" w:eastAsia="zh-CN" w:bidi="ar"/>
              </w:rPr>
              <w:t>危险特性</w:t>
            </w:r>
            <w:r>
              <w:rPr>
                <w:rFonts w:hint="default" w:ascii="Times New Roman" w:hAnsi="Times New Roman" w:eastAsia="宋体" w:cs="Times New Roman"/>
                <w:color w:val="auto"/>
                <w:sz w:val="24"/>
                <w:szCs w:val="24"/>
                <w:highlight w:val="none"/>
                <w:lang w:val="zh-CN" w:eastAsia="zh-CN"/>
              </w:rPr>
              <w:t>为T/I，</w:t>
            </w:r>
            <w:r>
              <w:rPr>
                <w:rFonts w:hint="eastAsia" w:ascii="Times New Roman" w:hAnsi="Times New Roman" w:eastAsia="宋体" w:cs="Times New Roman"/>
                <w:color w:val="auto"/>
                <w:sz w:val="24"/>
                <w:szCs w:val="24"/>
                <w:highlight w:val="none"/>
                <w:lang w:val="en-US" w:eastAsia="zh-CN"/>
              </w:rPr>
              <w:t>使用</w:t>
            </w:r>
            <w:r>
              <w:rPr>
                <w:rFonts w:hint="default" w:ascii="Times New Roman" w:hAnsi="Times New Roman" w:eastAsia="宋体" w:cs="Times New Roman"/>
                <w:color w:val="auto"/>
                <w:sz w:val="24"/>
                <w:szCs w:val="24"/>
                <w:highlight w:val="none"/>
                <w:lang w:val="en-US" w:eastAsia="zh-CN"/>
              </w:rPr>
              <w:t>专用收集容器收集</w:t>
            </w:r>
            <w:r>
              <w:rPr>
                <w:rFonts w:hint="eastAsia" w:ascii="Times New Roman" w:hAnsi="Times New Roman" w:eastAsia="宋体" w:cs="Times New Roman"/>
                <w:color w:val="auto"/>
                <w:sz w:val="24"/>
                <w:szCs w:val="24"/>
                <w:highlight w:val="none"/>
                <w:lang w:val="en-US" w:eastAsia="zh-CN"/>
              </w:rPr>
              <w:t>暂存于危险废物暂存间，定期</w:t>
            </w:r>
            <w:r>
              <w:rPr>
                <w:rFonts w:hint="default" w:ascii="Times New Roman" w:hAnsi="Times New Roman" w:eastAsia="宋体" w:cs="Times New Roman"/>
                <w:color w:val="auto"/>
                <w:sz w:val="24"/>
                <w:szCs w:val="24"/>
                <w:highlight w:val="none"/>
                <w:lang w:val="en-US" w:eastAsia="zh-CN"/>
              </w:rPr>
              <w:t>委托</w:t>
            </w:r>
            <w:r>
              <w:rPr>
                <w:rFonts w:hint="eastAsia" w:ascii="Times New Roman" w:hAnsi="Times New Roman" w:eastAsia="宋体" w:cs="Times New Roman"/>
                <w:color w:val="auto"/>
                <w:sz w:val="24"/>
                <w:szCs w:val="24"/>
                <w:highlight w:val="none"/>
                <w:lang w:val="en-US" w:eastAsia="zh-CN"/>
              </w:rPr>
              <w:t>有资质的单位</w:t>
            </w:r>
            <w:r>
              <w:rPr>
                <w:rFonts w:hint="default" w:ascii="Times New Roman" w:hAnsi="Times New Roman" w:eastAsia="宋体" w:cs="Times New Roman"/>
                <w:color w:val="auto"/>
                <w:sz w:val="24"/>
                <w:szCs w:val="24"/>
                <w:highlight w:val="none"/>
                <w:lang w:val="en-US" w:eastAsia="zh-CN"/>
              </w:rPr>
              <w:t>清运处置。</w:t>
            </w:r>
          </w:p>
          <w:p w14:paraId="745F02B7">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②生产废水处理</w:t>
            </w:r>
            <w:r>
              <w:rPr>
                <w:rFonts w:hint="eastAsia" w:eastAsia="宋体" w:cs="Times New Roman"/>
                <w:color w:val="auto"/>
                <w:sz w:val="24"/>
                <w:szCs w:val="24"/>
                <w:highlight w:val="none"/>
                <w:lang w:val="en-US" w:eastAsia="zh-CN"/>
              </w:rPr>
              <w:t>站</w:t>
            </w:r>
            <w:r>
              <w:rPr>
                <w:rFonts w:hint="eastAsia" w:ascii="Times New Roman" w:hAnsi="Times New Roman" w:eastAsia="宋体" w:cs="Times New Roman"/>
                <w:color w:val="auto"/>
                <w:sz w:val="24"/>
                <w:szCs w:val="24"/>
                <w:highlight w:val="none"/>
                <w:lang w:val="en-US" w:eastAsia="zh-CN"/>
              </w:rPr>
              <w:t>污泥</w:t>
            </w:r>
          </w:p>
          <w:p w14:paraId="33B1C061">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eastAsia="宋体" w:cs="Times New Roman"/>
                <w:color w:val="auto"/>
                <w:sz w:val="24"/>
                <w:szCs w:val="24"/>
                <w:highlight w:val="none"/>
                <w:lang w:val="en-US" w:eastAsia="zh-CN"/>
              </w:rPr>
              <w:t>生产废</w:t>
            </w:r>
            <w:r>
              <w:rPr>
                <w:rFonts w:hint="eastAsia" w:ascii="Times New Roman" w:hAnsi="Times New Roman" w:eastAsia="宋体" w:cs="Times New Roman"/>
                <w:color w:val="auto"/>
                <w:sz w:val="24"/>
                <w:szCs w:val="24"/>
                <w:highlight w:val="none"/>
                <w:lang w:val="en-US" w:eastAsia="zh-CN"/>
              </w:rPr>
              <w:t>水处理</w:t>
            </w:r>
            <w:r>
              <w:rPr>
                <w:rFonts w:hint="eastAsia" w:eastAsia="宋体" w:cs="Times New Roman"/>
                <w:color w:val="auto"/>
                <w:sz w:val="24"/>
                <w:szCs w:val="24"/>
                <w:highlight w:val="none"/>
                <w:lang w:val="en-US" w:eastAsia="zh-CN"/>
              </w:rPr>
              <w:t>设施</w:t>
            </w:r>
            <w:r>
              <w:rPr>
                <w:rFonts w:hint="default" w:ascii="Times New Roman" w:hAnsi="Times New Roman" w:eastAsia="宋体" w:cs="Times New Roman"/>
                <w:color w:val="auto"/>
                <w:sz w:val="24"/>
                <w:szCs w:val="24"/>
                <w:highlight w:val="none"/>
                <w:lang w:val="en-US" w:eastAsia="zh-CN"/>
              </w:rPr>
              <w:t>在</w:t>
            </w:r>
            <w:r>
              <w:rPr>
                <w:rFonts w:hint="eastAsia" w:ascii="Times New Roman" w:hAnsi="Times New Roman" w:eastAsia="宋体" w:cs="Times New Roman"/>
                <w:color w:val="auto"/>
                <w:sz w:val="24"/>
                <w:szCs w:val="24"/>
                <w:highlight w:val="none"/>
                <w:lang w:val="en-US" w:eastAsia="zh-CN"/>
              </w:rPr>
              <w:t>运行</w:t>
            </w:r>
            <w:r>
              <w:rPr>
                <w:rFonts w:hint="default" w:ascii="Times New Roman" w:hAnsi="Times New Roman" w:eastAsia="宋体" w:cs="Times New Roman"/>
                <w:color w:val="auto"/>
                <w:sz w:val="24"/>
                <w:szCs w:val="24"/>
                <w:highlight w:val="none"/>
                <w:lang w:val="en-US" w:eastAsia="zh-CN"/>
              </w:rPr>
              <w:t>过程会有污泥产生</w:t>
            </w:r>
            <w:r>
              <w:rPr>
                <w:rFonts w:hint="eastAsia" w:ascii="Times New Roman" w:hAnsi="Times New Roman" w:eastAsia="宋体" w:cs="Times New Roman"/>
                <w:color w:val="auto"/>
                <w:sz w:val="24"/>
                <w:szCs w:val="24"/>
                <w:highlight w:val="none"/>
                <w:lang w:val="en-US" w:eastAsia="zh-CN"/>
              </w:rPr>
              <w:t>。类比</w:t>
            </w:r>
            <w:r>
              <w:rPr>
                <w:rFonts w:hint="eastAsia" w:eastAsia="宋体" w:cs="Times New Roman"/>
                <w:color w:val="auto"/>
                <w:sz w:val="24"/>
                <w:szCs w:val="24"/>
                <w:highlight w:val="none"/>
                <w:lang w:val="en-US" w:eastAsia="zh-CN"/>
              </w:rPr>
              <w:t>《青岛鑫龙新都工贸有限公司玻璃蒙砂项目竣工环境保护验收监测报告》</w:t>
            </w:r>
            <w:r>
              <w:rPr>
                <w:rFonts w:hint="eastAsia" w:ascii="Times New Roman" w:hAnsi="Times New Roman" w:eastAsia="宋体" w:cs="Times New Roman"/>
                <w:color w:val="auto"/>
                <w:sz w:val="24"/>
                <w:szCs w:val="24"/>
                <w:highlight w:val="none"/>
                <w:lang w:val="en-US" w:eastAsia="zh-CN"/>
              </w:rPr>
              <w:t>，生产废水处理污泥的产生量约为</w:t>
            </w: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default" w:cs="Times New Roman"/>
                <w:color w:val="auto"/>
                <w:kern w:val="0"/>
                <w:sz w:val="24"/>
                <w:szCs w:val="24"/>
                <w:highlight w:val="none"/>
                <w:lang w:val="en-US" w:eastAsia="zh-CN" w:bidi="ar"/>
              </w:rPr>
              <w:t>根据《国家危险废物名录（2021年版）》，</w:t>
            </w:r>
            <w:r>
              <w:rPr>
                <w:rFonts w:hint="eastAsia" w:eastAsia="宋体" w:cs="Times New Roman"/>
                <w:color w:val="auto"/>
                <w:sz w:val="24"/>
                <w:szCs w:val="24"/>
                <w:highlight w:val="none"/>
                <w:lang w:val="en-US" w:eastAsia="zh-CN"/>
              </w:rPr>
              <w:t>生产废</w:t>
            </w:r>
            <w:r>
              <w:rPr>
                <w:rFonts w:hint="eastAsia" w:ascii="Times New Roman" w:hAnsi="Times New Roman" w:eastAsia="宋体" w:cs="Times New Roman"/>
                <w:color w:val="auto"/>
                <w:sz w:val="24"/>
                <w:szCs w:val="24"/>
                <w:highlight w:val="none"/>
                <w:lang w:val="en-US" w:eastAsia="zh-CN"/>
              </w:rPr>
              <w:t>水处理</w:t>
            </w:r>
            <w:r>
              <w:rPr>
                <w:rFonts w:hint="eastAsia" w:eastAsia="宋体" w:cs="Times New Roman"/>
                <w:color w:val="auto"/>
                <w:sz w:val="24"/>
                <w:szCs w:val="24"/>
                <w:highlight w:val="none"/>
                <w:lang w:val="en-US" w:eastAsia="zh-CN"/>
              </w:rPr>
              <w:t>设施</w:t>
            </w:r>
            <w:r>
              <w:rPr>
                <w:rFonts w:hint="eastAsia" w:ascii="Times New Roman" w:hAnsi="Times New Roman" w:eastAsia="宋体" w:cs="Times New Roman"/>
                <w:color w:val="auto"/>
                <w:sz w:val="24"/>
                <w:szCs w:val="24"/>
                <w:highlight w:val="none"/>
                <w:lang w:val="en-US" w:eastAsia="zh-CN"/>
              </w:rPr>
              <w:t>产生的污泥属于危险废物</w:t>
            </w:r>
            <w:r>
              <w:rPr>
                <w:rFonts w:hint="eastAsia" w:eastAsia="宋体" w:cs="Times New Roman"/>
                <w:color w:val="auto"/>
                <w:sz w:val="24"/>
                <w:szCs w:val="24"/>
                <w:highlight w:val="none"/>
                <w:lang w:val="en-US" w:eastAsia="zh-CN"/>
              </w:rPr>
              <w:t>，废物类别为HW32 无机氟化物废物</w:t>
            </w:r>
            <w:r>
              <w:rPr>
                <w:rFonts w:hint="eastAsia" w:cs="Times New Roman"/>
                <w:color w:val="auto"/>
                <w:kern w:val="0"/>
                <w:sz w:val="24"/>
                <w:szCs w:val="24"/>
                <w:highlight w:val="none"/>
                <w:lang w:val="zh-CN" w:eastAsia="zh-CN" w:bidi="ar"/>
              </w:rPr>
              <w:t>，</w:t>
            </w:r>
            <w:r>
              <w:rPr>
                <w:rFonts w:hint="eastAsia" w:cs="Times New Roman"/>
                <w:color w:val="auto"/>
                <w:kern w:val="0"/>
                <w:sz w:val="24"/>
                <w:szCs w:val="24"/>
                <w:highlight w:val="none"/>
                <w:lang w:val="en-US" w:eastAsia="zh-CN" w:bidi="ar"/>
              </w:rPr>
              <w:t>废物代</w:t>
            </w:r>
            <w:r>
              <w:rPr>
                <w:rFonts w:hint="eastAsia" w:cs="Times New Roman"/>
                <w:b w:val="0"/>
                <w:bCs w:val="0"/>
                <w:color w:val="auto"/>
                <w:sz w:val="24"/>
                <w:szCs w:val="24"/>
                <w:highlight w:val="none"/>
                <w:lang w:val="en-US" w:eastAsia="zh-CN"/>
              </w:rPr>
              <w:t>码为</w:t>
            </w:r>
            <w:r>
              <w:rPr>
                <w:rFonts w:hint="eastAsia" w:eastAsia="宋体" w:cs="Times New Roman"/>
                <w:b w:val="0"/>
                <w:bCs w:val="0"/>
                <w:color w:val="auto"/>
                <w:sz w:val="24"/>
                <w:szCs w:val="24"/>
                <w:highlight w:val="none"/>
                <w:lang w:val="en-US" w:eastAsia="zh-CN"/>
              </w:rPr>
              <w:t>900-026-32，</w:t>
            </w:r>
            <w:r>
              <w:rPr>
                <w:rFonts w:hint="default" w:cs="Times New Roman"/>
                <w:color w:val="auto"/>
                <w:kern w:val="0"/>
                <w:sz w:val="24"/>
                <w:szCs w:val="24"/>
                <w:highlight w:val="none"/>
                <w:lang w:val="zh-CN" w:eastAsia="zh-CN" w:bidi="ar"/>
              </w:rPr>
              <w:t>危险特性</w:t>
            </w:r>
            <w:r>
              <w:rPr>
                <w:rFonts w:hint="default" w:ascii="Times New Roman" w:hAnsi="Times New Roman" w:eastAsia="宋体" w:cs="Times New Roman"/>
                <w:color w:val="auto"/>
                <w:sz w:val="24"/>
                <w:szCs w:val="24"/>
                <w:highlight w:val="none"/>
                <w:lang w:val="zh-CN" w:eastAsia="zh-CN"/>
              </w:rPr>
              <w:t>为T/</w:t>
            </w:r>
            <w:r>
              <w:rPr>
                <w:rFonts w:hint="eastAsia"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en-US" w:eastAsia="zh-CN"/>
              </w:rPr>
              <w:t>使用</w:t>
            </w:r>
            <w:r>
              <w:rPr>
                <w:rFonts w:hint="default" w:ascii="Times New Roman" w:hAnsi="Times New Roman" w:eastAsia="宋体" w:cs="Times New Roman"/>
                <w:color w:val="auto"/>
                <w:sz w:val="24"/>
                <w:szCs w:val="24"/>
                <w:highlight w:val="none"/>
                <w:lang w:val="en-US" w:eastAsia="zh-CN"/>
              </w:rPr>
              <w:t>专用收集容器收集</w:t>
            </w:r>
            <w:r>
              <w:rPr>
                <w:rFonts w:hint="eastAsia" w:ascii="Times New Roman" w:hAnsi="Times New Roman" w:eastAsia="宋体" w:cs="Times New Roman"/>
                <w:color w:val="auto"/>
                <w:sz w:val="24"/>
                <w:szCs w:val="24"/>
                <w:highlight w:val="none"/>
                <w:lang w:val="en-US" w:eastAsia="zh-CN"/>
              </w:rPr>
              <w:t>暂存于危险废物暂存间，定期</w:t>
            </w:r>
            <w:r>
              <w:rPr>
                <w:rFonts w:hint="default" w:ascii="Times New Roman" w:hAnsi="Times New Roman" w:eastAsia="宋体" w:cs="Times New Roman"/>
                <w:color w:val="auto"/>
                <w:sz w:val="24"/>
                <w:szCs w:val="24"/>
                <w:highlight w:val="none"/>
                <w:lang w:val="en-US" w:eastAsia="zh-CN"/>
              </w:rPr>
              <w:t>委托</w:t>
            </w:r>
            <w:r>
              <w:rPr>
                <w:rFonts w:hint="eastAsia" w:ascii="Times New Roman" w:hAnsi="Times New Roman" w:eastAsia="宋体" w:cs="Times New Roman"/>
                <w:color w:val="auto"/>
                <w:sz w:val="24"/>
                <w:szCs w:val="24"/>
                <w:highlight w:val="none"/>
                <w:lang w:val="en-US" w:eastAsia="zh-CN"/>
              </w:rPr>
              <w:t>有资质的单位</w:t>
            </w:r>
            <w:r>
              <w:rPr>
                <w:rFonts w:hint="default" w:ascii="Times New Roman" w:hAnsi="Times New Roman" w:eastAsia="宋体" w:cs="Times New Roman"/>
                <w:color w:val="auto"/>
                <w:sz w:val="24"/>
                <w:szCs w:val="24"/>
                <w:highlight w:val="none"/>
                <w:lang w:val="en-US" w:eastAsia="zh-CN"/>
              </w:rPr>
              <w:t>清运处置。</w:t>
            </w:r>
          </w:p>
          <w:p w14:paraId="0C04D77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eastAsia" w:eastAsia="宋体" w:cs="Times New Roman"/>
                <w:b w:val="0"/>
                <w:bCs/>
                <w:color w:val="auto"/>
                <w:kern w:val="0"/>
                <w:sz w:val="24"/>
                <w:szCs w:val="24"/>
                <w:highlight w:val="none"/>
                <w:lang w:val="en-US" w:eastAsia="zh-CN" w:bidi="ar"/>
              </w:rPr>
              <w:t>③</w:t>
            </w:r>
            <w:r>
              <w:rPr>
                <w:rFonts w:hint="eastAsia" w:cs="Times New Roman"/>
                <w:b w:val="0"/>
                <w:bCs/>
                <w:color w:val="auto"/>
                <w:kern w:val="0"/>
                <w:sz w:val="24"/>
                <w:szCs w:val="24"/>
                <w:highlight w:val="none"/>
                <w:lang w:val="en-US" w:eastAsia="zh-CN" w:bidi="ar"/>
              </w:rPr>
              <w:t>空桶（</w:t>
            </w:r>
            <w:r>
              <w:rPr>
                <w:rFonts w:hint="eastAsia" w:cs="Times New Roman"/>
                <w:color w:val="auto"/>
                <w:kern w:val="0"/>
                <w:sz w:val="24"/>
                <w:szCs w:val="24"/>
                <w:highlight w:val="none"/>
                <w:lang w:val="en-US" w:eastAsia="zh-CN" w:bidi="ar"/>
              </w:rPr>
              <w:t>空硫酸桶、空盐酸桶、空防火液桶）</w:t>
            </w:r>
          </w:p>
          <w:p w14:paraId="7DEDCC17">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cs="Times New Roman"/>
                <w:color w:val="auto"/>
                <w:kern w:val="0"/>
                <w:sz w:val="24"/>
                <w:szCs w:val="24"/>
                <w:highlight w:val="none"/>
                <w:lang w:val="en-US" w:eastAsia="zh-CN" w:bidi="ar"/>
              </w:rPr>
              <w:t>本项目使用的硫酸、盐酸和防火液均为桶装，硫酸年使用量为21t，盐酸年使用量为20t，防火液使用量为3t，规格均为25kg/桶。则空硫酸桶产生量为840只/a，空盐酸桶产生量为800只/a，空防火液桶产生量为120只/a。</w:t>
            </w:r>
            <w:r>
              <w:rPr>
                <w:rFonts w:hint="default" w:cs="Times New Roman"/>
                <w:color w:val="auto"/>
                <w:kern w:val="0"/>
                <w:sz w:val="24"/>
                <w:szCs w:val="24"/>
                <w:highlight w:val="none"/>
                <w:lang w:val="en-US" w:eastAsia="zh-CN" w:bidi="ar"/>
              </w:rPr>
              <w:t>根据《国家危险废物名录（2021年版）》，</w:t>
            </w:r>
            <w:r>
              <w:rPr>
                <w:rFonts w:hint="eastAsia" w:cs="Times New Roman"/>
                <w:color w:val="auto"/>
                <w:kern w:val="0"/>
                <w:sz w:val="24"/>
                <w:szCs w:val="24"/>
                <w:highlight w:val="none"/>
                <w:lang w:val="en-US" w:eastAsia="zh-CN" w:bidi="ar"/>
              </w:rPr>
              <w:t>空硫酸桶、空盐酸桶、空防火液桶</w:t>
            </w:r>
            <w:r>
              <w:rPr>
                <w:rFonts w:hint="eastAsia" w:ascii="Times New Roman" w:hAnsi="Times New Roman" w:eastAsia="宋体" w:cs="Times New Roman"/>
                <w:color w:val="auto"/>
                <w:sz w:val="24"/>
                <w:szCs w:val="24"/>
                <w:highlight w:val="none"/>
                <w:lang w:val="en-US" w:eastAsia="zh-CN"/>
              </w:rPr>
              <w:t>属于危险废物</w:t>
            </w:r>
            <w:r>
              <w:rPr>
                <w:rFonts w:hint="eastAsia" w:eastAsia="宋体" w:cs="Times New Roman"/>
                <w:color w:val="auto"/>
                <w:sz w:val="24"/>
                <w:szCs w:val="24"/>
                <w:highlight w:val="none"/>
                <w:lang w:val="en-US" w:eastAsia="zh-CN"/>
              </w:rPr>
              <w:t>，废物类别为HW49 其他废物</w:t>
            </w:r>
            <w:r>
              <w:rPr>
                <w:rFonts w:hint="eastAsia" w:cs="Times New Roman"/>
                <w:color w:val="auto"/>
                <w:kern w:val="0"/>
                <w:sz w:val="24"/>
                <w:szCs w:val="24"/>
                <w:highlight w:val="none"/>
                <w:lang w:val="zh-CN" w:eastAsia="zh-CN" w:bidi="ar"/>
              </w:rPr>
              <w:t>，</w:t>
            </w:r>
            <w:r>
              <w:rPr>
                <w:rFonts w:hint="eastAsia" w:cs="Times New Roman"/>
                <w:color w:val="auto"/>
                <w:kern w:val="0"/>
                <w:sz w:val="24"/>
                <w:szCs w:val="24"/>
                <w:highlight w:val="none"/>
                <w:lang w:val="en-US" w:eastAsia="zh-CN" w:bidi="ar"/>
              </w:rPr>
              <w:t>废物代</w:t>
            </w:r>
            <w:r>
              <w:rPr>
                <w:rFonts w:hint="eastAsia" w:cs="Times New Roman"/>
                <w:b w:val="0"/>
                <w:bCs w:val="0"/>
                <w:color w:val="auto"/>
                <w:sz w:val="24"/>
                <w:szCs w:val="24"/>
                <w:highlight w:val="none"/>
                <w:lang w:val="en-US" w:eastAsia="zh-CN"/>
              </w:rPr>
              <w:t>码为</w:t>
            </w:r>
            <w:r>
              <w:rPr>
                <w:rFonts w:hint="eastAsia" w:eastAsia="宋体" w:cs="Times New Roman"/>
                <w:b w:val="0"/>
                <w:bCs w:val="0"/>
                <w:color w:val="auto"/>
                <w:sz w:val="24"/>
                <w:szCs w:val="24"/>
                <w:highlight w:val="none"/>
                <w:lang w:val="en-US" w:eastAsia="zh-CN"/>
              </w:rPr>
              <w:t>900-041-49，</w:t>
            </w:r>
            <w:r>
              <w:rPr>
                <w:rFonts w:hint="default" w:cs="Times New Roman"/>
                <w:color w:val="auto"/>
                <w:kern w:val="0"/>
                <w:sz w:val="24"/>
                <w:szCs w:val="24"/>
                <w:highlight w:val="none"/>
                <w:lang w:val="zh-CN" w:eastAsia="zh-CN" w:bidi="ar"/>
              </w:rPr>
              <w:t>危险特性</w:t>
            </w:r>
            <w:r>
              <w:rPr>
                <w:rFonts w:hint="default" w:ascii="Times New Roman" w:hAnsi="Times New Roman" w:eastAsia="宋体" w:cs="Times New Roman"/>
                <w:color w:val="auto"/>
                <w:sz w:val="24"/>
                <w:szCs w:val="24"/>
                <w:highlight w:val="none"/>
                <w:lang w:val="zh-CN" w:eastAsia="zh-CN"/>
              </w:rPr>
              <w:t>为T/</w:t>
            </w:r>
            <w:r>
              <w:rPr>
                <w:rFonts w:hint="eastAsia" w:eastAsia="宋体" w:cs="Times New Roman"/>
                <w:color w:val="auto"/>
                <w:sz w:val="24"/>
                <w:szCs w:val="24"/>
                <w:highlight w:val="none"/>
                <w:lang w:val="en-US" w:eastAsia="zh-CN"/>
              </w:rPr>
              <w:t>In</w:t>
            </w:r>
            <w:r>
              <w:rPr>
                <w:rFonts w:hint="default" w:ascii="Times New Roman" w:hAnsi="Times New Roman" w:eastAsia="宋体" w:cs="Times New Roman"/>
                <w:color w:val="auto"/>
                <w:sz w:val="24"/>
                <w:szCs w:val="24"/>
                <w:highlight w:val="none"/>
                <w:lang w:val="zh-CN" w:eastAsia="zh-CN"/>
              </w:rPr>
              <w:t>，</w:t>
            </w:r>
            <w:r>
              <w:rPr>
                <w:rFonts w:hint="eastAsia" w:eastAsia="宋体" w:cs="Times New Roman"/>
                <w:color w:val="auto"/>
                <w:sz w:val="24"/>
                <w:szCs w:val="24"/>
                <w:highlight w:val="none"/>
                <w:lang w:val="en-US" w:eastAsia="zh-CN"/>
              </w:rPr>
              <w:t>分类</w:t>
            </w:r>
            <w:r>
              <w:rPr>
                <w:rFonts w:hint="default" w:ascii="Times New Roman" w:hAnsi="Times New Roman" w:eastAsia="宋体" w:cs="Times New Roman"/>
                <w:color w:val="auto"/>
                <w:sz w:val="24"/>
                <w:szCs w:val="24"/>
                <w:highlight w:val="none"/>
                <w:lang w:val="en-US" w:eastAsia="zh-CN"/>
              </w:rPr>
              <w:t>收集</w:t>
            </w:r>
            <w:r>
              <w:rPr>
                <w:rFonts w:hint="eastAsia" w:ascii="Times New Roman" w:hAnsi="Times New Roman" w:eastAsia="宋体" w:cs="Times New Roman"/>
                <w:color w:val="auto"/>
                <w:sz w:val="24"/>
                <w:szCs w:val="24"/>
                <w:highlight w:val="none"/>
                <w:lang w:val="en-US" w:eastAsia="zh-CN"/>
              </w:rPr>
              <w:t>暂存于危险废物暂存间，由原料厂家定期回收。</w:t>
            </w:r>
          </w:p>
          <w:p w14:paraId="44182FA7">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highlight w:val="none"/>
                <w:lang w:val="en-US" w:eastAsia="zh-CN"/>
              </w:rPr>
            </w:pPr>
            <w:r>
              <w:rPr>
                <w:rFonts w:hint="eastAsia" w:ascii="Times New Roman" w:hAnsi="Times New Roman" w:cs="Times New Roman"/>
                <w:color w:val="auto"/>
                <w:sz w:val="24"/>
                <w:szCs w:val="24"/>
                <w:highlight w:val="none"/>
                <w:lang w:val="en-US" w:eastAsia="zh-CN"/>
              </w:rPr>
              <w:t>根据《固体废物鉴别标准通则》（GB 34330-2017）可知，空硫酸桶</w:t>
            </w:r>
            <w:r>
              <w:rPr>
                <w:rFonts w:hint="eastAsia" w:cs="Times New Roman"/>
                <w:color w:val="auto"/>
                <w:sz w:val="24"/>
                <w:szCs w:val="24"/>
                <w:highlight w:val="none"/>
                <w:lang w:val="en-US" w:eastAsia="zh-CN"/>
              </w:rPr>
              <w:t>、空盐酸桶、</w:t>
            </w:r>
            <w:r>
              <w:rPr>
                <w:rFonts w:hint="eastAsia" w:cs="Times New Roman"/>
                <w:color w:val="auto"/>
                <w:kern w:val="0"/>
                <w:sz w:val="24"/>
                <w:szCs w:val="24"/>
                <w:highlight w:val="none"/>
                <w:lang w:val="en-US" w:eastAsia="zh-CN" w:bidi="ar"/>
              </w:rPr>
              <w:t>空防火液桶</w:t>
            </w:r>
            <w:r>
              <w:rPr>
                <w:rFonts w:hint="eastAsia" w:ascii="Times New Roman" w:hAnsi="Times New Roman" w:cs="Times New Roman"/>
                <w:color w:val="auto"/>
                <w:sz w:val="24"/>
                <w:szCs w:val="24"/>
                <w:highlight w:val="none"/>
                <w:lang w:val="en-US" w:eastAsia="zh-CN"/>
              </w:rPr>
              <w:t>可不</w:t>
            </w:r>
            <w:r>
              <w:rPr>
                <w:rFonts w:hint="eastAsia" w:cs="Times New Roman"/>
                <w:color w:val="auto"/>
                <w:kern w:val="0"/>
                <w:sz w:val="24"/>
                <w:szCs w:val="24"/>
                <w:highlight w:val="none"/>
                <w:lang w:val="en-US" w:eastAsia="zh-CN" w:bidi="ar"/>
              </w:rPr>
              <w:t>作为固体废物管理，</w:t>
            </w:r>
            <w:r>
              <w:rPr>
                <w:rFonts w:hint="eastAsia" w:ascii="Times New Roman" w:hAnsi="Times New Roman" w:cs="Times New Roman"/>
                <w:color w:val="auto"/>
                <w:sz w:val="24"/>
                <w:szCs w:val="24"/>
                <w:highlight w:val="none"/>
                <w:lang w:val="en-US" w:eastAsia="zh-CN"/>
              </w:rPr>
              <w:t>但其暂存、转运依然应按照危险废物进行管理，按危险废物进行暂存。</w:t>
            </w:r>
            <w:r>
              <w:rPr>
                <w:rFonts w:hint="eastAsia" w:cs="Times New Roman"/>
                <w:color w:val="auto"/>
                <w:kern w:val="0"/>
                <w:sz w:val="24"/>
                <w:szCs w:val="24"/>
                <w:highlight w:val="none"/>
                <w:lang w:val="en-US" w:eastAsia="zh-CN" w:bidi="ar"/>
              </w:rPr>
              <w:t>空硫酸桶、空盐酸桶和空防火液桶</w:t>
            </w:r>
            <w:r>
              <w:rPr>
                <w:rFonts w:hint="eastAsia" w:ascii="Times New Roman" w:hAnsi="Times New Roman" w:cs="Times New Roman"/>
                <w:color w:val="auto"/>
                <w:sz w:val="24"/>
                <w:szCs w:val="24"/>
                <w:highlight w:val="none"/>
                <w:lang w:val="en-US" w:eastAsia="zh-CN"/>
              </w:rPr>
              <w:t>收集后分类暂存于危险废物暂存间，由原料厂家定期回收。</w:t>
            </w:r>
            <w:r>
              <w:rPr>
                <w:rFonts w:hint="eastAsia" w:cs="Times New Roman"/>
                <w:color w:val="auto"/>
                <w:kern w:val="0"/>
                <w:sz w:val="24"/>
                <w:szCs w:val="24"/>
                <w:highlight w:val="none"/>
                <w:lang w:val="en-US" w:eastAsia="zh-CN" w:bidi="ar"/>
              </w:rPr>
              <w:t>（注：</w:t>
            </w:r>
            <w:r>
              <w:rPr>
                <w:rFonts w:hint="default" w:cs="Times New Roman"/>
                <w:color w:val="auto"/>
                <w:kern w:val="0"/>
                <w:sz w:val="24"/>
                <w:szCs w:val="24"/>
                <w:highlight w:val="none"/>
                <w:lang w:val="zh-CN" w:eastAsia="zh-CN" w:bidi="ar"/>
              </w:rPr>
              <w:t>在硫酸</w:t>
            </w:r>
            <w:r>
              <w:rPr>
                <w:rFonts w:hint="eastAsia" w:cs="Times New Roman"/>
                <w:color w:val="auto"/>
                <w:kern w:val="0"/>
                <w:sz w:val="24"/>
                <w:szCs w:val="24"/>
                <w:highlight w:val="none"/>
                <w:lang w:val="zh-CN" w:eastAsia="zh-CN" w:bidi="ar"/>
              </w:rPr>
              <w:t>和盐酸</w:t>
            </w:r>
            <w:r>
              <w:rPr>
                <w:rFonts w:hint="default" w:cs="Times New Roman"/>
                <w:color w:val="auto"/>
                <w:kern w:val="0"/>
                <w:sz w:val="24"/>
                <w:szCs w:val="24"/>
                <w:highlight w:val="none"/>
                <w:lang w:val="zh-CN" w:eastAsia="zh-CN" w:bidi="ar"/>
              </w:rPr>
              <w:t>原料桶更换前应尽量抽干桶中硫酸</w:t>
            </w:r>
            <w:r>
              <w:rPr>
                <w:rFonts w:hint="eastAsia" w:cs="Times New Roman"/>
                <w:color w:val="auto"/>
                <w:kern w:val="0"/>
                <w:sz w:val="24"/>
                <w:szCs w:val="24"/>
                <w:highlight w:val="none"/>
                <w:lang w:val="zh-CN" w:eastAsia="zh-CN" w:bidi="ar"/>
              </w:rPr>
              <w:t>和盐酸</w:t>
            </w:r>
            <w:r>
              <w:rPr>
                <w:rFonts w:hint="default" w:cs="Times New Roman"/>
                <w:color w:val="auto"/>
                <w:kern w:val="0"/>
                <w:sz w:val="24"/>
                <w:szCs w:val="24"/>
                <w:highlight w:val="none"/>
                <w:lang w:val="zh-CN" w:eastAsia="zh-CN" w:bidi="ar"/>
              </w:rPr>
              <w:t>，避免桶中残留，更换前应盖（关）好桶盖、出口阀，以防止桶中可能残留硫酸</w:t>
            </w:r>
            <w:r>
              <w:rPr>
                <w:rFonts w:hint="eastAsia" w:cs="Times New Roman"/>
                <w:color w:val="auto"/>
                <w:kern w:val="0"/>
                <w:sz w:val="24"/>
                <w:szCs w:val="24"/>
                <w:highlight w:val="none"/>
                <w:lang w:val="zh-CN" w:eastAsia="zh-CN" w:bidi="ar"/>
              </w:rPr>
              <w:t>和盐酸</w:t>
            </w:r>
            <w:r>
              <w:rPr>
                <w:rFonts w:hint="default" w:cs="Times New Roman"/>
                <w:color w:val="auto"/>
                <w:kern w:val="0"/>
                <w:sz w:val="24"/>
                <w:szCs w:val="24"/>
                <w:highlight w:val="none"/>
                <w:lang w:val="zh-CN" w:eastAsia="zh-CN" w:bidi="ar"/>
              </w:rPr>
              <w:t>滴漏、流失。</w:t>
            </w:r>
            <w:r>
              <w:rPr>
                <w:rFonts w:hint="eastAsia" w:cs="Times New Roman"/>
                <w:color w:val="auto"/>
                <w:kern w:val="0"/>
                <w:sz w:val="24"/>
                <w:szCs w:val="24"/>
                <w:highlight w:val="none"/>
                <w:lang w:val="zh-CN" w:eastAsia="zh-CN" w:bidi="ar"/>
              </w:rPr>
              <w:t>）</w:t>
            </w:r>
          </w:p>
          <w:p w14:paraId="2E62444B">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lang w:val="en-US" w:eastAsia="zh-CN"/>
              </w:rPr>
            </w:pPr>
            <w:r>
              <w:rPr>
                <w:rStyle w:val="45"/>
                <w:rFonts w:hint="default" w:ascii="Times New Roman" w:hAnsi="Times New Roman" w:eastAsia="宋体" w:cs="Times New Roman"/>
                <w:b/>
                <w:bCs w:val="0"/>
                <w:color w:val="auto"/>
                <w:sz w:val="21"/>
                <w:szCs w:val="21"/>
                <w:highlight w:val="none"/>
                <w:lang w:val="en-US" w:eastAsia="zh-CN"/>
              </w:rPr>
              <w:t>表</w:t>
            </w:r>
            <w:r>
              <w:rPr>
                <w:rStyle w:val="45"/>
                <w:rFonts w:hint="eastAsia" w:cs="Times New Roman"/>
                <w:b/>
                <w:bCs w:val="0"/>
                <w:color w:val="auto"/>
                <w:sz w:val="21"/>
                <w:szCs w:val="21"/>
                <w:highlight w:val="none"/>
                <w:lang w:val="en-US" w:eastAsia="zh-CN"/>
              </w:rPr>
              <w:t>4-19</w:t>
            </w:r>
            <w:r>
              <w:rPr>
                <w:rStyle w:val="45"/>
                <w:rFonts w:hint="default" w:ascii="Times New Roman" w:hAnsi="Times New Roman" w:eastAsia="宋体" w:cs="Times New Roman"/>
                <w:b/>
                <w:bCs w:val="0"/>
                <w:color w:val="auto"/>
                <w:sz w:val="21"/>
                <w:szCs w:val="21"/>
                <w:highlight w:val="none"/>
                <w:lang w:val="en-US" w:eastAsia="zh-CN"/>
              </w:rPr>
              <w:t xml:space="preserve">  本项目固体废弃物处置情况</w:t>
            </w:r>
          </w:p>
          <w:tbl>
            <w:tblPr>
              <w:tblStyle w:val="26"/>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953"/>
              <w:gridCol w:w="1148"/>
              <w:gridCol w:w="1095"/>
              <w:gridCol w:w="1528"/>
              <w:gridCol w:w="1035"/>
              <w:gridCol w:w="1067"/>
              <w:gridCol w:w="902"/>
            </w:tblGrid>
            <w:tr w14:paraId="10FC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900" w:type="pct"/>
                  <w:gridSpan w:val="2"/>
                  <w:noWrap w:val="0"/>
                  <w:vAlign w:val="center"/>
                </w:tcPr>
                <w:p w14:paraId="22270F93">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产污环节</w:t>
                  </w:r>
                </w:p>
              </w:tc>
              <w:tc>
                <w:tcPr>
                  <w:tcW w:w="694" w:type="pct"/>
                  <w:noWrap w:val="0"/>
                  <w:vAlign w:val="center"/>
                </w:tcPr>
                <w:p w14:paraId="660CAB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包装</w:t>
                  </w:r>
                </w:p>
              </w:tc>
              <w:tc>
                <w:tcPr>
                  <w:tcW w:w="662" w:type="pct"/>
                  <w:noWrap w:val="0"/>
                  <w:vAlign w:val="center"/>
                </w:tcPr>
                <w:p w14:paraId="5A792C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Style w:val="45"/>
                      <w:rFonts w:hint="eastAsia"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切割</w:t>
                  </w:r>
                </w:p>
              </w:tc>
              <w:tc>
                <w:tcPr>
                  <w:tcW w:w="924" w:type="pct"/>
                  <w:noWrap w:val="0"/>
                  <w:vAlign w:val="center"/>
                </w:tcPr>
                <w:p w14:paraId="2A9F94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磨边清洗</w:t>
                  </w:r>
                </w:p>
              </w:tc>
              <w:tc>
                <w:tcPr>
                  <w:tcW w:w="626" w:type="pct"/>
                  <w:noWrap w:val="0"/>
                  <w:vAlign w:val="center"/>
                </w:tcPr>
                <w:p w14:paraId="58BACB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灯检</w:t>
                  </w:r>
                </w:p>
              </w:tc>
              <w:tc>
                <w:tcPr>
                  <w:tcW w:w="645" w:type="pct"/>
                  <w:noWrap w:val="0"/>
                  <w:vAlign w:val="center"/>
                </w:tcPr>
                <w:p w14:paraId="749914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原辅料使用</w:t>
                  </w:r>
                </w:p>
              </w:tc>
              <w:tc>
                <w:tcPr>
                  <w:tcW w:w="545" w:type="pct"/>
                  <w:noWrap w:val="0"/>
                  <w:vAlign w:val="center"/>
                </w:tcPr>
                <w:p w14:paraId="5AC0C1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员工生活</w:t>
                  </w:r>
                </w:p>
              </w:tc>
            </w:tr>
            <w:tr w14:paraId="294A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00" w:type="pct"/>
                  <w:gridSpan w:val="2"/>
                  <w:noWrap w:val="0"/>
                  <w:vAlign w:val="center"/>
                </w:tcPr>
                <w:p w14:paraId="79FB5781">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名称</w:t>
                  </w:r>
                </w:p>
              </w:tc>
              <w:tc>
                <w:tcPr>
                  <w:tcW w:w="694" w:type="pct"/>
                  <w:noWrap w:val="0"/>
                  <w:vAlign w:val="center"/>
                </w:tcPr>
                <w:p w14:paraId="0EF5A5D2">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废包装材料</w:t>
                  </w:r>
                </w:p>
              </w:tc>
              <w:tc>
                <w:tcPr>
                  <w:tcW w:w="662" w:type="pct"/>
                  <w:noWrap w:val="0"/>
                  <w:vAlign w:val="center"/>
                </w:tcPr>
                <w:p w14:paraId="5A98C934">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废弃玻璃和边角料</w:t>
                  </w:r>
                </w:p>
              </w:tc>
              <w:tc>
                <w:tcPr>
                  <w:tcW w:w="924" w:type="pct"/>
                  <w:noWrap w:val="0"/>
                  <w:vAlign w:val="center"/>
                </w:tcPr>
                <w:p w14:paraId="221C6B6D">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磨边废水沉淀池沉渣</w:t>
                  </w:r>
                  <w:r>
                    <w:rPr>
                      <w:rStyle w:val="45"/>
                      <w:rFonts w:hint="eastAsia" w:cs="Times New Roman"/>
                      <w:b w:val="0"/>
                      <w:bCs/>
                      <w:color w:val="auto"/>
                      <w:sz w:val="21"/>
                      <w:szCs w:val="21"/>
                      <w:highlight w:val="none"/>
                      <w:vertAlign w:val="baseline"/>
                      <w:lang w:val="en-US" w:eastAsia="zh-CN"/>
                    </w:rPr>
                    <w:t>（玻璃碎屑）</w:t>
                  </w:r>
                </w:p>
              </w:tc>
              <w:tc>
                <w:tcPr>
                  <w:tcW w:w="626" w:type="pct"/>
                  <w:noWrap w:val="0"/>
                  <w:vAlign w:val="center"/>
                </w:tcPr>
                <w:p w14:paraId="4516074A">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不合格品</w:t>
                  </w:r>
                </w:p>
              </w:tc>
              <w:tc>
                <w:tcPr>
                  <w:tcW w:w="645" w:type="pct"/>
                  <w:noWrap w:val="0"/>
                  <w:vAlign w:val="center"/>
                </w:tcPr>
                <w:p w14:paraId="0B3C3040">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废原辅料包装袋</w:t>
                  </w:r>
                </w:p>
              </w:tc>
              <w:tc>
                <w:tcPr>
                  <w:tcW w:w="545" w:type="pct"/>
                  <w:noWrap w:val="0"/>
                  <w:vAlign w:val="center"/>
                </w:tcPr>
                <w:p w14:paraId="223F6727">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生活垃圾</w:t>
                  </w:r>
                </w:p>
              </w:tc>
            </w:tr>
            <w:tr w14:paraId="31CA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Merge w:val="restart"/>
                  <w:noWrap w:val="0"/>
                  <w:vAlign w:val="center"/>
                </w:tcPr>
                <w:p w14:paraId="51D0AD55">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属性</w:t>
                  </w:r>
                </w:p>
              </w:tc>
              <w:tc>
                <w:tcPr>
                  <w:tcW w:w="576" w:type="pct"/>
                  <w:noWrap w:val="0"/>
                  <w:vAlign w:val="center"/>
                </w:tcPr>
                <w:p w14:paraId="4DD61776">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属性</w:t>
                  </w:r>
                </w:p>
              </w:tc>
              <w:tc>
                <w:tcPr>
                  <w:tcW w:w="694" w:type="pct"/>
                  <w:noWrap w:val="0"/>
                  <w:vAlign w:val="center"/>
                </w:tcPr>
                <w:p w14:paraId="217E95B7">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一般</w:t>
                  </w:r>
                  <w:r>
                    <w:rPr>
                      <w:rStyle w:val="45"/>
                      <w:rFonts w:hint="eastAsia" w:cs="Times New Roman"/>
                      <w:b w:val="0"/>
                      <w:bCs/>
                      <w:color w:val="auto"/>
                      <w:sz w:val="21"/>
                      <w:szCs w:val="21"/>
                      <w:highlight w:val="none"/>
                      <w:vertAlign w:val="baseline"/>
                      <w:lang w:val="en-US" w:eastAsia="zh-CN"/>
                    </w:rPr>
                    <w:t>工业</w:t>
                  </w:r>
                  <w:r>
                    <w:rPr>
                      <w:rStyle w:val="45"/>
                      <w:rFonts w:hint="default" w:ascii="Times New Roman" w:hAnsi="Times New Roman" w:eastAsia="宋体" w:cs="Times New Roman"/>
                      <w:b w:val="0"/>
                      <w:bCs/>
                      <w:color w:val="auto"/>
                      <w:sz w:val="21"/>
                      <w:szCs w:val="21"/>
                      <w:highlight w:val="none"/>
                      <w:vertAlign w:val="baseline"/>
                      <w:lang w:val="en-US" w:eastAsia="zh-CN"/>
                    </w:rPr>
                    <w:t>固废</w:t>
                  </w:r>
                </w:p>
              </w:tc>
              <w:tc>
                <w:tcPr>
                  <w:tcW w:w="662" w:type="pct"/>
                  <w:noWrap w:val="0"/>
                  <w:vAlign w:val="center"/>
                </w:tcPr>
                <w:p w14:paraId="63530AC1">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一般</w:t>
                  </w:r>
                  <w:r>
                    <w:rPr>
                      <w:rStyle w:val="45"/>
                      <w:rFonts w:hint="eastAsia" w:cs="Times New Roman"/>
                      <w:b w:val="0"/>
                      <w:bCs/>
                      <w:color w:val="auto"/>
                      <w:sz w:val="21"/>
                      <w:szCs w:val="21"/>
                      <w:highlight w:val="none"/>
                      <w:vertAlign w:val="baseline"/>
                      <w:lang w:val="en-US" w:eastAsia="zh-CN"/>
                    </w:rPr>
                    <w:t>工业</w:t>
                  </w:r>
                  <w:r>
                    <w:rPr>
                      <w:rStyle w:val="45"/>
                      <w:rFonts w:hint="eastAsia" w:eastAsia="宋体" w:cs="Times New Roman"/>
                      <w:b w:val="0"/>
                      <w:bCs/>
                      <w:color w:val="auto"/>
                      <w:sz w:val="21"/>
                      <w:szCs w:val="21"/>
                      <w:highlight w:val="none"/>
                      <w:vertAlign w:val="baseline"/>
                      <w:lang w:val="en-US" w:eastAsia="zh-CN"/>
                    </w:rPr>
                    <w:t>固废</w:t>
                  </w:r>
                </w:p>
              </w:tc>
              <w:tc>
                <w:tcPr>
                  <w:tcW w:w="924" w:type="pct"/>
                  <w:noWrap w:val="0"/>
                  <w:vAlign w:val="center"/>
                </w:tcPr>
                <w:p w14:paraId="09B058C5">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一般</w:t>
                  </w:r>
                  <w:r>
                    <w:rPr>
                      <w:rStyle w:val="45"/>
                      <w:rFonts w:hint="eastAsia" w:cs="Times New Roman"/>
                      <w:b w:val="0"/>
                      <w:bCs/>
                      <w:color w:val="auto"/>
                      <w:sz w:val="21"/>
                      <w:szCs w:val="21"/>
                      <w:highlight w:val="none"/>
                      <w:vertAlign w:val="baseline"/>
                      <w:lang w:val="en-US" w:eastAsia="zh-CN"/>
                    </w:rPr>
                    <w:t>工业</w:t>
                  </w:r>
                  <w:r>
                    <w:rPr>
                      <w:rStyle w:val="45"/>
                      <w:rFonts w:hint="default" w:ascii="Times New Roman" w:hAnsi="Times New Roman" w:eastAsia="宋体" w:cs="Times New Roman"/>
                      <w:b w:val="0"/>
                      <w:bCs/>
                      <w:color w:val="auto"/>
                      <w:sz w:val="21"/>
                      <w:szCs w:val="21"/>
                      <w:highlight w:val="none"/>
                      <w:vertAlign w:val="baseline"/>
                      <w:lang w:val="en-US" w:eastAsia="zh-CN"/>
                    </w:rPr>
                    <w:t>固废</w:t>
                  </w:r>
                </w:p>
              </w:tc>
              <w:tc>
                <w:tcPr>
                  <w:tcW w:w="626" w:type="pct"/>
                  <w:noWrap w:val="0"/>
                  <w:vAlign w:val="center"/>
                </w:tcPr>
                <w:p w14:paraId="1D6FCF95">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一般</w:t>
                  </w:r>
                  <w:r>
                    <w:rPr>
                      <w:rStyle w:val="45"/>
                      <w:rFonts w:hint="eastAsia" w:cs="Times New Roman"/>
                      <w:b w:val="0"/>
                      <w:bCs/>
                      <w:color w:val="auto"/>
                      <w:sz w:val="21"/>
                      <w:szCs w:val="21"/>
                      <w:highlight w:val="none"/>
                      <w:vertAlign w:val="baseline"/>
                      <w:lang w:val="en-US" w:eastAsia="zh-CN"/>
                    </w:rPr>
                    <w:t>工业</w:t>
                  </w:r>
                  <w:r>
                    <w:rPr>
                      <w:rStyle w:val="45"/>
                      <w:rFonts w:hint="default" w:ascii="Times New Roman" w:hAnsi="Times New Roman" w:eastAsia="宋体" w:cs="Times New Roman"/>
                      <w:b w:val="0"/>
                      <w:bCs/>
                      <w:color w:val="auto"/>
                      <w:sz w:val="21"/>
                      <w:szCs w:val="21"/>
                      <w:highlight w:val="none"/>
                      <w:vertAlign w:val="baseline"/>
                      <w:lang w:val="en-US" w:eastAsia="zh-CN"/>
                    </w:rPr>
                    <w:t>固废</w:t>
                  </w:r>
                </w:p>
              </w:tc>
              <w:tc>
                <w:tcPr>
                  <w:tcW w:w="645" w:type="pct"/>
                  <w:noWrap w:val="0"/>
                  <w:vAlign w:val="center"/>
                </w:tcPr>
                <w:p w14:paraId="3493B5E3">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一般</w:t>
                  </w:r>
                  <w:r>
                    <w:rPr>
                      <w:rStyle w:val="45"/>
                      <w:rFonts w:hint="eastAsia" w:cs="Times New Roman"/>
                      <w:b w:val="0"/>
                      <w:bCs/>
                      <w:color w:val="auto"/>
                      <w:sz w:val="21"/>
                      <w:szCs w:val="21"/>
                      <w:highlight w:val="none"/>
                      <w:vertAlign w:val="baseline"/>
                      <w:lang w:val="en-US" w:eastAsia="zh-CN"/>
                    </w:rPr>
                    <w:t>工业</w:t>
                  </w:r>
                  <w:r>
                    <w:rPr>
                      <w:rStyle w:val="45"/>
                      <w:rFonts w:hint="eastAsia" w:eastAsia="宋体" w:cs="Times New Roman"/>
                      <w:b w:val="0"/>
                      <w:bCs/>
                      <w:color w:val="auto"/>
                      <w:sz w:val="21"/>
                      <w:szCs w:val="21"/>
                      <w:highlight w:val="none"/>
                      <w:vertAlign w:val="baseline"/>
                      <w:lang w:val="en-US" w:eastAsia="zh-CN"/>
                    </w:rPr>
                    <w:t>固废</w:t>
                  </w:r>
                </w:p>
              </w:tc>
              <w:tc>
                <w:tcPr>
                  <w:tcW w:w="545" w:type="pct"/>
                  <w:noWrap w:val="0"/>
                  <w:vAlign w:val="center"/>
                </w:tcPr>
                <w:p w14:paraId="6B5DE7FA">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生活</w:t>
                  </w:r>
                  <w:r>
                    <w:rPr>
                      <w:rStyle w:val="45"/>
                      <w:rFonts w:hint="eastAsia" w:eastAsia="宋体" w:cs="Times New Roman"/>
                      <w:b w:val="0"/>
                      <w:bCs/>
                      <w:color w:val="auto"/>
                      <w:sz w:val="21"/>
                      <w:szCs w:val="21"/>
                      <w:highlight w:val="none"/>
                      <w:vertAlign w:val="baseline"/>
                      <w:lang w:val="en-US" w:eastAsia="zh-CN"/>
                    </w:rPr>
                    <w:t>固废</w:t>
                  </w:r>
                </w:p>
              </w:tc>
            </w:tr>
            <w:tr w14:paraId="6CE0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vMerge w:val="continue"/>
                  <w:noWrap w:val="0"/>
                  <w:vAlign w:val="center"/>
                </w:tcPr>
                <w:p w14:paraId="6DA7AF8C">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p>
              </w:tc>
              <w:tc>
                <w:tcPr>
                  <w:tcW w:w="576" w:type="pct"/>
                  <w:noWrap w:val="0"/>
                  <w:vAlign w:val="center"/>
                </w:tcPr>
                <w:p w14:paraId="2A9A5B63">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危险废物代码</w:t>
                  </w:r>
                </w:p>
              </w:tc>
              <w:tc>
                <w:tcPr>
                  <w:tcW w:w="694" w:type="pct"/>
                  <w:noWrap w:val="0"/>
                  <w:vAlign w:val="center"/>
                </w:tcPr>
                <w:p w14:paraId="1DA3CF08">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662" w:type="pct"/>
                  <w:noWrap w:val="0"/>
                  <w:vAlign w:val="center"/>
                </w:tcPr>
                <w:p w14:paraId="0F8BE1A0">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924" w:type="pct"/>
                  <w:noWrap w:val="0"/>
                  <w:vAlign w:val="center"/>
                </w:tcPr>
                <w:p w14:paraId="060586FA">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626" w:type="pct"/>
                  <w:noWrap w:val="0"/>
                  <w:vAlign w:val="center"/>
                </w:tcPr>
                <w:p w14:paraId="7892BE95">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645" w:type="pct"/>
                  <w:noWrap w:val="0"/>
                  <w:vAlign w:val="center"/>
                </w:tcPr>
                <w:p w14:paraId="6421C51F">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545" w:type="pct"/>
                  <w:noWrap w:val="0"/>
                  <w:vAlign w:val="center"/>
                </w:tcPr>
                <w:p w14:paraId="17D94D3E">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r>
            <w:tr w14:paraId="0E68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gridSpan w:val="2"/>
                  <w:noWrap w:val="0"/>
                  <w:vAlign w:val="center"/>
                </w:tcPr>
                <w:p w14:paraId="37F95E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
                    </w:rPr>
                    <w:t>主要有毒有害物质名称</w:t>
                  </w:r>
                </w:p>
              </w:tc>
              <w:tc>
                <w:tcPr>
                  <w:tcW w:w="694" w:type="pct"/>
                  <w:noWrap w:val="0"/>
                  <w:vAlign w:val="center"/>
                </w:tcPr>
                <w:p w14:paraId="6A4D2F17">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662" w:type="pct"/>
                  <w:noWrap w:val="0"/>
                  <w:vAlign w:val="center"/>
                </w:tcPr>
                <w:p w14:paraId="3680C5AE">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924" w:type="pct"/>
                  <w:noWrap w:val="0"/>
                  <w:vAlign w:val="center"/>
                </w:tcPr>
                <w:p w14:paraId="3DC506E9">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626" w:type="pct"/>
                  <w:noWrap w:val="0"/>
                  <w:vAlign w:val="center"/>
                </w:tcPr>
                <w:p w14:paraId="07AB164E">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645" w:type="pct"/>
                  <w:noWrap w:val="0"/>
                  <w:vAlign w:val="center"/>
                </w:tcPr>
                <w:p w14:paraId="1946FFC9">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545" w:type="pct"/>
                  <w:noWrap w:val="0"/>
                  <w:vAlign w:val="center"/>
                </w:tcPr>
                <w:p w14:paraId="10B06371">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r>
            <w:tr w14:paraId="3650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gridSpan w:val="2"/>
                  <w:noWrap w:val="0"/>
                  <w:vAlign w:val="center"/>
                </w:tcPr>
                <w:p w14:paraId="48B380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
                    </w:rPr>
                    <w:t>物理性状</w:t>
                  </w:r>
                </w:p>
              </w:tc>
              <w:tc>
                <w:tcPr>
                  <w:tcW w:w="694" w:type="pct"/>
                  <w:noWrap w:val="0"/>
                  <w:vAlign w:val="center"/>
                </w:tcPr>
                <w:p w14:paraId="0919A2F7">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固</w:t>
                  </w:r>
                  <w:r>
                    <w:rPr>
                      <w:rStyle w:val="45"/>
                      <w:rFonts w:hint="eastAsia" w:cs="Times New Roman"/>
                      <w:b w:val="0"/>
                      <w:bCs/>
                      <w:color w:val="auto"/>
                      <w:sz w:val="21"/>
                      <w:szCs w:val="21"/>
                      <w:highlight w:val="none"/>
                      <w:vertAlign w:val="baseline"/>
                      <w:lang w:val="en-US" w:eastAsia="zh-CN"/>
                    </w:rPr>
                    <w:t>态</w:t>
                  </w:r>
                </w:p>
              </w:tc>
              <w:tc>
                <w:tcPr>
                  <w:tcW w:w="662" w:type="pct"/>
                  <w:noWrap w:val="0"/>
                  <w:vAlign w:val="center"/>
                </w:tcPr>
                <w:p w14:paraId="2BE57E89">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固</w:t>
                  </w:r>
                  <w:r>
                    <w:rPr>
                      <w:rStyle w:val="45"/>
                      <w:rFonts w:hint="eastAsia" w:cs="Times New Roman"/>
                      <w:b w:val="0"/>
                      <w:bCs/>
                      <w:color w:val="auto"/>
                      <w:sz w:val="21"/>
                      <w:szCs w:val="21"/>
                      <w:highlight w:val="none"/>
                      <w:vertAlign w:val="baseline"/>
                      <w:lang w:val="en-US" w:eastAsia="zh-CN"/>
                    </w:rPr>
                    <w:t>态</w:t>
                  </w:r>
                </w:p>
              </w:tc>
              <w:tc>
                <w:tcPr>
                  <w:tcW w:w="924" w:type="pct"/>
                  <w:noWrap w:val="0"/>
                  <w:vAlign w:val="center"/>
                </w:tcPr>
                <w:p w14:paraId="2A619D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固</w:t>
                  </w:r>
                  <w:r>
                    <w:rPr>
                      <w:rStyle w:val="45"/>
                      <w:rFonts w:hint="eastAsia" w:cs="Times New Roman"/>
                      <w:b w:val="0"/>
                      <w:bCs/>
                      <w:color w:val="auto"/>
                      <w:sz w:val="21"/>
                      <w:szCs w:val="21"/>
                      <w:highlight w:val="none"/>
                      <w:vertAlign w:val="baseline"/>
                      <w:lang w:val="en-US" w:eastAsia="zh-CN"/>
                    </w:rPr>
                    <w:t>态</w:t>
                  </w:r>
                </w:p>
              </w:tc>
              <w:tc>
                <w:tcPr>
                  <w:tcW w:w="626" w:type="pct"/>
                  <w:noWrap w:val="0"/>
                  <w:vAlign w:val="center"/>
                </w:tcPr>
                <w:p w14:paraId="09F30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固</w:t>
                  </w:r>
                  <w:r>
                    <w:rPr>
                      <w:rStyle w:val="45"/>
                      <w:rFonts w:hint="eastAsia" w:cs="Times New Roman"/>
                      <w:b w:val="0"/>
                      <w:bCs/>
                      <w:color w:val="auto"/>
                      <w:sz w:val="21"/>
                      <w:szCs w:val="21"/>
                      <w:highlight w:val="none"/>
                      <w:vertAlign w:val="baseline"/>
                      <w:lang w:val="en-US" w:eastAsia="zh-CN"/>
                    </w:rPr>
                    <w:t>态</w:t>
                  </w:r>
                </w:p>
              </w:tc>
              <w:tc>
                <w:tcPr>
                  <w:tcW w:w="645" w:type="pct"/>
                  <w:noWrap w:val="0"/>
                  <w:vAlign w:val="center"/>
                </w:tcPr>
                <w:p w14:paraId="18285D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固</w:t>
                  </w:r>
                  <w:r>
                    <w:rPr>
                      <w:rStyle w:val="45"/>
                      <w:rFonts w:hint="eastAsia" w:cs="Times New Roman"/>
                      <w:b w:val="0"/>
                      <w:bCs/>
                      <w:color w:val="auto"/>
                      <w:sz w:val="21"/>
                      <w:szCs w:val="21"/>
                      <w:highlight w:val="none"/>
                      <w:vertAlign w:val="baseline"/>
                      <w:lang w:val="en-US" w:eastAsia="zh-CN"/>
                    </w:rPr>
                    <w:t>态</w:t>
                  </w:r>
                </w:p>
              </w:tc>
              <w:tc>
                <w:tcPr>
                  <w:tcW w:w="545" w:type="pct"/>
                  <w:noWrap w:val="0"/>
                  <w:vAlign w:val="center"/>
                </w:tcPr>
                <w:p w14:paraId="70C33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固</w:t>
                  </w:r>
                  <w:r>
                    <w:rPr>
                      <w:rStyle w:val="45"/>
                      <w:rFonts w:hint="eastAsia" w:cs="Times New Roman"/>
                      <w:b w:val="0"/>
                      <w:bCs/>
                      <w:color w:val="auto"/>
                      <w:sz w:val="21"/>
                      <w:szCs w:val="21"/>
                      <w:highlight w:val="none"/>
                      <w:vertAlign w:val="baseline"/>
                      <w:lang w:val="en-US" w:eastAsia="zh-CN"/>
                    </w:rPr>
                    <w:t>态</w:t>
                  </w:r>
                </w:p>
              </w:tc>
            </w:tr>
            <w:tr w14:paraId="5B20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gridSpan w:val="2"/>
                  <w:noWrap w:val="0"/>
                  <w:vAlign w:val="center"/>
                </w:tcPr>
                <w:p w14:paraId="2AE18C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环境危险</w:t>
                  </w:r>
                </w:p>
                <w:p w14:paraId="4AF1572A">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特性</w:t>
                  </w:r>
                </w:p>
              </w:tc>
              <w:tc>
                <w:tcPr>
                  <w:tcW w:w="694" w:type="pct"/>
                  <w:noWrap w:val="0"/>
                  <w:vAlign w:val="center"/>
                </w:tcPr>
                <w:p w14:paraId="3ED70C36">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662" w:type="pct"/>
                  <w:noWrap w:val="0"/>
                  <w:vAlign w:val="center"/>
                </w:tcPr>
                <w:p w14:paraId="1E392CA4">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924" w:type="pct"/>
                  <w:noWrap w:val="0"/>
                  <w:vAlign w:val="center"/>
                </w:tcPr>
                <w:p w14:paraId="0333CA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626" w:type="pct"/>
                  <w:noWrap w:val="0"/>
                  <w:vAlign w:val="center"/>
                </w:tcPr>
                <w:p w14:paraId="4114F8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645" w:type="pct"/>
                  <w:noWrap w:val="0"/>
                  <w:vAlign w:val="center"/>
                </w:tcPr>
                <w:p w14:paraId="0D44ED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545" w:type="pct"/>
                  <w:noWrap w:val="0"/>
                  <w:vAlign w:val="center"/>
                </w:tcPr>
                <w:p w14:paraId="1A0255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r>
            <w:tr w14:paraId="1A6B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gridSpan w:val="2"/>
                  <w:noWrap w:val="0"/>
                  <w:vAlign w:val="center"/>
                </w:tcPr>
                <w:p w14:paraId="7128FC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年度产生量</w:t>
                  </w:r>
                </w:p>
              </w:tc>
              <w:tc>
                <w:tcPr>
                  <w:tcW w:w="694" w:type="pct"/>
                  <w:noWrap w:val="0"/>
                  <w:vAlign w:val="center"/>
                </w:tcPr>
                <w:p w14:paraId="1C4164FE">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0.</w:t>
                  </w:r>
                  <w:r>
                    <w:rPr>
                      <w:rStyle w:val="45"/>
                      <w:rFonts w:hint="eastAsia" w:cs="Times New Roman"/>
                      <w:b w:val="0"/>
                      <w:bCs/>
                      <w:color w:val="auto"/>
                      <w:sz w:val="21"/>
                      <w:szCs w:val="21"/>
                      <w:highlight w:val="none"/>
                      <w:vertAlign w:val="baseline"/>
                      <w:lang w:val="en-US" w:eastAsia="zh-CN"/>
                    </w:rPr>
                    <w:t>5</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662" w:type="pct"/>
                  <w:noWrap w:val="0"/>
                  <w:vAlign w:val="center"/>
                </w:tcPr>
                <w:p w14:paraId="5421999F">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82.69</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924" w:type="pct"/>
                  <w:noWrap w:val="0"/>
                  <w:vAlign w:val="center"/>
                </w:tcPr>
                <w:p w14:paraId="618D41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27.56</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626" w:type="pct"/>
                  <w:noWrap w:val="0"/>
                  <w:vAlign w:val="center"/>
                </w:tcPr>
                <w:p w14:paraId="0E0F5C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27.56</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645" w:type="pct"/>
                  <w:noWrap w:val="0"/>
                  <w:vAlign w:val="center"/>
                </w:tcPr>
                <w:p w14:paraId="62E50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0.01</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545" w:type="pct"/>
                  <w:noWrap w:val="0"/>
                  <w:vAlign w:val="center"/>
                </w:tcPr>
                <w:p w14:paraId="6779E8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3</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r>
            <w:tr w14:paraId="21A9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gridSpan w:val="2"/>
                  <w:noWrap w:val="0"/>
                  <w:vAlign w:val="center"/>
                </w:tcPr>
                <w:p w14:paraId="32F64250">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贮存方式</w:t>
                  </w:r>
                </w:p>
              </w:tc>
              <w:tc>
                <w:tcPr>
                  <w:tcW w:w="694" w:type="pct"/>
                  <w:noWrap w:val="0"/>
                  <w:vAlign w:val="center"/>
                </w:tcPr>
                <w:p w14:paraId="77609312">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一般固废暂存</w:t>
                  </w:r>
                  <w:r>
                    <w:rPr>
                      <w:rStyle w:val="45"/>
                      <w:rFonts w:hint="eastAsia" w:eastAsia="宋体" w:cs="Times New Roman"/>
                      <w:b w:val="0"/>
                      <w:bCs/>
                      <w:color w:val="auto"/>
                      <w:sz w:val="21"/>
                      <w:szCs w:val="21"/>
                      <w:highlight w:val="none"/>
                      <w:vertAlign w:val="baseline"/>
                      <w:lang w:val="en-US" w:eastAsia="zh-CN"/>
                    </w:rPr>
                    <w:t>处</w:t>
                  </w:r>
                </w:p>
              </w:tc>
              <w:tc>
                <w:tcPr>
                  <w:tcW w:w="662" w:type="pct"/>
                  <w:noWrap w:val="0"/>
                  <w:vAlign w:val="center"/>
                </w:tcPr>
                <w:p w14:paraId="5F3236CE">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一般固废暂存</w:t>
                  </w:r>
                  <w:r>
                    <w:rPr>
                      <w:rStyle w:val="45"/>
                      <w:rFonts w:hint="eastAsia" w:eastAsia="宋体" w:cs="Times New Roman"/>
                      <w:b w:val="0"/>
                      <w:bCs/>
                      <w:color w:val="auto"/>
                      <w:sz w:val="21"/>
                      <w:szCs w:val="21"/>
                      <w:highlight w:val="none"/>
                      <w:vertAlign w:val="baseline"/>
                      <w:lang w:val="en-US" w:eastAsia="zh-CN"/>
                    </w:rPr>
                    <w:t>处</w:t>
                  </w:r>
                </w:p>
              </w:tc>
              <w:tc>
                <w:tcPr>
                  <w:tcW w:w="924" w:type="pct"/>
                  <w:noWrap w:val="0"/>
                  <w:vAlign w:val="center"/>
                </w:tcPr>
                <w:p w14:paraId="683BB35D">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一般固废暂存</w:t>
                  </w:r>
                  <w:r>
                    <w:rPr>
                      <w:rStyle w:val="45"/>
                      <w:rFonts w:hint="eastAsia" w:eastAsia="宋体" w:cs="Times New Roman"/>
                      <w:b w:val="0"/>
                      <w:bCs/>
                      <w:color w:val="auto"/>
                      <w:sz w:val="21"/>
                      <w:szCs w:val="21"/>
                      <w:highlight w:val="none"/>
                      <w:vertAlign w:val="baseline"/>
                      <w:lang w:val="en-US" w:eastAsia="zh-CN"/>
                    </w:rPr>
                    <w:t>处</w:t>
                  </w:r>
                </w:p>
              </w:tc>
              <w:tc>
                <w:tcPr>
                  <w:tcW w:w="626" w:type="pct"/>
                  <w:noWrap w:val="0"/>
                  <w:vAlign w:val="center"/>
                </w:tcPr>
                <w:p w14:paraId="4978E959">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一般固废暂存</w:t>
                  </w:r>
                  <w:r>
                    <w:rPr>
                      <w:rStyle w:val="45"/>
                      <w:rFonts w:hint="eastAsia" w:eastAsia="宋体" w:cs="Times New Roman"/>
                      <w:b w:val="0"/>
                      <w:bCs/>
                      <w:color w:val="auto"/>
                      <w:sz w:val="21"/>
                      <w:szCs w:val="21"/>
                      <w:highlight w:val="none"/>
                      <w:vertAlign w:val="baseline"/>
                      <w:lang w:val="en-US" w:eastAsia="zh-CN"/>
                    </w:rPr>
                    <w:t>处</w:t>
                  </w:r>
                </w:p>
              </w:tc>
              <w:tc>
                <w:tcPr>
                  <w:tcW w:w="645" w:type="pct"/>
                  <w:noWrap w:val="0"/>
                  <w:vAlign w:val="center"/>
                </w:tcPr>
                <w:p w14:paraId="55AA19C2">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一般固废暂存</w:t>
                  </w:r>
                  <w:r>
                    <w:rPr>
                      <w:rStyle w:val="45"/>
                      <w:rFonts w:hint="eastAsia" w:eastAsia="宋体" w:cs="Times New Roman"/>
                      <w:b w:val="0"/>
                      <w:bCs/>
                      <w:color w:val="auto"/>
                      <w:sz w:val="21"/>
                      <w:szCs w:val="21"/>
                      <w:highlight w:val="none"/>
                      <w:vertAlign w:val="baseline"/>
                      <w:lang w:val="en-US" w:eastAsia="zh-CN"/>
                    </w:rPr>
                    <w:t>处</w:t>
                  </w:r>
                </w:p>
              </w:tc>
              <w:tc>
                <w:tcPr>
                  <w:tcW w:w="545" w:type="pct"/>
                  <w:noWrap w:val="0"/>
                  <w:vAlign w:val="center"/>
                </w:tcPr>
                <w:p w14:paraId="439890D8">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垃圾桶</w:t>
                  </w:r>
                </w:p>
              </w:tc>
            </w:tr>
            <w:tr w14:paraId="3D82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gridSpan w:val="2"/>
                  <w:noWrap w:val="0"/>
                  <w:vAlign w:val="center"/>
                </w:tcPr>
                <w:p w14:paraId="65A2CA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利用处置方式和去向</w:t>
                  </w:r>
                </w:p>
              </w:tc>
              <w:tc>
                <w:tcPr>
                  <w:tcW w:w="694" w:type="pct"/>
                  <w:noWrap w:val="0"/>
                  <w:vAlign w:val="center"/>
                </w:tcPr>
                <w:p w14:paraId="05533E0F">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定期外售废品收购站</w:t>
                  </w:r>
                </w:p>
              </w:tc>
              <w:tc>
                <w:tcPr>
                  <w:tcW w:w="662" w:type="pct"/>
                  <w:noWrap w:val="0"/>
                  <w:vAlign w:val="center"/>
                </w:tcPr>
                <w:p w14:paraId="4D6A47D6">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定期出售给废玻璃回收商</w:t>
                  </w:r>
                </w:p>
              </w:tc>
              <w:tc>
                <w:tcPr>
                  <w:tcW w:w="924" w:type="pct"/>
                  <w:noWrap w:val="0"/>
                  <w:vAlign w:val="center"/>
                </w:tcPr>
                <w:p w14:paraId="380F2BB9">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定期外售废品收购站</w:t>
                  </w:r>
                </w:p>
              </w:tc>
              <w:tc>
                <w:tcPr>
                  <w:tcW w:w="626" w:type="pct"/>
                  <w:noWrap w:val="0"/>
                  <w:vAlign w:val="center"/>
                </w:tcPr>
                <w:p w14:paraId="5CFAB87F">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定期出售给废玻璃回收商</w:t>
                  </w:r>
                </w:p>
              </w:tc>
              <w:tc>
                <w:tcPr>
                  <w:tcW w:w="645" w:type="pct"/>
                  <w:noWrap w:val="0"/>
                  <w:vAlign w:val="center"/>
                </w:tcPr>
                <w:p w14:paraId="717F2564">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定期外售废品收购站</w:t>
                  </w:r>
                </w:p>
              </w:tc>
              <w:tc>
                <w:tcPr>
                  <w:tcW w:w="545" w:type="pct"/>
                  <w:noWrap w:val="0"/>
                  <w:vAlign w:val="center"/>
                </w:tcPr>
                <w:p w14:paraId="3718F8B4">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委托环卫部门定期清运处置</w:t>
                  </w:r>
                </w:p>
              </w:tc>
            </w:tr>
            <w:tr w14:paraId="467B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gridSpan w:val="2"/>
                  <w:noWrap w:val="0"/>
                  <w:vAlign w:val="center"/>
                </w:tcPr>
                <w:p w14:paraId="605475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利用或处置量</w:t>
                  </w:r>
                </w:p>
              </w:tc>
              <w:tc>
                <w:tcPr>
                  <w:tcW w:w="694" w:type="pct"/>
                  <w:noWrap w:val="0"/>
                  <w:vAlign w:val="center"/>
                </w:tcPr>
                <w:p w14:paraId="3FD8D2AC">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snapToGrid w:val="0"/>
                      <w:color w:val="auto"/>
                      <w:kern w:val="0"/>
                      <w:sz w:val="21"/>
                      <w:szCs w:val="21"/>
                      <w:highlight w:val="none"/>
                      <w:vertAlign w:val="baseline"/>
                      <w:lang w:val="en-US" w:eastAsia="zh-CN" w:bidi="ar-SA"/>
                    </w:rPr>
                  </w:pPr>
                  <w:r>
                    <w:rPr>
                      <w:rStyle w:val="45"/>
                      <w:rFonts w:hint="default" w:ascii="Times New Roman" w:hAnsi="Times New Roman" w:eastAsia="宋体" w:cs="Times New Roman"/>
                      <w:b w:val="0"/>
                      <w:bCs/>
                      <w:color w:val="auto"/>
                      <w:sz w:val="21"/>
                      <w:szCs w:val="21"/>
                      <w:highlight w:val="none"/>
                      <w:vertAlign w:val="baseline"/>
                      <w:lang w:val="en-US" w:eastAsia="zh-CN"/>
                    </w:rPr>
                    <w:t>0.</w:t>
                  </w:r>
                  <w:r>
                    <w:rPr>
                      <w:rStyle w:val="45"/>
                      <w:rFonts w:hint="eastAsia" w:cs="Times New Roman"/>
                      <w:b w:val="0"/>
                      <w:bCs/>
                      <w:color w:val="auto"/>
                      <w:sz w:val="21"/>
                      <w:szCs w:val="21"/>
                      <w:highlight w:val="none"/>
                      <w:vertAlign w:val="baseline"/>
                      <w:lang w:val="en-US" w:eastAsia="zh-CN"/>
                    </w:rPr>
                    <w:t>5</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662" w:type="pct"/>
                  <w:noWrap w:val="0"/>
                  <w:vAlign w:val="center"/>
                </w:tcPr>
                <w:p w14:paraId="45E4C2FA">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82.69</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924" w:type="pct"/>
                  <w:noWrap w:val="0"/>
                  <w:vAlign w:val="center"/>
                </w:tcPr>
                <w:p w14:paraId="7AAEF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snapToGrid w:val="0"/>
                      <w:color w:val="auto"/>
                      <w:kern w:val="0"/>
                      <w:sz w:val="21"/>
                      <w:szCs w:val="21"/>
                      <w:highlight w:val="none"/>
                      <w:vertAlign w:val="baseline"/>
                      <w:lang w:val="en-US" w:eastAsia="zh-CN" w:bidi="ar-SA"/>
                    </w:rPr>
                  </w:pPr>
                  <w:r>
                    <w:rPr>
                      <w:rStyle w:val="45"/>
                      <w:rFonts w:hint="eastAsia" w:cs="Times New Roman"/>
                      <w:b w:val="0"/>
                      <w:bCs/>
                      <w:color w:val="auto"/>
                      <w:sz w:val="21"/>
                      <w:szCs w:val="21"/>
                      <w:highlight w:val="none"/>
                      <w:vertAlign w:val="baseline"/>
                      <w:lang w:val="en-US" w:eastAsia="zh-CN"/>
                    </w:rPr>
                    <w:t>27.56</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626" w:type="pct"/>
                  <w:noWrap w:val="0"/>
                  <w:vAlign w:val="center"/>
                </w:tcPr>
                <w:p w14:paraId="14178E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snapToGrid w:val="0"/>
                      <w:color w:val="auto"/>
                      <w:kern w:val="0"/>
                      <w:sz w:val="21"/>
                      <w:szCs w:val="21"/>
                      <w:highlight w:val="none"/>
                      <w:vertAlign w:val="baseline"/>
                      <w:lang w:val="en-US" w:eastAsia="zh-CN" w:bidi="ar-SA"/>
                    </w:rPr>
                  </w:pPr>
                  <w:r>
                    <w:rPr>
                      <w:rStyle w:val="45"/>
                      <w:rFonts w:hint="eastAsia" w:eastAsia="宋体" w:cs="Times New Roman"/>
                      <w:b w:val="0"/>
                      <w:bCs/>
                      <w:color w:val="auto"/>
                      <w:sz w:val="21"/>
                      <w:szCs w:val="21"/>
                      <w:highlight w:val="none"/>
                      <w:vertAlign w:val="baseline"/>
                      <w:lang w:val="en-US" w:eastAsia="zh-CN"/>
                    </w:rPr>
                    <w:t>27.56</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645" w:type="pct"/>
                  <w:noWrap w:val="0"/>
                  <w:vAlign w:val="center"/>
                </w:tcPr>
                <w:p w14:paraId="626B43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0.01</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545" w:type="pct"/>
                  <w:noWrap w:val="0"/>
                  <w:vAlign w:val="center"/>
                </w:tcPr>
                <w:p w14:paraId="3426A4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3</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r>
            <w:tr w14:paraId="44D2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gridSpan w:val="2"/>
                  <w:noWrap w:val="0"/>
                  <w:vAlign w:val="center"/>
                </w:tcPr>
                <w:p w14:paraId="149923B5">
                  <w:pPr>
                    <w:widowControl/>
                    <w:adjustRightInd w:val="0"/>
                    <w:snapToGrid w:val="0"/>
                    <w:jc w:val="center"/>
                    <w:rPr>
                      <w:rFonts w:hint="default" w:ascii="Times New Roman" w:hAnsi="Times New Roman" w:eastAsia="宋体" w:cs="Times New Roman"/>
                      <w:b/>
                      <w:color w:val="auto"/>
                      <w:kern w:val="0"/>
                      <w:sz w:val="21"/>
                      <w:szCs w:val="21"/>
                      <w:highlight w:val="none"/>
                      <w:lang w:val="en-US" w:eastAsia="zh-CN" w:bidi="ar-SA"/>
                    </w:rPr>
                  </w:pPr>
                  <w:r>
                    <w:rPr>
                      <w:rStyle w:val="45"/>
                      <w:b/>
                      <w:color w:val="auto"/>
                      <w:szCs w:val="21"/>
                      <w:highlight w:val="none"/>
                    </w:rPr>
                    <w:t>环境管理要求</w:t>
                  </w:r>
                </w:p>
              </w:tc>
              <w:tc>
                <w:tcPr>
                  <w:tcW w:w="4099" w:type="pct"/>
                  <w:gridSpan w:val="6"/>
                  <w:noWrap w:val="0"/>
                  <w:vAlign w:val="center"/>
                </w:tcPr>
                <w:p w14:paraId="69889E07">
                  <w:pPr>
                    <w:pStyle w:val="48"/>
                    <w:adjustRightInd w:val="0"/>
                    <w:snapToGrid w:val="0"/>
                    <w:rPr>
                      <w:rFonts w:hint="eastAsia" w:ascii="Times New Roman" w:hAnsi="Times New Roman" w:eastAsia="宋体" w:cs="Times New Roman"/>
                      <w:bCs/>
                      <w:snapToGrid w:val="0"/>
                      <w:color w:val="auto"/>
                      <w:kern w:val="0"/>
                      <w:sz w:val="21"/>
                      <w:szCs w:val="21"/>
                      <w:highlight w:val="none"/>
                      <w:lang w:val="en-US" w:eastAsia="zh-CN" w:bidi="ar-SA"/>
                    </w:rPr>
                  </w:pPr>
                  <w:r>
                    <w:rPr>
                      <w:rStyle w:val="45"/>
                      <w:bCs/>
                      <w:color w:val="auto"/>
                      <w:szCs w:val="21"/>
                      <w:highlight w:val="none"/>
                    </w:rPr>
                    <w:t>100%处置，并建立台账</w:t>
                  </w:r>
                </w:p>
              </w:tc>
            </w:tr>
          </w:tbl>
          <w:p w14:paraId="3121EB51">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lang w:val="en-US" w:eastAsia="zh-CN"/>
              </w:rPr>
            </w:pPr>
          </w:p>
          <w:p w14:paraId="1B43ECDA">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lang w:val="en-US" w:eastAsia="zh-CN"/>
              </w:rPr>
            </w:pPr>
            <w:r>
              <w:rPr>
                <w:rStyle w:val="45"/>
                <w:rFonts w:hint="default" w:ascii="Times New Roman" w:hAnsi="Times New Roman" w:eastAsia="宋体" w:cs="Times New Roman"/>
                <w:b/>
                <w:bCs w:val="0"/>
                <w:color w:val="auto"/>
                <w:sz w:val="21"/>
                <w:szCs w:val="21"/>
                <w:highlight w:val="none"/>
                <w:lang w:val="en-US" w:eastAsia="zh-CN"/>
              </w:rPr>
              <w:t>表</w:t>
            </w:r>
            <w:r>
              <w:rPr>
                <w:rStyle w:val="45"/>
                <w:rFonts w:hint="eastAsia" w:cs="Times New Roman"/>
                <w:b/>
                <w:bCs w:val="0"/>
                <w:color w:val="auto"/>
                <w:sz w:val="21"/>
                <w:szCs w:val="21"/>
                <w:highlight w:val="none"/>
                <w:lang w:val="en-US" w:eastAsia="zh-CN"/>
              </w:rPr>
              <w:t>4-19</w:t>
            </w:r>
            <w:r>
              <w:rPr>
                <w:rStyle w:val="45"/>
                <w:rFonts w:hint="default" w:ascii="Times New Roman" w:hAnsi="Times New Roman" w:eastAsia="宋体" w:cs="Times New Roman"/>
                <w:b/>
                <w:bCs w:val="0"/>
                <w:color w:val="auto"/>
                <w:sz w:val="21"/>
                <w:szCs w:val="21"/>
                <w:highlight w:val="none"/>
                <w:lang w:val="en-US" w:eastAsia="zh-CN"/>
              </w:rPr>
              <w:t xml:space="preserve"> </w:t>
            </w:r>
            <w:r>
              <w:rPr>
                <w:rStyle w:val="45"/>
                <w:rFonts w:hint="eastAsia" w:ascii="Times New Roman" w:hAnsi="Times New Roman" w:eastAsia="宋体" w:cs="Times New Roman"/>
                <w:b/>
                <w:bCs w:val="0"/>
                <w:color w:val="auto"/>
                <w:sz w:val="21"/>
                <w:szCs w:val="21"/>
                <w:highlight w:val="none"/>
                <w:lang w:val="en-US" w:eastAsia="zh-CN"/>
              </w:rPr>
              <w:t xml:space="preserve"> 续</w:t>
            </w:r>
            <w:r>
              <w:rPr>
                <w:rStyle w:val="45"/>
                <w:rFonts w:hint="default" w:ascii="Times New Roman" w:hAnsi="Times New Roman" w:eastAsia="宋体" w:cs="Times New Roman"/>
                <w:b/>
                <w:bCs w:val="0"/>
                <w:color w:val="auto"/>
                <w:sz w:val="21"/>
                <w:szCs w:val="21"/>
                <w:highlight w:val="none"/>
                <w:lang w:val="en-US" w:eastAsia="zh-CN"/>
              </w:rPr>
              <w:t>本项目固体废弃物处置情况</w:t>
            </w:r>
          </w:p>
          <w:tbl>
            <w:tblPr>
              <w:tblStyle w:val="26"/>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047"/>
              <w:gridCol w:w="933"/>
              <w:gridCol w:w="867"/>
              <w:gridCol w:w="975"/>
              <w:gridCol w:w="930"/>
              <w:gridCol w:w="933"/>
              <w:gridCol w:w="1065"/>
              <w:gridCol w:w="1170"/>
            </w:tblGrid>
            <w:tr w14:paraId="0A22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557BC109">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产污环节</w:t>
                  </w:r>
                </w:p>
              </w:tc>
              <w:tc>
                <w:tcPr>
                  <w:tcW w:w="558" w:type="pct"/>
                  <w:noWrap w:val="0"/>
                  <w:vAlign w:val="center"/>
                </w:tcPr>
                <w:p w14:paraId="3AC82110">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ascii="Times New Roman" w:hAnsi="Times New Roman" w:eastAsia="宋体" w:cs="Times New Roman"/>
                      <w:b w:val="0"/>
                      <w:bCs/>
                      <w:color w:val="auto"/>
                      <w:sz w:val="21"/>
                      <w:szCs w:val="21"/>
                      <w:highlight w:val="none"/>
                      <w:vertAlign w:val="baseline"/>
                      <w:lang w:val="en-US" w:eastAsia="zh-CN"/>
                    </w:rPr>
                  </w:pPr>
                  <w:r>
                    <w:rPr>
                      <w:rStyle w:val="45"/>
                      <w:rFonts w:hint="eastAsia"/>
                      <w:bCs/>
                      <w:color w:val="auto"/>
                      <w:sz w:val="21"/>
                      <w:szCs w:val="21"/>
                      <w:highlight w:val="none"/>
                      <w:lang w:val="en-US" w:eastAsia="zh-CN"/>
                    </w:rPr>
                    <w:t>食堂</w:t>
                  </w:r>
                </w:p>
              </w:tc>
              <w:tc>
                <w:tcPr>
                  <w:tcW w:w="519" w:type="pct"/>
                  <w:noWrap w:val="0"/>
                  <w:vAlign w:val="center"/>
                </w:tcPr>
                <w:p w14:paraId="343BEE26">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ascii="Times New Roman" w:hAnsi="Times New Roman" w:eastAsia="宋体" w:cs="Times New Roman"/>
                      <w:bCs/>
                      <w:color w:val="auto"/>
                      <w:sz w:val="21"/>
                      <w:szCs w:val="21"/>
                      <w:highlight w:val="none"/>
                    </w:rPr>
                  </w:pPr>
                  <w:r>
                    <w:rPr>
                      <w:rStyle w:val="45"/>
                      <w:rFonts w:hint="eastAsia"/>
                      <w:bCs/>
                      <w:color w:val="auto"/>
                      <w:sz w:val="21"/>
                      <w:szCs w:val="21"/>
                      <w:highlight w:val="none"/>
                      <w:lang w:val="en-US" w:eastAsia="zh-CN"/>
                    </w:rPr>
                    <w:t>隔油池</w:t>
                  </w:r>
                </w:p>
              </w:tc>
              <w:tc>
                <w:tcPr>
                  <w:tcW w:w="583" w:type="pct"/>
                  <w:noWrap w:val="0"/>
                  <w:vAlign w:val="center"/>
                </w:tcPr>
                <w:p w14:paraId="3FB5743C">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eastAsia="宋体"/>
                      <w:bCs/>
                      <w:color w:val="auto"/>
                      <w:sz w:val="21"/>
                      <w:szCs w:val="21"/>
                      <w:highlight w:val="none"/>
                      <w:lang w:val="en-US" w:eastAsia="zh-CN"/>
                    </w:rPr>
                  </w:pPr>
                  <w:r>
                    <w:rPr>
                      <w:rStyle w:val="45"/>
                      <w:rFonts w:hint="eastAsia" w:eastAsia="宋体"/>
                      <w:bCs/>
                      <w:color w:val="auto"/>
                      <w:sz w:val="21"/>
                      <w:szCs w:val="21"/>
                      <w:highlight w:val="none"/>
                      <w:lang w:eastAsia="zh-CN"/>
                    </w:rPr>
                    <w:t>化粪池</w:t>
                  </w:r>
                </w:p>
              </w:tc>
              <w:tc>
                <w:tcPr>
                  <w:tcW w:w="556" w:type="pct"/>
                  <w:noWrap w:val="0"/>
                  <w:vAlign w:val="center"/>
                </w:tcPr>
                <w:p w14:paraId="0FC3243D">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eastAsia="宋体"/>
                      <w:bCs/>
                      <w:color w:val="auto"/>
                      <w:sz w:val="21"/>
                      <w:szCs w:val="21"/>
                      <w:highlight w:val="none"/>
                      <w:lang w:eastAsia="zh-CN"/>
                    </w:rPr>
                  </w:pPr>
                  <w:r>
                    <w:rPr>
                      <w:rStyle w:val="45"/>
                      <w:rFonts w:hint="eastAsia"/>
                      <w:bCs/>
                      <w:color w:val="auto"/>
                      <w:sz w:val="21"/>
                      <w:szCs w:val="21"/>
                      <w:highlight w:val="none"/>
                      <w:lang w:eastAsia="zh-CN"/>
                    </w:rPr>
                    <w:t>生活</w:t>
                  </w:r>
                  <w:r>
                    <w:rPr>
                      <w:rStyle w:val="45"/>
                      <w:rFonts w:hint="eastAsia" w:eastAsia="宋体"/>
                      <w:bCs/>
                      <w:color w:val="auto"/>
                      <w:sz w:val="21"/>
                      <w:szCs w:val="21"/>
                      <w:highlight w:val="none"/>
                      <w:lang w:eastAsia="zh-CN"/>
                    </w:rPr>
                    <w:t>污水处理站</w:t>
                  </w:r>
                </w:p>
              </w:tc>
              <w:tc>
                <w:tcPr>
                  <w:tcW w:w="558" w:type="pct"/>
                  <w:noWrap w:val="0"/>
                  <w:vAlign w:val="center"/>
                </w:tcPr>
                <w:p w14:paraId="2AA30C06">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eastAsia="宋体"/>
                      <w:bCs/>
                      <w:color w:val="auto"/>
                      <w:sz w:val="21"/>
                      <w:szCs w:val="21"/>
                      <w:highlight w:val="none"/>
                      <w:lang w:val="en-US" w:eastAsia="zh-CN"/>
                    </w:rPr>
                  </w:pPr>
                  <w:r>
                    <w:rPr>
                      <w:rStyle w:val="45"/>
                      <w:rFonts w:hint="eastAsia"/>
                      <w:bCs/>
                      <w:color w:val="auto"/>
                      <w:sz w:val="21"/>
                      <w:szCs w:val="21"/>
                      <w:highlight w:val="none"/>
                    </w:rPr>
                    <w:t>机修</w:t>
                  </w:r>
                </w:p>
              </w:tc>
              <w:tc>
                <w:tcPr>
                  <w:tcW w:w="637" w:type="pct"/>
                  <w:noWrap w:val="0"/>
                  <w:vAlign w:val="center"/>
                </w:tcPr>
                <w:p w14:paraId="0DC42623">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bCs/>
                      <w:color w:val="auto"/>
                      <w:sz w:val="21"/>
                      <w:szCs w:val="21"/>
                      <w:highlight w:val="none"/>
                    </w:rPr>
                  </w:pPr>
                  <w:r>
                    <w:rPr>
                      <w:rStyle w:val="45"/>
                      <w:rFonts w:hint="eastAsia"/>
                      <w:bCs/>
                      <w:color w:val="auto"/>
                      <w:sz w:val="21"/>
                      <w:szCs w:val="21"/>
                      <w:highlight w:val="none"/>
                      <w:lang w:eastAsia="zh-CN"/>
                    </w:rPr>
                    <w:t>生产废</w:t>
                  </w:r>
                  <w:r>
                    <w:rPr>
                      <w:rStyle w:val="45"/>
                      <w:rFonts w:hint="eastAsia" w:eastAsia="宋体"/>
                      <w:bCs/>
                      <w:color w:val="auto"/>
                      <w:sz w:val="21"/>
                      <w:szCs w:val="21"/>
                      <w:highlight w:val="none"/>
                      <w:lang w:eastAsia="zh-CN"/>
                    </w:rPr>
                    <w:t>水处理站</w:t>
                  </w:r>
                </w:p>
              </w:tc>
              <w:tc>
                <w:tcPr>
                  <w:tcW w:w="700" w:type="pct"/>
                  <w:noWrap w:val="0"/>
                  <w:vAlign w:val="center"/>
                </w:tcPr>
                <w:p w14:paraId="20E31883">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bCs/>
                      <w:color w:val="auto"/>
                      <w:sz w:val="21"/>
                      <w:szCs w:val="21"/>
                      <w:highlight w:val="none"/>
                      <w:lang w:eastAsia="zh-CN"/>
                    </w:rPr>
                  </w:pPr>
                  <w:r>
                    <w:rPr>
                      <w:rStyle w:val="45"/>
                      <w:rFonts w:hint="eastAsia" w:eastAsia="宋体" w:cs="Times New Roman"/>
                      <w:b w:val="0"/>
                      <w:bCs/>
                      <w:color w:val="auto"/>
                      <w:sz w:val="21"/>
                      <w:szCs w:val="21"/>
                      <w:highlight w:val="none"/>
                      <w:vertAlign w:val="baseline"/>
                      <w:lang w:val="en-US" w:eastAsia="zh-CN"/>
                    </w:rPr>
                    <w:t>硫酸稀释</w:t>
                  </w:r>
                  <w:r>
                    <w:rPr>
                      <w:rStyle w:val="45"/>
                      <w:rFonts w:hint="eastAsia" w:cs="Times New Roman"/>
                      <w:b w:val="0"/>
                      <w:bCs/>
                      <w:color w:val="auto"/>
                      <w:sz w:val="21"/>
                      <w:szCs w:val="21"/>
                      <w:highlight w:val="none"/>
                      <w:vertAlign w:val="baseline"/>
                      <w:lang w:val="en-US" w:eastAsia="zh-CN"/>
                    </w:rPr>
                    <w:t>、蒙砂液配制、防火液喷涂</w:t>
                  </w:r>
                </w:p>
              </w:tc>
            </w:tr>
            <w:tr w14:paraId="5226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3F5377CB">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名称</w:t>
                  </w:r>
                </w:p>
              </w:tc>
              <w:tc>
                <w:tcPr>
                  <w:tcW w:w="558" w:type="pct"/>
                  <w:noWrap w:val="0"/>
                  <w:vAlign w:val="center"/>
                </w:tcPr>
                <w:p w14:paraId="4FC750E5">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ascii="Times New Roman" w:hAnsi="Times New Roman" w:eastAsia="宋体" w:cs="Times New Roman"/>
                      <w:b w:val="0"/>
                      <w:bCs/>
                      <w:color w:val="auto"/>
                      <w:sz w:val="21"/>
                      <w:szCs w:val="21"/>
                      <w:highlight w:val="none"/>
                      <w:vertAlign w:val="baseline"/>
                      <w:lang w:val="en-US" w:eastAsia="zh-CN"/>
                    </w:rPr>
                  </w:pPr>
                  <w:r>
                    <w:rPr>
                      <w:rStyle w:val="45"/>
                      <w:rFonts w:hint="eastAsia" w:ascii="Times New Roman" w:hAnsi="Times New Roman" w:eastAsia="宋体" w:cs="Times New Roman"/>
                      <w:b w:val="0"/>
                      <w:bCs/>
                      <w:color w:val="auto"/>
                      <w:sz w:val="21"/>
                      <w:szCs w:val="21"/>
                      <w:highlight w:val="none"/>
                      <w:vertAlign w:val="baseline"/>
                      <w:lang w:val="en-US" w:eastAsia="zh-CN"/>
                    </w:rPr>
                    <w:t>食堂泔水</w:t>
                  </w:r>
                </w:p>
              </w:tc>
              <w:tc>
                <w:tcPr>
                  <w:tcW w:w="519" w:type="pct"/>
                  <w:noWrap w:val="0"/>
                  <w:vAlign w:val="center"/>
                </w:tcPr>
                <w:p w14:paraId="0D0C8DC5">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ascii="Times New Roman" w:hAnsi="Times New Roman" w:eastAsia="宋体" w:cs="Times New Roman"/>
                      <w:bCs/>
                      <w:color w:val="auto"/>
                      <w:sz w:val="21"/>
                      <w:szCs w:val="21"/>
                      <w:highlight w:val="none"/>
                      <w:lang w:val="en-US" w:eastAsia="zh-CN"/>
                    </w:rPr>
                  </w:pPr>
                  <w:r>
                    <w:rPr>
                      <w:rStyle w:val="45"/>
                      <w:rFonts w:hint="eastAsia"/>
                      <w:bCs/>
                      <w:color w:val="auto"/>
                      <w:sz w:val="21"/>
                      <w:szCs w:val="21"/>
                      <w:highlight w:val="none"/>
                      <w:lang w:val="en-US" w:eastAsia="zh-CN"/>
                    </w:rPr>
                    <w:t>隔油池废油脂</w:t>
                  </w:r>
                </w:p>
              </w:tc>
              <w:tc>
                <w:tcPr>
                  <w:tcW w:w="583" w:type="pct"/>
                  <w:noWrap w:val="0"/>
                  <w:vAlign w:val="center"/>
                </w:tcPr>
                <w:p w14:paraId="5FD990F4">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eastAsia="宋体"/>
                      <w:bCs/>
                      <w:color w:val="auto"/>
                      <w:sz w:val="21"/>
                      <w:szCs w:val="21"/>
                      <w:highlight w:val="none"/>
                      <w:lang w:val="en-US" w:eastAsia="zh-CN"/>
                    </w:rPr>
                  </w:pPr>
                  <w:r>
                    <w:rPr>
                      <w:rStyle w:val="45"/>
                      <w:rFonts w:hint="eastAsia" w:eastAsia="宋体"/>
                      <w:bCs/>
                      <w:color w:val="auto"/>
                      <w:sz w:val="21"/>
                      <w:szCs w:val="21"/>
                      <w:highlight w:val="none"/>
                      <w:lang w:eastAsia="zh-CN"/>
                    </w:rPr>
                    <w:t>污泥</w:t>
                  </w:r>
                </w:p>
              </w:tc>
              <w:tc>
                <w:tcPr>
                  <w:tcW w:w="556" w:type="pct"/>
                  <w:noWrap w:val="0"/>
                  <w:vAlign w:val="center"/>
                </w:tcPr>
                <w:p w14:paraId="0072CDB9">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eastAsia" w:eastAsia="宋体"/>
                      <w:bCs/>
                      <w:color w:val="auto"/>
                      <w:sz w:val="21"/>
                      <w:szCs w:val="21"/>
                      <w:highlight w:val="none"/>
                      <w:lang w:eastAsia="zh-CN"/>
                    </w:rPr>
                    <w:t>污泥</w:t>
                  </w:r>
                </w:p>
              </w:tc>
              <w:tc>
                <w:tcPr>
                  <w:tcW w:w="558" w:type="pct"/>
                  <w:noWrap w:val="0"/>
                  <w:vAlign w:val="center"/>
                </w:tcPr>
                <w:p w14:paraId="328C070C">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eastAsia="宋体"/>
                      <w:bCs/>
                      <w:color w:val="auto"/>
                      <w:sz w:val="21"/>
                      <w:szCs w:val="21"/>
                      <w:highlight w:val="none"/>
                      <w:lang w:val="en-US" w:eastAsia="zh-CN"/>
                    </w:rPr>
                  </w:pPr>
                  <w:r>
                    <w:rPr>
                      <w:rStyle w:val="45"/>
                      <w:rFonts w:hint="default"/>
                      <w:bCs/>
                      <w:color w:val="auto"/>
                      <w:sz w:val="21"/>
                      <w:szCs w:val="21"/>
                      <w:highlight w:val="none"/>
                    </w:rPr>
                    <w:t>废机油</w:t>
                  </w:r>
                </w:p>
              </w:tc>
              <w:tc>
                <w:tcPr>
                  <w:tcW w:w="637" w:type="pct"/>
                  <w:noWrap w:val="0"/>
                  <w:vAlign w:val="center"/>
                </w:tcPr>
                <w:p w14:paraId="0CC4C67E">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eastAsia" w:eastAsia="宋体"/>
                      <w:bCs/>
                      <w:color w:val="auto"/>
                      <w:sz w:val="21"/>
                      <w:szCs w:val="21"/>
                      <w:highlight w:val="none"/>
                      <w:lang w:eastAsia="zh-CN"/>
                    </w:rPr>
                    <w:t>污泥</w:t>
                  </w:r>
                </w:p>
              </w:tc>
              <w:tc>
                <w:tcPr>
                  <w:tcW w:w="700" w:type="pct"/>
                  <w:noWrap w:val="0"/>
                  <w:vAlign w:val="center"/>
                </w:tcPr>
                <w:p w14:paraId="64E20D5F">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eastAsia="宋体"/>
                      <w:bCs/>
                      <w:color w:val="auto"/>
                      <w:sz w:val="21"/>
                      <w:szCs w:val="21"/>
                      <w:highlight w:val="none"/>
                      <w:lang w:eastAsia="zh-CN"/>
                    </w:rPr>
                  </w:pPr>
                  <w:r>
                    <w:rPr>
                      <w:rStyle w:val="45"/>
                      <w:rFonts w:hint="eastAsia" w:eastAsia="宋体" w:cs="Times New Roman"/>
                      <w:b w:val="0"/>
                      <w:bCs/>
                      <w:color w:val="auto"/>
                      <w:sz w:val="21"/>
                      <w:szCs w:val="21"/>
                      <w:highlight w:val="none"/>
                      <w:vertAlign w:val="baseline"/>
                      <w:lang w:val="en-US" w:eastAsia="zh-CN"/>
                    </w:rPr>
                    <w:t>空硫酸桶</w:t>
                  </w:r>
                  <w:r>
                    <w:rPr>
                      <w:rStyle w:val="45"/>
                      <w:rFonts w:hint="eastAsia" w:cs="Times New Roman"/>
                      <w:b w:val="0"/>
                      <w:bCs/>
                      <w:color w:val="auto"/>
                      <w:sz w:val="21"/>
                      <w:szCs w:val="21"/>
                      <w:highlight w:val="none"/>
                      <w:vertAlign w:val="baseline"/>
                      <w:lang w:val="en-US" w:eastAsia="zh-CN"/>
                    </w:rPr>
                    <w:t>、空盐酸桶、空防火液桶</w:t>
                  </w:r>
                </w:p>
              </w:tc>
            </w:tr>
            <w:tr w14:paraId="2D48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restart"/>
                  <w:noWrap w:val="0"/>
                  <w:vAlign w:val="center"/>
                </w:tcPr>
                <w:p w14:paraId="7C6A70E2">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属性</w:t>
                  </w:r>
                </w:p>
              </w:tc>
              <w:tc>
                <w:tcPr>
                  <w:tcW w:w="626" w:type="pct"/>
                  <w:noWrap w:val="0"/>
                  <w:vAlign w:val="center"/>
                </w:tcPr>
                <w:p w14:paraId="6362C35D">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属性</w:t>
                  </w:r>
                </w:p>
              </w:tc>
              <w:tc>
                <w:tcPr>
                  <w:tcW w:w="558" w:type="pct"/>
                  <w:noWrap w:val="0"/>
                  <w:vAlign w:val="center"/>
                </w:tcPr>
                <w:p w14:paraId="61036C62">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生活</w:t>
                  </w:r>
                  <w:r>
                    <w:rPr>
                      <w:rStyle w:val="45"/>
                      <w:rFonts w:hint="default" w:ascii="Times New Roman" w:hAnsi="Times New Roman" w:eastAsia="宋体" w:cs="Times New Roman"/>
                      <w:b w:val="0"/>
                      <w:bCs/>
                      <w:color w:val="auto"/>
                      <w:sz w:val="21"/>
                      <w:szCs w:val="21"/>
                      <w:highlight w:val="none"/>
                      <w:vertAlign w:val="baseline"/>
                      <w:lang w:val="en-US" w:eastAsia="zh-CN"/>
                    </w:rPr>
                    <w:t>固废</w:t>
                  </w:r>
                </w:p>
              </w:tc>
              <w:tc>
                <w:tcPr>
                  <w:tcW w:w="519" w:type="pct"/>
                  <w:noWrap w:val="0"/>
                  <w:vAlign w:val="center"/>
                </w:tcPr>
                <w:p w14:paraId="320E4D10">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Cs/>
                      <w:color w:val="auto"/>
                      <w:sz w:val="21"/>
                      <w:szCs w:val="21"/>
                      <w:highlight w:val="none"/>
                    </w:rPr>
                  </w:pPr>
                  <w:r>
                    <w:rPr>
                      <w:rStyle w:val="45"/>
                      <w:rFonts w:hint="eastAsia" w:cs="Times New Roman"/>
                      <w:b w:val="0"/>
                      <w:bCs/>
                      <w:color w:val="auto"/>
                      <w:sz w:val="21"/>
                      <w:szCs w:val="21"/>
                      <w:highlight w:val="none"/>
                      <w:vertAlign w:val="baseline"/>
                      <w:lang w:val="en-US" w:eastAsia="zh-CN"/>
                    </w:rPr>
                    <w:t>生活</w:t>
                  </w:r>
                  <w:r>
                    <w:rPr>
                      <w:rStyle w:val="45"/>
                      <w:rFonts w:hint="default" w:ascii="Times New Roman" w:hAnsi="Times New Roman" w:eastAsia="宋体" w:cs="Times New Roman"/>
                      <w:b w:val="0"/>
                      <w:bCs/>
                      <w:color w:val="auto"/>
                      <w:sz w:val="21"/>
                      <w:szCs w:val="21"/>
                      <w:highlight w:val="none"/>
                      <w:vertAlign w:val="baseline"/>
                      <w:lang w:val="en-US" w:eastAsia="zh-CN"/>
                    </w:rPr>
                    <w:t>固废</w:t>
                  </w:r>
                </w:p>
              </w:tc>
              <w:tc>
                <w:tcPr>
                  <w:tcW w:w="583" w:type="pct"/>
                  <w:noWrap w:val="0"/>
                  <w:vAlign w:val="center"/>
                </w:tcPr>
                <w:p w14:paraId="0F33FD95">
                  <w:pPr>
                    <w:keepNext w:val="0"/>
                    <w:keepLines w:val="0"/>
                    <w:suppressLineNumbers w:val="0"/>
                    <w:adjustRightInd w:val="0"/>
                    <w:snapToGrid w:val="0"/>
                    <w:spacing w:before="0" w:beforeAutospacing="0" w:after="0" w:afterAutospacing="0"/>
                    <w:ind w:left="0" w:leftChars="0" w:right="0" w:rightChars="0"/>
                    <w:jc w:val="center"/>
                    <w:rPr>
                      <w:rStyle w:val="45"/>
                      <w:rFonts w:hint="default" w:eastAsia="宋体"/>
                      <w:bCs/>
                      <w:color w:val="auto"/>
                      <w:sz w:val="21"/>
                      <w:szCs w:val="21"/>
                      <w:highlight w:val="none"/>
                      <w:lang w:val="en-US" w:eastAsia="zh-CN"/>
                    </w:rPr>
                  </w:pPr>
                  <w:r>
                    <w:rPr>
                      <w:rStyle w:val="45"/>
                      <w:rFonts w:hint="eastAsia" w:cs="Times New Roman"/>
                      <w:b w:val="0"/>
                      <w:bCs/>
                      <w:color w:val="auto"/>
                      <w:sz w:val="21"/>
                      <w:szCs w:val="21"/>
                      <w:highlight w:val="none"/>
                      <w:vertAlign w:val="baseline"/>
                      <w:lang w:val="en-US" w:eastAsia="zh-CN"/>
                    </w:rPr>
                    <w:t>生活</w:t>
                  </w:r>
                  <w:r>
                    <w:rPr>
                      <w:rStyle w:val="45"/>
                      <w:rFonts w:hint="default" w:ascii="Times New Roman" w:hAnsi="Times New Roman" w:eastAsia="宋体" w:cs="Times New Roman"/>
                      <w:b w:val="0"/>
                      <w:bCs/>
                      <w:color w:val="auto"/>
                      <w:sz w:val="21"/>
                      <w:szCs w:val="21"/>
                      <w:highlight w:val="none"/>
                      <w:vertAlign w:val="baseline"/>
                      <w:lang w:val="en-US" w:eastAsia="zh-CN"/>
                    </w:rPr>
                    <w:t>固废</w:t>
                  </w:r>
                </w:p>
              </w:tc>
              <w:tc>
                <w:tcPr>
                  <w:tcW w:w="556" w:type="pct"/>
                  <w:noWrap w:val="0"/>
                  <w:vAlign w:val="center"/>
                </w:tcPr>
                <w:p w14:paraId="7CB7C617">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eastAsia" w:cs="Times New Roman"/>
                      <w:b w:val="0"/>
                      <w:bCs/>
                      <w:color w:val="auto"/>
                      <w:sz w:val="21"/>
                      <w:szCs w:val="21"/>
                      <w:highlight w:val="none"/>
                      <w:vertAlign w:val="baseline"/>
                      <w:lang w:val="en-US" w:eastAsia="zh-CN"/>
                    </w:rPr>
                    <w:t>生活</w:t>
                  </w:r>
                  <w:r>
                    <w:rPr>
                      <w:rStyle w:val="45"/>
                      <w:rFonts w:hint="default" w:ascii="Times New Roman" w:hAnsi="Times New Roman" w:eastAsia="宋体" w:cs="Times New Roman"/>
                      <w:b w:val="0"/>
                      <w:bCs/>
                      <w:color w:val="auto"/>
                      <w:sz w:val="21"/>
                      <w:szCs w:val="21"/>
                      <w:highlight w:val="none"/>
                      <w:vertAlign w:val="baseline"/>
                      <w:lang w:val="en-US" w:eastAsia="zh-CN"/>
                    </w:rPr>
                    <w:t>固废</w:t>
                  </w:r>
                </w:p>
              </w:tc>
              <w:tc>
                <w:tcPr>
                  <w:tcW w:w="558" w:type="pct"/>
                  <w:noWrap w:val="0"/>
                  <w:vAlign w:val="center"/>
                </w:tcPr>
                <w:p w14:paraId="7332C8B0">
                  <w:pPr>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default"/>
                      <w:bCs/>
                      <w:color w:val="auto"/>
                      <w:sz w:val="21"/>
                      <w:szCs w:val="21"/>
                      <w:highlight w:val="none"/>
                    </w:rPr>
                    <w:t>危险废物</w:t>
                  </w:r>
                </w:p>
              </w:tc>
              <w:tc>
                <w:tcPr>
                  <w:tcW w:w="637" w:type="pct"/>
                  <w:noWrap w:val="0"/>
                  <w:vAlign w:val="center"/>
                </w:tcPr>
                <w:p w14:paraId="79C0136C">
                  <w:pPr>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default"/>
                      <w:bCs/>
                      <w:color w:val="auto"/>
                      <w:sz w:val="21"/>
                      <w:szCs w:val="21"/>
                      <w:highlight w:val="none"/>
                    </w:rPr>
                    <w:t>危险废物</w:t>
                  </w:r>
                </w:p>
              </w:tc>
              <w:tc>
                <w:tcPr>
                  <w:tcW w:w="700" w:type="pct"/>
                  <w:noWrap w:val="0"/>
                  <w:vAlign w:val="center"/>
                </w:tcPr>
                <w:p w14:paraId="007895A1">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bCs/>
                      <w:color w:val="auto"/>
                      <w:sz w:val="21"/>
                      <w:szCs w:val="21"/>
                      <w:highlight w:val="none"/>
                    </w:rPr>
                  </w:pPr>
                  <w:r>
                    <w:rPr>
                      <w:rStyle w:val="45"/>
                      <w:rFonts w:hint="eastAsia" w:cs="Times New Roman"/>
                      <w:b w:val="0"/>
                      <w:bCs/>
                      <w:color w:val="auto"/>
                      <w:sz w:val="21"/>
                      <w:szCs w:val="21"/>
                      <w:highlight w:val="none"/>
                      <w:vertAlign w:val="baseline"/>
                      <w:lang w:val="en-US" w:eastAsia="zh-CN"/>
                    </w:rPr>
                    <w:t>危险废物</w:t>
                  </w:r>
                </w:p>
              </w:tc>
            </w:tr>
            <w:tr w14:paraId="32CE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continue"/>
                  <w:noWrap w:val="0"/>
                  <w:vAlign w:val="center"/>
                </w:tcPr>
                <w:p w14:paraId="2398C643">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p>
              </w:tc>
              <w:tc>
                <w:tcPr>
                  <w:tcW w:w="626" w:type="pct"/>
                  <w:noWrap w:val="0"/>
                  <w:vAlign w:val="center"/>
                </w:tcPr>
                <w:p w14:paraId="74615734">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Style w:val="45"/>
                      <w:rFonts w:hint="default" w:ascii="Times New Roman" w:hAnsi="Times New Roman" w:eastAsia="宋体" w:cs="Times New Roman"/>
                      <w:b/>
                      <w:bCs w:val="0"/>
                      <w:color w:val="auto"/>
                      <w:sz w:val="21"/>
                      <w:szCs w:val="21"/>
                      <w:highlight w:val="none"/>
                      <w:vertAlign w:val="baseline"/>
                      <w:lang w:val="en-US" w:eastAsia="zh-CN"/>
                    </w:rPr>
                    <w:t>危险废物代码</w:t>
                  </w:r>
                </w:p>
              </w:tc>
              <w:tc>
                <w:tcPr>
                  <w:tcW w:w="558" w:type="pct"/>
                  <w:noWrap w:val="0"/>
                  <w:vAlign w:val="center"/>
                </w:tcPr>
                <w:p w14:paraId="0D20FC5B">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519" w:type="pct"/>
                  <w:noWrap w:val="0"/>
                  <w:vAlign w:val="center"/>
                </w:tcPr>
                <w:p w14:paraId="1935E5BA">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Cs/>
                      <w:color w:val="auto"/>
                      <w:sz w:val="21"/>
                      <w:szCs w:val="21"/>
                      <w:highlight w:val="no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583" w:type="pct"/>
                  <w:noWrap w:val="0"/>
                  <w:vAlign w:val="center"/>
                </w:tcPr>
                <w:p w14:paraId="7FEDDF71">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lang w:val="en-US"/>
                    </w:rPr>
                  </w:pPr>
                  <w:r>
                    <w:rPr>
                      <w:rStyle w:val="45"/>
                      <w:rFonts w:hint="default"/>
                      <w:bCs/>
                      <w:color w:val="auto"/>
                      <w:sz w:val="21"/>
                      <w:szCs w:val="21"/>
                      <w:highlight w:val="none"/>
                    </w:rPr>
                    <w:t>/</w:t>
                  </w:r>
                </w:p>
              </w:tc>
              <w:tc>
                <w:tcPr>
                  <w:tcW w:w="556" w:type="pct"/>
                  <w:noWrap w:val="0"/>
                  <w:vAlign w:val="center"/>
                </w:tcPr>
                <w:p w14:paraId="17296C9D">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lang w:val="en-US"/>
                    </w:rPr>
                  </w:pPr>
                  <w:r>
                    <w:rPr>
                      <w:rStyle w:val="45"/>
                      <w:rFonts w:hint="default"/>
                      <w:bCs/>
                      <w:color w:val="auto"/>
                      <w:sz w:val="21"/>
                      <w:szCs w:val="21"/>
                      <w:highlight w:val="none"/>
                    </w:rPr>
                    <w:t>/</w:t>
                  </w:r>
                </w:p>
              </w:tc>
              <w:tc>
                <w:tcPr>
                  <w:tcW w:w="558" w:type="pct"/>
                  <w:noWrap w:val="0"/>
                  <w:vAlign w:val="center"/>
                </w:tcPr>
                <w:p w14:paraId="5D74F247">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default"/>
                      <w:bCs/>
                      <w:color w:val="auto"/>
                      <w:sz w:val="21"/>
                      <w:szCs w:val="21"/>
                      <w:highlight w:val="none"/>
                    </w:rPr>
                    <w:t>HW08 900-214-08</w:t>
                  </w:r>
                </w:p>
              </w:tc>
              <w:tc>
                <w:tcPr>
                  <w:tcW w:w="637" w:type="pct"/>
                  <w:noWrap w:val="0"/>
                  <w:vAlign w:val="center"/>
                </w:tcPr>
                <w:p w14:paraId="12C68B03">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bCs/>
                      <w:color w:val="auto"/>
                      <w:sz w:val="21"/>
                      <w:szCs w:val="21"/>
                      <w:highlight w:val="none"/>
                      <w:lang w:val="en-US" w:eastAsia="zh-CN"/>
                    </w:rPr>
                  </w:pPr>
                  <w:r>
                    <w:rPr>
                      <w:rStyle w:val="45"/>
                      <w:rFonts w:hint="eastAsia"/>
                      <w:bCs/>
                      <w:color w:val="auto"/>
                      <w:sz w:val="21"/>
                      <w:szCs w:val="21"/>
                      <w:highlight w:val="none"/>
                      <w:lang w:val="en-US" w:eastAsia="zh-CN"/>
                    </w:rPr>
                    <w:t>HW32</w:t>
                  </w:r>
                </w:p>
                <w:p w14:paraId="0A84EDFC">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eastAsia="宋体"/>
                      <w:bCs/>
                      <w:color w:val="auto"/>
                      <w:sz w:val="21"/>
                      <w:szCs w:val="21"/>
                      <w:highlight w:val="none"/>
                      <w:lang w:val="en-US" w:eastAsia="zh-CN"/>
                    </w:rPr>
                  </w:pPr>
                  <w:r>
                    <w:rPr>
                      <w:rStyle w:val="45"/>
                      <w:rFonts w:hint="default" w:eastAsia="宋体"/>
                      <w:bCs/>
                      <w:color w:val="auto"/>
                      <w:sz w:val="21"/>
                      <w:szCs w:val="21"/>
                      <w:highlight w:val="none"/>
                      <w:lang w:val="en-US" w:eastAsia="zh-CN"/>
                    </w:rPr>
                    <w:t>900-026-32</w:t>
                  </w:r>
                </w:p>
              </w:tc>
              <w:tc>
                <w:tcPr>
                  <w:tcW w:w="700" w:type="pct"/>
                  <w:noWrap w:val="0"/>
                  <w:vAlign w:val="center"/>
                </w:tcPr>
                <w:p w14:paraId="2972BB12">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lang w:val="en-US" w:eastAsia="zh-CN"/>
                    </w:rPr>
                  </w:pPr>
                  <w:r>
                    <w:rPr>
                      <w:rStyle w:val="45"/>
                      <w:rFonts w:hint="eastAsia"/>
                      <w:bCs/>
                      <w:color w:val="auto"/>
                      <w:sz w:val="21"/>
                      <w:szCs w:val="21"/>
                      <w:highlight w:val="none"/>
                      <w:lang w:val="en-US" w:eastAsia="zh-CN"/>
                    </w:rPr>
                    <w:t>HW49</w:t>
                  </w:r>
                </w:p>
                <w:p w14:paraId="257FDB26">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eastAsia="宋体"/>
                      <w:bCs/>
                      <w:color w:val="auto"/>
                      <w:sz w:val="21"/>
                      <w:szCs w:val="21"/>
                      <w:highlight w:val="none"/>
                      <w:lang w:val="en-US" w:eastAsia="zh-CN"/>
                    </w:rPr>
                  </w:pPr>
                  <w:r>
                    <w:rPr>
                      <w:rStyle w:val="45"/>
                      <w:rFonts w:hint="default" w:eastAsia="宋体"/>
                      <w:bCs/>
                      <w:color w:val="auto"/>
                      <w:sz w:val="21"/>
                      <w:szCs w:val="21"/>
                      <w:highlight w:val="none"/>
                      <w:lang w:val="en-US" w:eastAsia="zh-CN"/>
                    </w:rPr>
                    <w:t>900-0</w:t>
                  </w:r>
                  <w:r>
                    <w:rPr>
                      <w:rStyle w:val="45"/>
                      <w:rFonts w:hint="eastAsia" w:eastAsia="宋体"/>
                      <w:bCs/>
                      <w:color w:val="auto"/>
                      <w:sz w:val="21"/>
                      <w:szCs w:val="21"/>
                      <w:highlight w:val="none"/>
                      <w:lang w:val="en-US" w:eastAsia="zh-CN"/>
                    </w:rPr>
                    <w:t>41</w:t>
                  </w:r>
                  <w:r>
                    <w:rPr>
                      <w:rStyle w:val="45"/>
                      <w:rFonts w:hint="default" w:eastAsia="宋体"/>
                      <w:bCs/>
                      <w:color w:val="auto"/>
                      <w:sz w:val="21"/>
                      <w:szCs w:val="21"/>
                      <w:highlight w:val="none"/>
                      <w:lang w:val="en-US" w:eastAsia="zh-CN"/>
                    </w:rPr>
                    <w:t>-</w:t>
                  </w:r>
                  <w:r>
                    <w:rPr>
                      <w:rStyle w:val="45"/>
                      <w:rFonts w:hint="eastAsia" w:eastAsia="宋体"/>
                      <w:bCs/>
                      <w:color w:val="auto"/>
                      <w:sz w:val="21"/>
                      <w:szCs w:val="21"/>
                      <w:highlight w:val="none"/>
                      <w:lang w:val="en-US" w:eastAsia="zh-CN"/>
                    </w:rPr>
                    <w:t>49</w:t>
                  </w:r>
                </w:p>
              </w:tc>
            </w:tr>
            <w:tr w14:paraId="1E1F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689BDE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
                    </w:rPr>
                    <w:t>主要有毒有害物质名称</w:t>
                  </w:r>
                </w:p>
              </w:tc>
              <w:tc>
                <w:tcPr>
                  <w:tcW w:w="558" w:type="pct"/>
                  <w:noWrap w:val="0"/>
                  <w:vAlign w:val="center"/>
                </w:tcPr>
                <w:p w14:paraId="50065D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519" w:type="pct"/>
                  <w:noWrap w:val="0"/>
                  <w:vAlign w:val="center"/>
                </w:tcPr>
                <w:p w14:paraId="69902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583" w:type="pct"/>
                  <w:noWrap w:val="0"/>
                  <w:vAlign w:val="center"/>
                </w:tcPr>
                <w:p w14:paraId="2B3744FE">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ascii="Times New Roman" w:hAnsi="Times New Roman" w:eastAsia="宋体" w:cs="Times New Roman"/>
                      <w:b w:val="0"/>
                      <w:bCs/>
                      <w:color w:val="auto"/>
                      <w:sz w:val="21"/>
                      <w:szCs w:val="21"/>
                      <w:highlight w:val="none"/>
                      <w:vertAlign w:val="baseline"/>
                      <w:lang w:val="en-US" w:eastAsia="zh-CN"/>
                    </w:rPr>
                  </w:pPr>
                  <w:r>
                    <w:rPr>
                      <w:rStyle w:val="45"/>
                      <w:rFonts w:hint="default"/>
                      <w:bCs/>
                      <w:color w:val="auto"/>
                      <w:sz w:val="21"/>
                      <w:szCs w:val="21"/>
                      <w:highlight w:val="none"/>
                    </w:rPr>
                    <w:t>/</w:t>
                  </w:r>
                </w:p>
              </w:tc>
              <w:tc>
                <w:tcPr>
                  <w:tcW w:w="556" w:type="pct"/>
                  <w:noWrap w:val="0"/>
                  <w:vAlign w:val="center"/>
                </w:tcPr>
                <w:p w14:paraId="2902CB67">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cs="Times New Roman"/>
                      <w:b w:val="0"/>
                      <w:bCs/>
                      <w:color w:val="auto"/>
                      <w:sz w:val="21"/>
                      <w:szCs w:val="21"/>
                      <w:highlight w:val="none"/>
                      <w:vertAlign w:val="baseline"/>
                      <w:lang w:val="en-US" w:eastAsia="zh-CN"/>
                    </w:rPr>
                  </w:pPr>
                  <w:r>
                    <w:rPr>
                      <w:rStyle w:val="45"/>
                      <w:rFonts w:hint="default"/>
                      <w:bCs/>
                      <w:color w:val="auto"/>
                      <w:sz w:val="21"/>
                      <w:szCs w:val="21"/>
                      <w:highlight w:val="none"/>
                    </w:rPr>
                    <w:t>/</w:t>
                  </w:r>
                </w:p>
              </w:tc>
              <w:tc>
                <w:tcPr>
                  <w:tcW w:w="558" w:type="pct"/>
                  <w:noWrap w:val="0"/>
                  <w:vAlign w:val="center"/>
                </w:tcPr>
                <w:p w14:paraId="193FA1B8">
                  <w:pPr>
                    <w:keepNext w:val="0"/>
                    <w:keepLines w:val="0"/>
                    <w:suppressLineNumbers w:val="0"/>
                    <w:adjustRightInd w:val="0"/>
                    <w:snapToGrid w:val="0"/>
                    <w:spacing w:before="0" w:beforeAutospacing="0" w:after="0" w:afterAutospacing="0"/>
                    <w:ind w:left="0" w:leftChars="0" w:right="0" w:rightChars="0"/>
                    <w:jc w:val="center"/>
                    <w:rPr>
                      <w:rStyle w:val="45"/>
                      <w:rFonts w:hint="eastAsia"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油类</w:t>
                  </w:r>
                </w:p>
              </w:tc>
              <w:tc>
                <w:tcPr>
                  <w:tcW w:w="637" w:type="pct"/>
                  <w:noWrap w:val="0"/>
                  <w:vAlign w:val="center"/>
                </w:tcPr>
                <w:p w14:paraId="00F3F4CB">
                  <w:pPr>
                    <w:keepNext w:val="0"/>
                    <w:keepLines w:val="0"/>
                    <w:suppressLineNumbers w:val="0"/>
                    <w:adjustRightInd w:val="0"/>
                    <w:snapToGrid w:val="0"/>
                    <w:spacing w:before="0" w:beforeAutospacing="0" w:after="0" w:afterAutospacing="0"/>
                    <w:ind w:left="0" w:leftChars="0" w:right="0" w:rightChars="0"/>
                    <w:jc w:val="center"/>
                    <w:rPr>
                      <w:rStyle w:val="45"/>
                      <w:rFonts w:hint="default"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氟化物</w:t>
                  </w:r>
                </w:p>
              </w:tc>
              <w:tc>
                <w:tcPr>
                  <w:tcW w:w="700" w:type="pct"/>
                  <w:noWrap w:val="0"/>
                  <w:vAlign w:val="center"/>
                </w:tcPr>
                <w:p w14:paraId="7E513EA5">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硫酸、盐</w:t>
                  </w:r>
                  <w:r>
                    <w:rPr>
                      <w:rStyle w:val="45"/>
                      <w:rFonts w:hint="eastAsia" w:eastAsia="宋体" w:cs="Times New Roman"/>
                      <w:b w:val="0"/>
                      <w:bCs/>
                      <w:color w:val="auto"/>
                      <w:sz w:val="21"/>
                      <w:szCs w:val="21"/>
                      <w:highlight w:val="none"/>
                      <w:vertAlign w:val="baseline"/>
                      <w:lang w:val="en-US" w:eastAsia="zh-CN"/>
                    </w:rPr>
                    <w:t>酸</w:t>
                  </w:r>
                </w:p>
              </w:tc>
            </w:tr>
            <w:tr w14:paraId="5F17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679818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
                    </w:rPr>
                    <w:t>物理性状</w:t>
                  </w:r>
                </w:p>
              </w:tc>
              <w:tc>
                <w:tcPr>
                  <w:tcW w:w="558" w:type="pct"/>
                  <w:noWrap w:val="0"/>
                  <w:vAlign w:val="center"/>
                </w:tcPr>
                <w:p w14:paraId="4A342E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ascii="Times New Roman" w:hAnsi="Times New Roman" w:eastAsia="宋体" w:cs="Times New Roman"/>
                      <w:b w:val="0"/>
                      <w:bCs/>
                      <w:color w:val="auto"/>
                      <w:sz w:val="21"/>
                      <w:szCs w:val="21"/>
                      <w:highlight w:val="none"/>
                      <w:vertAlign w:val="baseline"/>
                      <w:lang w:val="en-US" w:eastAsia="zh-CN"/>
                    </w:rPr>
                  </w:pPr>
                  <w:r>
                    <w:rPr>
                      <w:rStyle w:val="45"/>
                      <w:rFonts w:hint="eastAsia" w:eastAsia="宋体" w:cs="Times New Roman"/>
                      <w:b w:val="0"/>
                      <w:bCs/>
                      <w:color w:val="auto"/>
                      <w:sz w:val="21"/>
                      <w:szCs w:val="21"/>
                      <w:highlight w:val="none"/>
                      <w:vertAlign w:val="baseline"/>
                      <w:lang w:val="en-US" w:eastAsia="zh-CN"/>
                    </w:rPr>
                    <w:t>液</w:t>
                  </w:r>
                  <w:r>
                    <w:rPr>
                      <w:rStyle w:val="45"/>
                      <w:rFonts w:hint="eastAsia" w:cs="Times New Roman"/>
                      <w:b w:val="0"/>
                      <w:bCs/>
                      <w:color w:val="auto"/>
                      <w:sz w:val="21"/>
                      <w:szCs w:val="21"/>
                      <w:highlight w:val="none"/>
                      <w:vertAlign w:val="baseline"/>
                      <w:lang w:val="en-US" w:eastAsia="zh-CN"/>
                    </w:rPr>
                    <w:t>态</w:t>
                  </w:r>
                </w:p>
              </w:tc>
              <w:tc>
                <w:tcPr>
                  <w:tcW w:w="519" w:type="pct"/>
                  <w:noWrap w:val="0"/>
                  <w:vAlign w:val="center"/>
                </w:tcPr>
                <w:p w14:paraId="006EE1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eastAsia="宋体"/>
                      <w:bCs/>
                      <w:color w:val="auto"/>
                      <w:sz w:val="21"/>
                      <w:szCs w:val="21"/>
                      <w:highlight w:val="none"/>
                      <w:lang w:val="en-US" w:eastAsia="zh-CN"/>
                    </w:rPr>
                  </w:pPr>
                  <w:r>
                    <w:rPr>
                      <w:rStyle w:val="45"/>
                      <w:rFonts w:hint="eastAsia" w:eastAsia="宋体" w:cs="Times New Roman"/>
                      <w:b w:val="0"/>
                      <w:bCs/>
                      <w:color w:val="auto"/>
                      <w:sz w:val="21"/>
                      <w:szCs w:val="21"/>
                      <w:highlight w:val="none"/>
                      <w:vertAlign w:val="baseline"/>
                      <w:lang w:val="en-US" w:eastAsia="zh-CN"/>
                    </w:rPr>
                    <w:t>液</w:t>
                  </w:r>
                  <w:r>
                    <w:rPr>
                      <w:rStyle w:val="45"/>
                      <w:rFonts w:hint="default" w:ascii="Times New Roman" w:hAnsi="Times New Roman" w:eastAsia="宋体" w:cs="Times New Roman"/>
                      <w:b w:val="0"/>
                      <w:bCs/>
                      <w:color w:val="auto"/>
                      <w:sz w:val="21"/>
                      <w:szCs w:val="21"/>
                      <w:highlight w:val="none"/>
                      <w:vertAlign w:val="baseline"/>
                      <w:lang w:val="en-US" w:eastAsia="zh-CN"/>
                    </w:rPr>
                    <w:t>体</w:t>
                  </w:r>
                </w:p>
              </w:tc>
              <w:tc>
                <w:tcPr>
                  <w:tcW w:w="583" w:type="pct"/>
                  <w:noWrap w:val="0"/>
                  <w:vAlign w:val="center"/>
                </w:tcPr>
                <w:p w14:paraId="49A47B1E">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eastAsia="宋体"/>
                      <w:bCs/>
                      <w:color w:val="auto"/>
                      <w:sz w:val="21"/>
                      <w:szCs w:val="21"/>
                      <w:highlight w:val="none"/>
                      <w:lang w:val="en-US" w:eastAsia="zh-CN"/>
                    </w:rPr>
                  </w:pPr>
                  <w:r>
                    <w:rPr>
                      <w:rStyle w:val="45"/>
                      <w:rFonts w:hint="eastAsia" w:eastAsia="宋体"/>
                      <w:bCs/>
                      <w:color w:val="auto"/>
                      <w:sz w:val="21"/>
                      <w:szCs w:val="21"/>
                      <w:highlight w:val="none"/>
                      <w:lang w:eastAsia="zh-CN"/>
                    </w:rPr>
                    <w:t>固态</w:t>
                  </w:r>
                </w:p>
              </w:tc>
              <w:tc>
                <w:tcPr>
                  <w:tcW w:w="556" w:type="pct"/>
                  <w:noWrap w:val="0"/>
                  <w:vAlign w:val="center"/>
                </w:tcPr>
                <w:p w14:paraId="00485893">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eastAsia="宋体"/>
                      <w:bCs/>
                      <w:color w:val="auto"/>
                      <w:sz w:val="21"/>
                      <w:szCs w:val="21"/>
                      <w:highlight w:val="none"/>
                      <w:lang w:eastAsia="zh-CN"/>
                    </w:rPr>
                  </w:pPr>
                  <w:r>
                    <w:rPr>
                      <w:rStyle w:val="45"/>
                      <w:rFonts w:hint="default"/>
                      <w:bCs/>
                      <w:color w:val="auto"/>
                      <w:sz w:val="21"/>
                      <w:szCs w:val="21"/>
                      <w:highlight w:val="none"/>
                    </w:rPr>
                    <w:t>固</w:t>
                  </w:r>
                  <w:r>
                    <w:rPr>
                      <w:rStyle w:val="45"/>
                      <w:rFonts w:hint="eastAsia"/>
                      <w:bCs/>
                      <w:color w:val="auto"/>
                      <w:sz w:val="21"/>
                      <w:szCs w:val="21"/>
                      <w:highlight w:val="none"/>
                      <w:lang w:eastAsia="zh-CN"/>
                    </w:rPr>
                    <w:t>态</w:t>
                  </w:r>
                </w:p>
              </w:tc>
              <w:tc>
                <w:tcPr>
                  <w:tcW w:w="558" w:type="pct"/>
                  <w:noWrap w:val="0"/>
                  <w:vAlign w:val="center"/>
                </w:tcPr>
                <w:p w14:paraId="2ED75BD7">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eastAsia="宋体"/>
                      <w:bCs/>
                      <w:color w:val="auto"/>
                      <w:sz w:val="21"/>
                      <w:szCs w:val="21"/>
                      <w:highlight w:val="none"/>
                      <w:lang w:val="en-US" w:eastAsia="zh-CN"/>
                    </w:rPr>
                  </w:pPr>
                  <w:r>
                    <w:rPr>
                      <w:rStyle w:val="45"/>
                      <w:rFonts w:hint="eastAsia" w:eastAsia="宋体"/>
                      <w:bCs/>
                      <w:color w:val="auto"/>
                      <w:sz w:val="21"/>
                      <w:szCs w:val="21"/>
                      <w:highlight w:val="none"/>
                      <w:lang w:eastAsia="zh-CN"/>
                    </w:rPr>
                    <w:t>液态</w:t>
                  </w:r>
                </w:p>
              </w:tc>
              <w:tc>
                <w:tcPr>
                  <w:tcW w:w="637" w:type="pct"/>
                  <w:noWrap w:val="0"/>
                  <w:vAlign w:val="center"/>
                </w:tcPr>
                <w:p w14:paraId="6A0066EB">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eastAsia="宋体"/>
                      <w:bCs/>
                      <w:color w:val="auto"/>
                      <w:sz w:val="21"/>
                      <w:szCs w:val="21"/>
                      <w:highlight w:val="none"/>
                      <w:lang w:eastAsia="zh-CN"/>
                    </w:rPr>
                  </w:pPr>
                  <w:r>
                    <w:rPr>
                      <w:rStyle w:val="45"/>
                      <w:rFonts w:hint="eastAsia"/>
                      <w:bCs/>
                      <w:color w:val="auto"/>
                      <w:sz w:val="21"/>
                      <w:szCs w:val="21"/>
                      <w:highlight w:val="none"/>
                      <w:lang w:eastAsia="zh-CN"/>
                    </w:rPr>
                    <w:t>固态</w:t>
                  </w:r>
                </w:p>
              </w:tc>
              <w:tc>
                <w:tcPr>
                  <w:tcW w:w="700" w:type="pct"/>
                  <w:noWrap w:val="0"/>
                  <w:vAlign w:val="center"/>
                </w:tcPr>
                <w:p w14:paraId="5E83E80C">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bCs/>
                      <w:color w:val="auto"/>
                      <w:sz w:val="21"/>
                      <w:szCs w:val="21"/>
                      <w:highlight w:val="none"/>
                      <w:lang w:eastAsia="zh-CN"/>
                    </w:rPr>
                  </w:pPr>
                  <w:r>
                    <w:rPr>
                      <w:rStyle w:val="45"/>
                      <w:rFonts w:hint="default" w:ascii="Times New Roman" w:hAnsi="Times New Roman" w:eastAsia="宋体" w:cs="Times New Roman"/>
                      <w:b w:val="0"/>
                      <w:bCs/>
                      <w:color w:val="auto"/>
                      <w:sz w:val="21"/>
                      <w:szCs w:val="21"/>
                      <w:highlight w:val="none"/>
                      <w:vertAlign w:val="baseline"/>
                      <w:lang w:val="en-US" w:eastAsia="zh-CN"/>
                    </w:rPr>
                    <w:t>固</w:t>
                  </w:r>
                  <w:r>
                    <w:rPr>
                      <w:rStyle w:val="45"/>
                      <w:rFonts w:hint="eastAsia" w:cs="Times New Roman"/>
                      <w:b w:val="0"/>
                      <w:bCs/>
                      <w:color w:val="auto"/>
                      <w:sz w:val="21"/>
                      <w:szCs w:val="21"/>
                      <w:highlight w:val="none"/>
                      <w:vertAlign w:val="baseline"/>
                      <w:lang w:val="en-US" w:eastAsia="zh-CN"/>
                    </w:rPr>
                    <w:t>态</w:t>
                  </w:r>
                </w:p>
              </w:tc>
            </w:tr>
            <w:tr w14:paraId="5E03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68C799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环境危险</w:t>
                  </w:r>
                </w:p>
                <w:p w14:paraId="6B6D2D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特性</w:t>
                  </w:r>
                </w:p>
              </w:tc>
              <w:tc>
                <w:tcPr>
                  <w:tcW w:w="558" w:type="pct"/>
                  <w:noWrap w:val="0"/>
                  <w:vAlign w:val="center"/>
                </w:tcPr>
                <w:p w14:paraId="6ACC32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519" w:type="pct"/>
                  <w:noWrap w:val="0"/>
                  <w:vAlign w:val="center"/>
                </w:tcPr>
                <w:p w14:paraId="61E647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Style w:val="45"/>
                      <w:rFonts w:hint="default" w:ascii="Times New Roman" w:hAnsi="Times New Roman" w:eastAsia="宋体" w:cs="Times New Roman"/>
                      <w:b w:val="0"/>
                      <w:bCs/>
                      <w:color w:val="auto"/>
                      <w:sz w:val="21"/>
                      <w:szCs w:val="21"/>
                      <w:highlight w:val="none"/>
                      <w:vertAlign w:val="baseline"/>
                      <w:lang w:val="en-US" w:eastAsia="zh-CN"/>
                    </w:rPr>
                    <w:t>/</w:t>
                  </w:r>
                </w:p>
              </w:tc>
              <w:tc>
                <w:tcPr>
                  <w:tcW w:w="583" w:type="pct"/>
                  <w:noWrap w:val="0"/>
                  <w:vAlign w:val="center"/>
                </w:tcPr>
                <w:p w14:paraId="55172491">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default"/>
                      <w:bCs/>
                      <w:color w:val="auto"/>
                      <w:sz w:val="21"/>
                      <w:szCs w:val="21"/>
                      <w:highlight w:val="none"/>
                    </w:rPr>
                    <w:t>/</w:t>
                  </w:r>
                </w:p>
              </w:tc>
              <w:tc>
                <w:tcPr>
                  <w:tcW w:w="556" w:type="pct"/>
                  <w:noWrap w:val="0"/>
                  <w:vAlign w:val="center"/>
                </w:tcPr>
                <w:p w14:paraId="2F7D17E5">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ascii="Times New Roman" w:hAnsi="Times New Roman" w:eastAsia="宋体" w:cs="Times New Roman"/>
                      <w:b w:val="0"/>
                      <w:bCs/>
                      <w:color w:val="auto"/>
                      <w:sz w:val="21"/>
                      <w:szCs w:val="21"/>
                      <w:highlight w:val="none"/>
                      <w:vertAlign w:val="baseline"/>
                      <w:lang w:val="en-US" w:eastAsia="zh-CN"/>
                    </w:rPr>
                  </w:pPr>
                  <w:r>
                    <w:rPr>
                      <w:rStyle w:val="45"/>
                      <w:rFonts w:hint="default"/>
                      <w:bCs/>
                      <w:color w:val="auto"/>
                      <w:sz w:val="21"/>
                      <w:szCs w:val="21"/>
                      <w:highlight w:val="none"/>
                    </w:rPr>
                    <w:t>/</w:t>
                  </w:r>
                </w:p>
              </w:tc>
              <w:tc>
                <w:tcPr>
                  <w:tcW w:w="558" w:type="pct"/>
                  <w:noWrap w:val="0"/>
                  <w:vAlign w:val="center"/>
                </w:tcPr>
                <w:p w14:paraId="5405AE7A">
                  <w:pPr>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eastAsia" w:ascii="Times New Roman" w:hAnsi="Times New Roman" w:eastAsia="宋体" w:cs="Times New Roman"/>
                      <w:b w:val="0"/>
                      <w:bCs/>
                      <w:color w:val="auto"/>
                      <w:sz w:val="21"/>
                      <w:szCs w:val="21"/>
                      <w:highlight w:val="none"/>
                      <w:vertAlign w:val="baseline"/>
                      <w:lang w:val="en-US" w:eastAsia="zh-CN"/>
                    </w:rPr>
                    <w:t>T</w:t>
                  </w:r>
                  <w:r>
                    <w:rPr>
                      <w:rStyle w:val="45"/>
                      <w:rFonts w:hint="eastAsia" w:cs="Times New Roman"/>
                      <w:b w:val="0"/>
                      <w:bCs/>
                      <w:color w:val="auto"/>
                      <w:sz w:val="21"/>
                      <w:szCs w:val="21"/>
                      <w:highlight w:val="none"/>
                      <w:vertAlign w:val="baseline"/>
                      <w:lang w:val="en-US" w:eastAsia="zh-CN"/>
                    </w:rPr>
                    <w:t>，I</w:t>
                  </w:r>
                </w:p>
              </w:tc>
              <w:tc>
                <w:tcPr>
                  <w:tcW w:w="637" w:type="pct"/>
                  <w:noWrap w:val="0"/>
                  <w:vAlign w:val="center"/>
                </w:tcPr>
                <w:p w14:paraId="272B20EE">
                  <w:pPr>
                    <w:keepNext w:val="0"/>
                    <w:keepLines w:val="0"/>
                    <w:suppressLineNumbers w:val="0"/>
                    <w:adjustRightInd w:val="0"/>
                    <w:snapToGrid w:val="0"/>
                    <w:spacing w:before="0" w:beforeAutospacing="0" w:after="0" w:afterAutospacing="0"/>
                    <w:ind w:left="0" w:leftChars="0" w:right="0" w:rightChars="0"/>
                    <w:jc w:val="center"/>
                    <w:rPr>
                      <w:rStyle w:val="45"/>
                      <w:rFonts w:hint="eastAsia" w:ascii="Times New Roman" w:hAnsi="Times New Roman" w:eastAsia="宋体" w:cs="Times New Roman"/>
                      <w:b w:val="0"/>
                      <w:bCs/>
                      <w:color w:val="auto"/>
                      <w:sz w:val="21"/>
                      <w:szCs w:val="21"/>
                      <w:highlight w:val="none"/>
                      <w:vertAlign w:val="baseline"/>
                      <w:lang w:val="en-US" w:eastAsia="zh-CN"/>
                    </w:rPr>
                  </w:pPr>
                  <w:r>
                    <w:rPr>
                      <w:rStyle w:val="45"/>
                      <w:rFonts w:hint="eastAsia" w:ascii="Times New Roman" w:hAnsi="Times New Roman" w:eastAsia="宋体" w:cs="Times New Roman"/>
                      <w:b w:val="0"/>
                      <w:bCs/>
                      <w:color w:val="auto"/>
                      <w:sz w:val="21"/>
                      <w:szCs w:val="21"/>
                      <w:highlight w:val="none"/>
                      <w:vertAlign w:val="baseline"/>
                      <w:lang w:val="en-US" w:eastAsia="zh-CN"/>
                    </w:rPr>
                    <w:t>T</w:t>
                  </w:r>
                  <w:r>
                    <w:rPr>
                      <w:rStyle w:val="45"/>
                      <w:rFonts w:hint="eastAsia" w:cs="Times New Roman"/>
                      <w:b w:val="0"/>
                      <w:bCs/>
                      <w:color w:val="auto"/>
                      <w:sz w:val="21"/>
                      <w:szCs w:val="21"/>
                      <w:highlight w:val="none"/>
                      <w:vertAlign w:val="baseline"/>
                      <w:lang w:val="en-US" w:eastAsia="zh-CN"/>
                    </w:rPr>
                    <w:t>，C</w:t>
                  </w:r>
                </w:p>
              </w:tc>
              <w:tc>
                <w:tcPr>
                  <w:tcW w:w="700" w:type="pct"/>
                  <w:noWrap w:val="0"/>
                  <w:vAlign w:val="center"/>
                </w:tcPr>
                <w:p w14:paraId="606A6818">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ascii="Times New Roman" w:hAnsi="Times New Roman" w:eastAsia="宋体" w:cs="Times New Roman"/>
                      <w:b w:val="0"/>
                      <w:bCs/>
                      <w:color w:val="auto"/>
                      <w:sz w:val="21"/>
                      <w:szCs w:val="21"/>
                      <w:highlight w:val="none"/>
                      <w:vertAlign w:val="baseline"/>
                      <w:lang w:val="en-US" w:eastAsia="zh-CN"/>
                    </w:rPr>
                    <w:t>T</w:t>
                  </w:r>
                  <w:r>
                    <w:rPr>
                      <w:rStyle w:val="45"/>
                      <w:rFonts w:hint="eastAsia" w:cs="Times New Roman"/>
                      <w:b w:val="0"/>
                      <w:bCs/>
                      <w:color w:val="auto"/>
                      <w:sz w:val="21"/>
                      <w:szCs w:val="21"/>
                      <w:highlight w:val="none"/>
                      <w:vertAlign w:val="baseline"/>
                      <w:lang w:val="en-US" w:eastAsia="zh-CN"/>
                    </w:rPr>
                    <w:t>，In</w:t>
                  </w:r>
                </w:p>
              </w:tc>
            </w:tr>
            <w:tr w14:paraId="09BD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10089B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年度产生量</w:t>
                  </w:r>
                </w:p>
              </w:tc>
              <w:tc>
                <w:tcPr>
                  <w:tcW w:w="558" w:type="pct"/>
                  <w:noWrap w:val="0"/>
                  <w:vAlign w:val="center"/>
                </w:tcPr>
                <w:p w14:paraId="4D616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ascii="Times New Roman" w:hAnsi="Times New Roman" w:eastAsia="宋体" w:cs="Times New Roman"/>
                      <w:b w:val="0"/>
                      <w:bCs/>
                      <w:color w:val="auto"/>
                      <w:sz w:val="21"/>
                      <w:szCs w:val="21"/>
                      <w:highlight w:val="none"/>
                      <w:vertAlign w:val="baseline"/>
                      <w:lang w:val="en-US" w:eastAsia="zh-CN"/>
                    </w:rPr>
                  </w:pPr>
                  <w:r>
                    <w:rPr>
                      <w:rStyle w:val="45"/>
                      <w:rFonts w:hint="eastAsia" w:cs="Times New Roman"/>
                      <w:b w:val="0"/>
                      <w:bCs/>
                      <w:color w:val="auto"/>
                      <w:sz w:val="21"/>
                      <w:szCs w:val="21"/>
                      <w:highlight w:val="none"/>
                      <w:vertAlign w:val="baseline"/>
                      <w:lang w:val="en-US" w:eastAsia="zh-CN"/>
                    </w:rPr>
                    <w:t>1.2</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519" w:type="pct"/>
                  <w:noWrap w:val="0"/>
                  <w:vAlign w:val="center"/>
                </w:tcPr>
                <w:p w14:paraId="3B6463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bCs/>
                      <w:color w:val="auto"/>
                      <w:sz w:val="21"/>
                      <w:szCs w:val="21"/>
                      <w:highlight w:val="none"/>
                      <w:lang w:val="en-US" w:eastAsia="zh-CN"/>
                    </w:rPr>
                  </w:pPr>
                  <w:r>
                    <w:rPr>
                      <w:rStyle w:val="45"/>
                      <w:rFonts w:hint="eastAsia" w:cs="Times New Roman"/>
                      <w:b w:val="0"/>
                      <w:bCs/>
                      <w:color w:val="auto"/>
                      <w:sz w:val="21"/>
                      <w:szCs w:val="21"/>
                      <w:highlight w:val="none"/>
                      <w:vertAlign w:val="baseline"/>
                      <w:lang w:val="en-US" w:eastAsia="zh-CN"/>
                    </w:rPr>
                    <w:t>0.01</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583" w:type="pct"/>
                  <w:noWrap w:val="0"/>
                  <w:vAlign w:val="center"/>
                </w:tcPr>
                <w:p w14:paraId="25CDD740">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lang w:val="en-US" w:eastAsia="zh-CN"/>
                    </w:rPr>
                  </w:pPr>
                  <w:r>
                    <w:rPr>
                      <w:rFonts w:hint="eastAsia"/>
                      <w:bCs/>
                      <w:color w:val="auto"/>
                      <w:sz w:val="21"/>
                      <w:szCs w:val="21"/>
                      <w:highlight w:val="none"/>
                      <w:lang w:val="en-US" w:eastAsia="zh-CN"/>
                    </w:rPr>
                    <w:t>0.054</w:t>
                  </w:r>
                  <w:r>
                    <w:rPr>
                      <w:rFonts w:hint="eastAsia"/>
                      <w:bCs/>
                      <w:color w:val="auto"/>
                      <w:sz w:val="21"/>
                      <w:szCs w:val="21"/>
                      <w:highlight w:val="none"/>
                    </w:rPr>
                    <w:t>t</w:t>
                  </w:r>
                </w:p>
              </w:tc>
              <w:tc>
                <w:tcPr>
                  <w:tcW w:w="556" w:type="pct"/>
                  <w:noWrap w:val="0"/>
                  <w:vAlign w:val="center"/>
                </w:tcPr>
                <w:p w14:paraId="587D75E4">
                  <w:pPr>
                    <w:pStyle w:val="48"/>
                    <w:keepNext w:val="0"/>
                    <w:keepLines w:val="0"/>
                    <w:suppressLineNumbers w:val="0"/>
                    <w:adjustRightInd w:val="0"/>
                    <w:snapToGrid w:val="0"/>
                    <w:spacing w:before="0" w:beforeAutospacing="0" w:after="0" w:afterAutospacing="0"/>
                    <w:ind w:left="0" w:leftChars="0" w:right="0" w:rightChars="0"/>
                    <w:jc w:val="center"/>
                    <w:rPr>
                      <w:rFonts w:hint="eastAsia"/>
                      <w:bCs/>
                      <w:color w:val="auto"/>
                      <w:sz w:val="21"/>
                      <w:szCs w:val="21"/>
                      <w:highlight w:val="none"/>
                    </w:rPr>
                  </w:pPr>
                  <w:r>
                    <w:rPr>
                      <w:rStyle w:val="45"/>
                      <w:rFonts w:hint="eastAsia"/>
                      <w:bCs/>
                      <w:color w:val="auto"/>
                      <w:sz w:val="21"/>
                      <w:szCs w:val="21"/>
                      <w:highlight w:val="none"/>
                      <w:lang w:val="en-US" w:eastAsia="zh-CN"/>
                    </w:rPr>
                    <w:t>2.105</w:t>
                  </w:r>
                  <w:r>
                    <w:rPr>
                      <w:rStyle w:val="45"/>
                      <w:rFonts w:hint="default"/>
                      <w:bCs/>
                      <w:color w:val="auto"/>
                      <w:sz w:val="21"/>
                      <w:szCs w:val="21"/>
                      <w:highlight w:val="none"/>
                    </w:rPr>
                    <w:t>t/a</w:t>
                  </w:r>
                </w:p>
              </w:tc>
              <w:tc>
                <w:tcPr>
                  <w:tcW w:w="558" w:type="pct"/>
                  <w:noWrap w:val="0"/>
                  <w:vAlign w:val="center"/>
                </w:tcPr>
                <w:p w14:paraId="75137211">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lang w:val="en-US" w:eastAsia="zh-CN"/>
                    </w:rPr>
                  </w:pPr>
                  <w:r>
                    <w:rPr>
                      <w:rFonts w:hint="eastAsia"/>
                      <w:bCs/>
                      <w:color w:val="auto"/>
                      <w:sz w:val="21"/>
                      <w:szCs w:val="21"/>
                      <w:highlight w:val="none"/>
                    </w:rPr>
                    <w:t>0.</w:t>
                  </w:r>
                  <w:r>
                    <w:rPr>
                      <w:rFonts w:hint="eastAsia"/>
                      <w:bCs/>
                      <w:color w:val="auto"/>
                      <w:sz w:val="21"/>
                      <w:szCs w:val="21"/>
                      <w:highlight w:val="none"/>
                      <w:lang w:val="en-US" w:eastAsia="zh-CN"/>
                    </w:rPr>
                    <w:t>5</w:t>
                  </w:r>
                  <w:r>
                    <w:rPr>
                      <w:rFonts w:hint="eastAsia"/>
                      <w:bCs/>
                      <w:color w:val="auto"/>
                      <w:sz w:val="21"/>
                      <w:szCs w:val="21"/>
                      <w:highlight w:val="none"/>
                    </w:rPr>
                    <w:t>t</w:t>
                  </w:r>
                  <w:r>
                    <w:rPr>
                      <w:rStyle w:val="45"/>
                      <w:rFonts w:hint="default"/>
                      <w:bCs/>
                      <w:color w:val="auto"/>
                      <w:sz w:val="21"/>
                      <w:szCs w:val="21"/>
                      <w:highlight w:val="none"/>
                    </w:rPr>
                    <w:t>/a</w:t>
                  </w:r>
                </w:p>
              </w:tc>
              <w:tc>
                <w:tcPr>
                  <w:tcW w:w="637" w:type="pct"/>
                  <w:noWrap w:val="0"/>
                  <w:vAlign w:val="center"/>
                </w:tcPr>
                <w:p w14:paraId="1BE6A61C">
                  <w:pPr>
                    <w:pStyle w:val="48"/>
                    <w:keepNext w:val="0"/>
                    <w:keepLines w:val="0"/>
                    <w:suppressLineNumbers w:val="0"/>
                    <w:adjustRightInd w:val="0"/>
                    <w:snapToGrid w:val="0"/>
                    <w:spacing w:before="0" w:beforeAutospacing="0" w:after="0" w:afterAutospacing="0"/>
                    <w:ind w:left="0" w:leftChars="0" w:right="0" w:rightChars="0"/>
                    <w:jc w:val="center"/>
                    <w:rPr>
                      <w:rFonts w:hint="eastAsia"/>
                      <w:bCs/>
                      <w:color w:val="auto"/>
                      <w:sz w:val="21"/>
                      <w:szCs w:val="21"/>
                      <w:highlight w:val="none"/>
                    </w:rPr>
                  </w:pPr>
                  <w:r>
                    <w:rPr>
                      <w:rFonts w:hint="eastAsia"/>
                      <w:bCs/>
                      <w:color w:val="auto"/>
                      <w:sz w:val="21"/>
                      <w:szCs w:val="21"/>
                      <w:highlight w:val="none"/>
                      <w:lang w:val="en-US" w:eastAsia="zh-CN"/>
                    </w:rPr>
                    <w:t>1</w:t>
                  </w:r>
                  <w:r>
                    <w:rPr>
                      <w:rFonts w:hint="eastAsia"/>
                      <w:bCs/>
                      <w:color w:val="auto"/>
                      <w:sz w:val="21"/>
                      <w:szCs w:val="21"/>
                      <w:highlight w:val="none"/>
                    </w:rPr>
                    <w:t>t</w:t>
                  </w:r>
                  <w:r>
                    <w:rPr>
                      <w:rStyle w:val="45"/>
                      <w:rFonts w:hint="default"/>
                      <w:bCs/>
                      <w:color w:val="auto"/>
                      <w:sz w:val="21"/>
                      <w:szCs w:val="21"/>
                      <w:highlight w:val="none"/>
                    </w:rPr>
                    <w:t>/a</w:t>
                  </w:r>
                </w:p>
              </w:tc>
              <w:tc>
                <w:tcPr>
                  <w:tcW w:w="700" w:type="pct"/>
                  <w:noWrap w:val="0"/>
                  <w:vAlign w:val="center"/>
                </w:tcPr>
                <w:p w14:paraId="11059E3F">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bCs/>
                      <w:color w:val="auto"/>
                      <w:sz w:val="21"/>
                      <w:szCs w:val="21"/>
                      <w:highlight w:val="none"/>
                      <w:lang w:val="en-US" w:eastAsia="zh-CN"/>
                    </w:rPr>
                  </w:pPr>
                  <w:r>
                    <w:rPr>
                      <w:rStyle w:val="45"/>
                      <w:rFonts w:hint="eastAsia" w:cs="Times New Roman"/>
                      <w:b w:val="0"/>
                      <w:bCs/>
                      <w:color w:val="auto"/>
                      <w:sz w:val="21"/>
                      <w:szCs w:val="21"/>
                      <w:highlight w:val="none"/>
                      <w:vertAlign w:val="baseline"/>
                      <w:lang w:val="en-US" w:eastAsia="zh-CN"/>
                    </w:rPr>
                    <w:t>1760只</w:t>
                  </w:r>
                  <w:r>
                    <w:rPr>
                      <w:rStyle w:val="45"/>
                      <w:rFonts w:hint="default" w:ascii="Times New Roman" w:hAnsi="Times New Roman" w:eastAsia="宋体" w:cs="Times New Roman"/>
                      <w:b w:val="0"/>
                      <w:bCs/>
                      <w:color w:val="auto"/>
                      <w:sz w:val="21"/>
                      <w:szCs w:val="21"/>
                      <w:highlight w:val="none"/>
                      <w:vertAlign w:val="baseline"/>
                      <w:lang w:val="en-US" w:eastAsia="zh-CN"/>
                    </w:rPr>
                    <w:t>/a</w:t>
                  </w:r>
                </w:p>
              </w:tc>
            </w:tr>
            <w:tr w14:paraId="2572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32F5CD18">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贮存方式</w:t>
                  </w:r>
                </w:p>
              </w:tc>
              <w:tc>
                <w:tcPr>
                  <w:tcW w:w="558" w:type="pct"/>
                  <w:noWrap w:val="0"/>
                  <w:vAlign w:val="center"/>
                </w:tcPr>
                <w:p w14:paraId="1467E2D6">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bCs/>
                      <w:color w:val="auto"/>
                      <w:sz w:val="21"/>
                      <w:szCs w:val="21"/>
                      <w:highlight w:val="none"/>
                      <w:lang w:val="en-US" w:eastAsia="zh-CN"/>
                    </w:rPr>
                  </w:pPr>
                  <w:r>
                    <w:rPr>
                      <w:rStyle w:val="45"/>
                      <w:rFonts w:hint="eastAsia" w:cs="Times New Roman"/>
                      <w:b w:val="0"/>
                      <w:bCs/>
                      <w:color w:val="auto"/>
                      <w:sz w:val="21"/>
                      <w:szCs w:val="21"/>
                      <w:highlight w:val="none"/>
                      <w:vertAlign w:val="baseline"/>
                      <w:lang w:val="en-US" w:eastAsia="zh-CN"/>
                    </w:rPr>
                    <w:t>泔水桶</w:t>
                  </w:r>
                </w:p>
              </w:tc>
              <w:tc>
                <w:tcPr>
                  <w:tcW w:w="519" w:type="pct"/>
                  <w:noWrap w:val="0"/>
                  <w:vAlign w:val="center"/>
                </w:tcPr>
                <w:p w14:paraId="19704435">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snapToGrid w:val="0"/>
                      <w:color w:val="auto"/>
                      <w:kern w:val="0"/>
                      <w:sz w:val="21"/>
                      <w:szCs w:val="21"/>
                      <w:highlight w:val="none"/>
                      <w:lang w:val="en-US" w:eastAsia="zh-CN" w:bidi="ar-SA"/>
                    </w:rPr>
                  </w:pPr>
                  <w:r>
                    <w:rPr>
                      <w:rStyle w:val="45"/>
                      <w:rFonts w:hint="eastAsia"/>
                      <w:bCs/>
                      <w:color w:val="auto"/>
                      <w:sz w:val="21"/>
                      <w:szCs w:val="21"/>
                      <w:highlight w:val="none"/>
                      <w:lang w:val="en-US" w:eastAsia="zh-CN"/>
                    </w:rPr>
                    <w:t>带盖胶桶</w:t>
                  </w:r>
                </w:p>
              </w:tc>
              <w:tc>
                <w:tcPr>
                  <w:tcW w:w="583" w:type="pct"/>
                  <w:noWrap w:val="0"/>
                  <w:vAlign w:val="center"/>
                </w:tcPr>
                <w:p w14:paraId="52BB310C">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eastAsia="宋体"/>
                      <w:bCs/>
                      <w:color w:val="auto"/>
                      <w:sz w:val="21"/>
                      <w:szCs w:val="21"/>
                      <w:highlight w:val="none"/>
                      <w:lang w:val="en-US" w:eastAsia="zh-CN"/>
                    </w:rPr>
                  </w:pPr>
                  <w:r>
                    <w:rPr>
                      <w:rStyle w:val="45"/>
                      <w:rFonts w:hint="eastAsia"/>
                      <w:bCs/>
                      <w:color w:val="auto"/>
                      <w:sz w:val="21"/>
                      <w:szCs w:val="21"/>
                      <w:highlight w:val="none"/>
                      <w:lang w:val="en-US" w:eastAsia="zh-CN"/>
                    </w:rPr>
                    <w:t>袋装</w:t>
                  </w:r>
                </w:p>
              </w:tc>
              <w:tc>
                <w:tcPr>
                  <w:tcW w:w="556" w:type="pct"/>
                  <w:noWrap w:val="0"/>
                  <w:vAlign w:val="center"/>
                </w:tcPr>
                <w:p w14:paraId="0C1D95D4">
                  <w:pPr>
                    <w:pStyle w:val="48"/>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snapToGrid w:val="0"/>
                      <w:color w:val="auto"/>
                      <w:kern w:val="0"/>
                      <w:sz w:val="21"/>
                      <w:szCs w:val="21"/>
                      <w:highlight w:val="none"/>
                      <w:lang w:val="en-US" w:eastAsia="zh-CN" w:bidi="ar-SA"/>
                    </w:rPr>
                  </w:pPr>
                  <w:r>
                    <w:rPr>
                      <w:rStyle w:val="45"/>
                      <w:rFonts w:hint="eastAsia"/>
                      <w:bCs/>
                      <w:color w:val="auto"/>
                      <w:sz w:val="21"/>
                      <w:szCs w:val="21"/>
                      <w:highlight w:val="none"/>
                      <w:lang w:val="en-US" w:eastAsia="zh-CN"/>
                    </w:rPr>
                    <w:t>袋装</w:t>
                  </w:r>
                </w:p>
              </w:tc>
              <w:tc>
                <w:tcPr>
                  <w:tcW w:w="558" w:type="pct"/>
                  <w:noWrap w:val="0"/>
                  <w:vAlign w:val="center"/>
                </w:tcPr>
                <w:p w14:paraId="2F73B04C">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default"/>
                      <w:bCs/>
                      <w:color w:val="auto"/>
                      <w:sz w:val="21"/>
                      <w:szCs w:val="21"/>
                      <w:highlight w:val="none"/>
                    </w:rPr>
                    <w:t>暂存于危废暂存间</w:t>
                  </w:r>
                </w:p>
              </w:tc>
              <w:tc>
                <w:tcPr>
                  <w:tcW w:w="637" w:type="pct"/>
                  <w:noWrap w:val="0"/>
                  <w:vAlign w:val="center"/>
                </w:tcPr>
                <w:p w14:paraId="26A5DDAB">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default"/>
                      <w:bCs/>
                      <w:color w:val="auto"/>
                      <w:sz w:val="21"/>
                      <w:szCs w:val="21"/>
                      <w:highlight w:val="none"/>
                    </w:rPr>
                    <w:t>暂存于危废暂存间</w:t>
                  </w:r>
                </w:p>
              </w:tc>
              <w:tc>
                <w:tcPr>
                  <w:tcW w:w="700" w:type="pct"/>
                  <w:noWrap w:val="0"/>
                  <w:vAlign w:val="center"/>
                </w:tcPr>
                <w:p w14:paraId="011C9132">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bCs/>
                      <w:color w:val="auto"/>
                      <w:sz w:val="21"/>
                      <w:szCs w:val="21"/>
                      <w:highlight w:val="none"/>
                    </w:rPr>
                  </w:pPr>
                  <w:r>
                    <w:rPr>
                      <w:rStyle w:val="45"/>
                      <w:rFonts w:hint="default"/>
                      <w:bCs/>
                      <w:color w:val="auto"/>
                      <w:sz w:val="21"/>
                      <w:szCs w:val="21"/>
                      <w:highlight w:val="none"/>
                    </w:rPr>
                    <w:t>暂存于危废暂存间</w:t>
                  </w:r>
                </w:p>
              </w:tc>
            </w:tr>
            <w:tr w14:paraId="7AD1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01692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利用处置方式和去向</w:t>
                  </w:r>
                </w:p>
              </w:tc>
              <w:tc>
                <w:tcPr>
                  <w:tcW w:w="558" w:type="pct"/>
                  <w:noWrap w:val="0"/>
                  <w:vAlign w:val="center"/>
                </w:tcPr>
                <w:p w14:paraId="4E001B2E">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bCs/>
                      <w:color w:val="auto"/>
                      <w:sz w:val="21"/>
                      <w:szCs w:val="21"/>
                      <w:highlight w:val="none"/>
                    </w:rPr>
                  </w:pPr>
                  <w:r>
                    <w:rPr>
                      <w:rStyle w:val="45"/>
                      <w:rFonts w:hint="default" w:ascii="Times New Roman" w:hAnsi="Times New Roman" w:eastAsia="宋体" w:cs="Times New Roman"/>
                      <w:b w:val="0"/>
                      <w:bCs/>
                      <w:color w:val="auto"/>
                      <w:sz w:val="21"/>
                      <w:szCs w:val="21"/>
                      <w:highlight w:val="none"/>
                      <w:vertAlign w:val="baseline"/>
                      <w:lang w:val="en-US" w:eastAsia="zh-CN"/>
                    </w:rPr>
                    <w:t>委托有资质的单位定期清运、处置</w:t>
                  </w:r>
                </w:p>
              </w:tc>
              <w:tc>
                <w:tcPr>
                  <w:tcW w:w="519" w:type="pct"/>
                  <w:noWrap w:val="0"/>
                  <w:vAlign w:val="center"/>
                </w:tcPr>
                <w:p w14:paraId="2A715BAD">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zh-CN" w:eastAsia="zh-CN" w:bidi="ar-SA"/>
                    </w:rPr>
                  </w:pPr>
                  <w:r>
                    <w:rPr>
                      <w:rFonts w:hint="default" w:ascii="Times New Roman" w:hAnsi="Times New Roman" w:eastAsia="宋体" w:cs="Times New Roman"/>
                      <w:color w:val="auto"/>
                      <w:sz w:val="21"/>
                      <w:szCs w:val="21"/>
                      <w:highlight w:val="none"/>
                      <w:lang w:val="zh-CN" w:eastAsia="zh-CN"/>
                    </w:rPr>
                    <w:t>委托有资质的单位定期清运、处置</w:t>
                  </w:r>
                </w:p>
              </w:tc>
              <w:tc>
                <w:tcPr>
                  <w:tcW w:w="583" w:type="pct"/>
                  <w:noWrap w:val="0"/>
                  <w:vAlign w:val="center"/>
                </w:tcPr>
                <w:p w14:paraId="1977194F">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default" w:ascii="Times New Roman" w:hAnsi="Times New Roman" w:eastAsia="宋体" w:cs="Times New Roman"/>
                      <w:b w:val="0"/>
                      <w:bCs/>
                      <w:color w:val="auto"/>
                      <w:sz w:val="21"/>
                      <w:szCs w:val="21"/>
                      <w:highlight w:val="none"/>
                      <w:vertAlign w:val="baseline"/>
                      <w:lang w:val="en-US" w:eastAsia="zh-CN"/>
                    </w:rPr>
                    <w:t>委托环卫部门</w:t>
                  </w:r>
                  <w:r>
                    <w:rPr>
                      <w:rStyle w:val="45"/>
                      <w:rFonts w:hint="eastAsia" w:ascii="Times New Roman" w:hAnsi="Times New Roman" w:eastAsia="宋体" w:cs="Times New Roman"/>
                      <w:b w:val="0"/>
                      <w:bCs/>
                      <w:color w:val="auto"/>
                      <w:sz w:val="21"/>
                      <w:szCs w:val="21"/>
                      <w:highlight w:val="none"/>
                      <w:vertAlign w:val="baseline"/>
                      <w:lang w:val="en-US" w:eastAsia="zh-CN"/>
                    </w:rPr>
                    <w:t>清掏</w:t>
                  </w:r>
                  <w:r>
                    <w:rPr>
                      <w:rStyle w:val="45"/>
                      <w:rFonts w:hint="default" w:ascii="Times New Roman" w:hAnsi="Times New Roman" w:eastAsia="宋体" w:cs="Times New Roman"/>
                      <w:b w:val="0"/>
                      <w:bCs/>
                      <w:color w:val="auto"/>
                      <w:sz w:val="21"/>
                      <w:szCs w:val="21"/>
                      <w:highlight w:val="none"/>
                      <w:vertAlign w:val="baseline"/>
                      <w:lang w:val="en-US" w:eastAsia="zh-CN"/>
                    </w:rPr>
                    <w:t>清运处置</w:t>
                  </w:r>
                </w:p>
              </w:tc>
              <w:tc>
                <w:tcPr>
                  <w:tcW w:w="556" w:type="pct"/>
                  <w:noWrap w:val="0"/>
                  <w:vAlign w:val="center"/>
                </w:tcPr>
                <w:p w14:paraId="4F0E955A">
                  <w:pPr>
                    <w:pStyle w:val="48"/>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snapToGrid w:val="0"/>
                      <w:color w:val="auto"/>
                      <w:kern w:val="0"/>
                      <w:sz w:val="21"/>
                      <w:szCs w:val="21"/>
                      <w:highlight w:val="none"/>
                      <w:lang w:val="en-US" w:eastAsia="zh-CN" w:bidi="ar-SA"/>
                    </w:rPr>
                  </w:pPr>
                  <w:r>
                    <w:rPr>
                      <w:rStyle w:val="45"/>
                      <w:rFonts w:hint="default" w:ascii="Times New Roman" w:hAnsi="Times New Roman" w:eastAsia="宋体" w:cs="Times New Roman"/>
                      <w:b w:val="0"/>
                      <w:bCs/>
                      <w:color w:val="auto"/>
                      <w:sz w:val="21"/>
                      <w:szCs w:val="21"/>
                      <w:highlight w:val="none"/>
                      <w:vertAlign w:val="baseline"/>
                      <w:lang w:val="en-US" w:eastAsia="zh-CN"/>
                    </w:rPr>
                    <w:t>委托环卫部门</w:t>
                  </w:r>
                  <w:r>
                    <w:rPr>
                      <w:rStyle w:val="45"/>
                      <w:rFonts w:hint="eastAsia" w:ascii="Times New Roman" w:hAnsi="Times New Roman" w:eastAsia="宋体" w:cs="Times New Roman"/>
                      <w:b w:val="0"/>
                      <w:bCs/>
                      <w:color w:val="auto"/>
                      <w:sz w:val="21"/>
                      <w:szCs w:val="21"/>
                      <w:highlight w:val="none"/>
                      <w:vertAlign w:val="baseline"/>
                      <w:lang w:val="en-US" w:eastAsia="zh-CN"/>
                    </w:rPr>
                    <w:t>清掏</w:t>
                  </w:r>
                  <w:r>
                    <w:rPr>
                      <w:rStyle w:val="45"/>
                      <w:rFonts w:hint="default" w:ascii="Times New Roman" w:hAnsi="Times New Roman" w:eastAsia="宋体" w:cs="Times New Roman"/>
                      <w:b w:val="0"/>
                      <w:bCs/>
                      <w:color w:val="auto"/>
                      <w:sz w:val="21"/>
                      <w:szCs w:val="21"/>
                      <w:highlight w:val="none"/>
                      <w:vertAlign w:val="baseline"/>
                      <w:lang w:val="en-US" w:eastAsia="zh-CN"/>
                    </w:rPr>
                    <w:t>清运处置</w:t>
                  </w:r>
                </w:p>
              </w:tc>
              <w:tc>
                <w:tcPr>
                  <w:tcW w:w="558" w:type="pct"/>
                  <w:noWrap w:val="0"/>
                  <w:vAlign w:val="center"/>
                </w:tcPr>
                <w:p w14:paraId="3798E1AD">
                  <w:pPr>
                    <w:pStyle w:val="48"/>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zh-CN"/>
                    </w:rPr>
                  </w:pPr>
                  <w:r>
                    <w:rPr>
                      <w:rStyle w:val="45"/>
                      <w:rFonts w:hint="default"/>
                      <w:bCs/>
                      <w:color w:val="auto"/>
                      <w:sz w:val="21"/>
                      <w:szCs w:val="21"/>
                      <w:highlight w:val="none"/>
                    </w:rPr>
                    <w:t>定期委托有资质的单位清运处置</w:t>
                  </w:r>
                </w:p>
              </w:tc>
              <w:tc>
                <w:tcPr>
                  <w:tcW w:w="637" w:type="pct"/>
                  <w:noWrap w:val="0"/>
                  <w:vAlign w:val="center"/>
                </w:tcPr>
                <w:p w14:paraId="5D495B86">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default"/>
                      <w:bCs/>
                      <w:color w:val="auto"/>
                      <w:sz w:val="21"/>
                      <w:szCs w:val="21"/>
                      <w:highlight w:val="none"/>
                    </w:rPr>
                    <w:t>定期委托有资质的单位清运处置</w:t>
                  </w:r>
                </w:p>
              </w:tc>
              <w:tc>
                <w:tcPr>
                  <w:tcW w:w="700" w:type="pct"/>
                  <w:noWrap w:val="0"/>
                  <w:vAlign w:val="center"/>
                </w:tcPr>
                <w:p w14:paraId="0C5B8C4B">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default"/>
                      <w:bCs/>
                      <w:color w:val="auto"/>
                      <w:sz w:val="21"/>
                      <w:szCs w:val="21"/>
                      <w:highlight w:val="none"/>
                    </w:rPr>
                  </w:pPr>
                  <w:r>
                    <w:rPr>
                      <w:rStyle w:val="45"/>
                      <w:rFonts w:hint="default" w:ascii="Times New Roman" w:hAnsi="Times New Roman" w:eastAsia="宋体" w:cs="Times New Roman"/>
                      <w:b w:val="0"/>
                      <w:bCs/>
                      <w:color w:val="auto"/>
                      <w:sz w:val="21"/>
                      <w:szCs w:val="21"/>
                      <w:highlight w:val="none"/>
                      <w:vertAlign w:val="baseline"/>
                      <w:lang w:val="en-US" w:eastAsia="zh-CN"/>
                    </w:rPr>
                    <w:t>由原料厂家定期回收</w:t>
                  </w:r>
                </w:p>
              </w:tc>
            </w:tr>
            <w:tr w14:paraId="0F9A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076D37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利用或处置量</w:t>
                  </w:r>
                </w:p>
              </w:tc>
              <w:tc>
                <w:tcPr>
                  <w:tcW w:w="558" w:type="pct"/>
                  <w:noWrap w:val="0"/>
                  <w:vAlign w:val="center"/>
                </w:tcPr>
                <w:p w14:paraId="13C54C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snapToGrid w:val="0"/>
                      <w:color w:val="auto"/>
                      <w:kern w:val="0"/>
                      <w:sz w:val="21"/>
                      <w:szCs w:val="21"/>
                      <w:highlight w:val="none"/>
                      <w:vertAlign w:val="baseline"/>
                      <w:lang w:val="en-US" w:eastAsia="zh-CN" w:bidi="ar-SA"/>
                    </w:rPr>
                  </w:pPr>
                  <w:r>
                    <w:rPr>
                      <w:rStyle w:val="45"/>
                      <w:rFonts w:hint="eastAsia" w:cs="Times New Roman"/>
                      <w:b w:val="0"/>
                      <w:bCs/>
                      <w:color w:val="auto"/>
                      <w:sz w:val="21"/>
                      <w:szCs w:val="21"/>
                      <w:highlight w:val="none"/>
                      <w:vertAlign w:val="baseline"/>
                      <w:lang w:val="en-US" w:eastAsia="zh-CN"/>
                    </w:rPr>
                    <w:t>1.2</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519" w:type="pct"/>
                  <w:noWrap w:val="0"/>
                  <w:vAlign w:val="center"/>
                </w:tcPr>
                <w:p w14:paraId="707390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Style w:val="45"/>
                      <w:rFonts w:hint="eastAsia"/>
                      <w:bCs/>
                      <w:color w:val="auto"/>
                      <w:sz w:val="21"/>
                      <w:szCs w:val="21"/>
                      <w:highlight w:val="none"/>
                      <w:lang w:val="en-US" w:eastAsia="zh-CN"/>
                    </w:rPr>
                  </w:pPr>
                  <w:r>
                    <w:rPr>
                      <w:rStyle w:val="45"/>
                      <w:rFonts w:hint="eastAsia" w:cs="Times New Roman"/>
                      <w:b w:val="0"/>
                      <w:bCs/>
                      <w:color w:val="auto"/>
                      <w:sz w:val="21"/>
                      <w:szCs w:val="21"/>
                      <w:highlight w:val="none"/>
                      <w:vertAlign w:val="baseline"/>
                      <w:lang w:val="en-US" w:eastAsia="zh-CN"/>
                    </w:rPr>
                    <w:t>0.01</w:t>
                  </w:r>
                  <w:r>
                    <w:rPr>
                      <w:rStyle w:val="45"/>
                      <w:rFonts w:hint="default" w:ascii="Times New Roman" w:hAnsi="Times New Roman" w:eastAsia="宋体" w:cs="Times New Roman"/>
                      <w:b w:val="0"/>
                      <w:bCs/>
                      <w:color w:val="auto"/>
                      <w:sz w:val="21"/>
                      <w:szCs w:val="21"/>
                      <w:highlight w:val="none"/>
                      <w:vertAlign w:val="baseline"/>
                      <w:lang w:val="en-US" w:eastAsia="zh-CN"/>
                    </w:rPr>
                    <w:t>t/a</w:t>
                  </w:r>
                </w:p>
              </w:tc>
              <w:tc>
                <w:tcPr>
                  <w:tcW w:w="583" w:type="pct"/>
                  <w:noWrap w:val="0"/>
                  <w:vAlign w:val="center"/>
                </w:tcPr>
                <w:p w14:paraId="517E64C1">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bCs/>
                      <w:color w:val="auto"/>
                      <w:sz w:val="21"/>
                      <w:szCs w:val="21"/>
                      <w:highlight w:val="none"/>
                      <w:lang w:val="en-US" w:eastAsia="zh-CN"/>
                    </w:rPr>
                  </w:pPr>
                  <w:r>
                    <w:rPr>
                      <w:rFonts w:hint="eastAsia"/>
                      <w:bCs/>
                      <w:color w:val="auto"/>
                      <w:sz w:val="21"/>
                      <w:szCs w:val="21"/>
                      <w:highlight w:val="none"/>
                    </w:rPr>
                    <w:t>0.</w:t>
                  </w:r>
                  <w:r>
                    <w:rPr>
                      <w:rFonts w:hint="eastAsia"/>
                      <w:bCs/>
                      <w:color w:val="auto"/>
                      <w:sz w:val="21"/>
                      <w:szCs w:val="21"/>
                      <w:highlight w:val="none"/>
                      <w:lang w:val="en-US" w:eastAsia="zh-CN"/>
                    </w:rPr>
                    <w:t>054</w:t>
                  </w:r>
                  <w:r>
                    <w:rPr>
                      <w:rFonts w:hint="eastAsia"/>
                      <w:bCs/>
                      <w:color w:val="auto"/>
                      <w:sz w:val="21"/>
                      <w:szCs w:val="21"/>
                      <w:highlight w:val="none"/>
                    </w:rPr>
                    <w:t>t</w:t>
                  </w:r>
                  <w:r>
                    <w:rPr>
                      <w:rFonts w:hint="eastAsia"/>
                      <w:bCs/>
                      <w:color w:val="auto"/>
                      <w:sz w:val="21"/>
                      <w:szCs w:val="21"/>
                      <w:highlight w:val="none"/>
                      <w:lang w:val="en-US" w:eastAsia="zh-CN"/>
                    </w:rPr>
                    <w:t>/a</w:t>
                  </w:r>
                </w:p>
              </w:tc>
              <w:tc>
                <w:tcPr>
                  <w:tcW w:w="556" w:type="pct"/>
                  <w:noWrap w:val="0"/>
                  <w:vAlign w:val="center"/>
                </w:tcPr>
                <w:p w14:paraId="22CE07A6">
                  <w:pPr>
                    <w:pStyle w:val="48"/>
                    <w:keepNext w:val="0"/>
                    <w:keepLines w:val="0"/>
                    <w:suppressLineNumbers w:val="0"/>
                    <w:adjustRightInd w:val="0"/>
                    <w:snapToGrid w:val="0"/>
                    <w:spacing w:before="0" w:beforeAutospacing="0" w:after="0" w:afterAutospacing="0"/>
                    <w:ind w:left="0" w:leftChars="0" w:right="0" w:rightChars="0"/>
                    <w:jc w:val="center"/>
                    <w:rPr>
                      <w:rFonts w:hint="eastAsia"/>
                      <w:bCs/>
                      <w:color w:val="auto"/>
                      <w:sz w:val="21"/>
                      <w:szCs w:val="21"/>
                      <w:highlight w:val="none"/>
                    </w:rPr>
                  </w:pPr>
                  <w:r>
                    <w:rPr>
                      <w:rStyle w:val="45"/>
                      <w:rFonts w:hint="eastAsia"/>
                      <w:bCs/>
                      <w:color w:val="auto"/>
                      <w:sz w:val="21"/>
                      <w:szCs w:val="21"/>
                      <w:highlight w:val="none"/>
                      <w:lang w:val="en-US" w:eastAsia="zh-CN"/>
                    </w:rPr>
                    <w:t>2.105</w:t>
                  </w:r>
                  <w:r>
                    <w:rPr>
                      <w:rStyle w:val="45"/>
                      <w:rFonts w:hint="default"/>
                      <w:bCs/>
                      <w:color w:val="auto"/>
                      <w:sz w:val="21"/>
                      <w:szCs w:val="21"/>
                      <w:highlight w:val="none"/>
                    </w:rPr>
                    <w:t>t/a</w:t>
                  </w:r>
                </w:p>
              </w:tc>
              <w:tc>
                <w:tcPr>
                  <w:tcW w:w="558" w:type="pct"/>
                  <w:noWrap w:val="0"/>
                  <w:vAlign w:val="center"/>
                </w:tcPr>
                <w:p w14:paraId="734B94CB">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bCs/>
                      <w:color w:val="auto"/>
                      <w:sz w:val="21"/>
                      <w:szCs w:val="21"/>
                      <w:highlight w:val="none"/>
                      <w:lang w:val="en-US" w:eastAsia="zh-CN"/>
                    </w:rPr>
                  </w:pPr>
                  <w:r>
                    <w:rPr>
                      <w:rFonts w:hint="eastAsia"/>
                      <w:bCs/>
                      <w:color w:val="auto"/>
                      <w:sz w:val="21"/>
                      <w:szCs w:val="21"/>
                      <w:highlight w:val="none"/>
                    </w:rPr>
                    <w:t>0.</w:t>
                  </w:r>
                  <w:r>
                    <w:rPr>
                      <w:rFonts w:hint="eastAsia"/>
                      <w:bCs/>
                      <w:color w:val="auto"/>
                      <w:sz w:val="21"/>
                      <w:szCs w:val="21"/>
                      <w:highlight w:val="none"/>
                      <w:lang w:val="en-US" w:eastAsia="zh-CN"/>
                    </w:rPr>
                    <w:t>5</w:t>
                  </w:r>
                  <w:r>
                    <w:rPr>
                      <w:rFonts w:hint="eastAsia"/>
                      <w:bCs/>
                      <w:color w:val="auto"/>
                      <w:sz w:val="21"/>
                      <w:szCs w:val="21"/>
                      <w:highlight w:val="none"/>
                    </w:rPr>
                    <w:t>t</w:t>
                  </w:r>
                  <w:r>
                    <w:rPr>
                      <w:rFonts w:hint="eastAsia"/>
                      <w:bCs/>
                      <w:color w:val="auto"/>
                      <w:sz w:val="21"/>
                      <w:szCs w:val="21"/>
                      <w:highlight w:val="none"/>
                      <w:lang w:val="en-US" w:eastAsia="zh-CN"/>
                    </w:rPr>
                    <w:t>/a</w:t>
                  </w:r>
                </w:p>
              </w:tc>
              <w:tc>
                <w:tcPr>
                  <w:tcW w:w="637" w:type="pct"/>
                  <w:noWrap w:val="0"/>
                  <w:vAlign w:val="center"/>
                </w:tcPr>
                <w:p w14:paraId="3C428ED7">
                  <w:pPr>
                    <w:pStyle w:val="48"/>
                    <w:keepNext w:val="0"/>
                    <w:keepLines w:val="0"/>
                    <w:suppressLineNumbers w:val="0"/>
                    <w:adjustRightInd w:val="0"/>
                    <w:snapToGrid w:val="0"/>
                    <w:spacing w:before="0" w:beforeAutospacing="0" w:after="0" w:afterAutospacing="0"/>
                    <w:ind w:left="0" w:leftChars="0" w:right="0" w:rightChars="0"/>
                    <w:jc w:val="center"/>
                    <w:rPr>
                      <w:rFonts w:hint="eastAsia"/>
                      <w:bCs/>
                      <w:color w:val="auto"/>
                      <w:sz w:val="21"/>
                      <w:szCs w:val="21"/>
                      <w:highlight w:val="none"/>
                    </w:rPr>
                  </w:pPr>
                  <w:r>
                    <w:rPr>
                      <w:rFonts w:hint="eastAsia"/>
                      <w:bCs/>
                      <w:color w:val="auto"/>
                      <w:sz w:val="21"/>
                      <w:szCs w:val="21"/>
                      <w:highlight w:val="none"/>
                      <w:lang w:val="en-US" w:eastAsia="zh-CN"/>
                    </w:rPr>
                    <w:t>1</w:t>
                  </w:r>
                  <w:r>
                    <w:rPr>
                      <w:rFonts w:hint="eastAsia"/>
                      <w:bCs/>
                      <w:color w:val="auto"/>
                      <w:sz w:val="21"/>
                      <w:szCs w:val="21"/>
                      <w:highlight w:val="none"/>
                    </w:rPr>
                    <w:t>t</w:t>
                  </w:r>
                  <w:r>
                    <w:rPr>
                      <w:rStyle w:val="45"/>
                      <w:rFonts w:hint="default"/>
                      <w:bCs/>
                      <w:color w:val="auto"/>
                      <w:sz w:val="21"/>
                      <w:szCs w:val="21"/>
                      <w:highlight w:val="none"/>
                    </w:rPr>
                    <w:t>/a</w:t>
                  </w:r>
                </w:p>
              </w:tc>
              <w:tc>
                <w:tcPr>
                  <w:tcW w:w="700" w:type="pct"/>
                  <w:noWrap w:val="0"/>
                  <w:vAlign w:val="center"/>
                </w:tcPr>
                <w:p w14:paraId="63911FE2">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bCs/>
                      <w:color w:val="auto"/>
                      <w:sz w:val="21"/>
                      <w:szCs w:val="21"/>
                      <w:highlight w:val="none"/>
                      <w:lang w:val="en-US" w:eastAsia="zh-CN"/>
                    </w:rPr>
                  </w:pPr>
                  <w:r>
                    <w:rPr>
                      <w:rStyle w:val="45"/>
                      <w:rFonts w:hint="eastAsia" w:cs="Times New Roman"/>
                      <w:b w:val="0"/>
                      <w:bCs/>
                      <w:color w:val="auto"/>
                      <w:sz w:val="21"/>
                      <w:szCs w:val="21"/>
                      <w:highlight w:val="none"/>
                      <w:vertAlign w:val="baseline"/>
                      <w:lang w:val="en-US" w:eastAsia="zh-CN"/>
                    </w:rPr>
                    <w:t>1760只</w:t>
                  </w:r>
                  <w:r>
                    <w:rPr>
                      <w:rStyle w:val="45"/>
                      <w:rFonts w:hint="default" w:ascii="Times New Roman" w:hAnsi="Times New Roman" w:eastAsia="宋体" w:cs="Times New Roman"/>
                      <w:b w:val="0"/>
                      <w:bCs/>
                      <w:color w:val="auto"/>
                      <w:sz w:val="21"/>
                      <w:szCs w:val="21"/>
                      <w:highlight w:val="none"/>
                      <w:vertAlign w:val="baseline"/>
                      <w:lang w:val="en-US" w:eastAsia="zh-CN"/>
                    </w:rPr>
                    <w:t>/a</w:t>
                  </w:r>
                </w:p>
              </w:tc>
            </w:tr>
            <w:tr w14:paraId="1C8C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gridSpan w:val="2"/>
                  <w:noWrap w:val="0"/>
                  <w:vAlign w:val="center"/>
                </w:tcPr>
                <w:p w14:paraId="345DF0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Style w:val="45"/>
                      <w:rFonts w:hint="default" w:ascii="Times New Roman" w:hAnsi="Times New Roman" w:eastAsia="宋体" w:cs="Times New Roman"/>
                      <w:b/>
                      <w:bCs w:val="0"/>
                      <w:color w:val="auto"/>
                      <w:sz w:val="21"/>
                      <w:szCs w:val="21"/>
                      <w:highlight w:val="none"/>
                      <w:vertAlign w:val="baseline"/>
                      <w:lang w:val="en-US" w:eastAsia="zh-CN"/>
                    </w:rPr>
                    <w:t>环境管理要求</w:t>
                  </w:r>
                </w:p>
              </w:tc>
              <w:tc>
                <w:tcPr>
                  <w:tcW w:w="2218" w:type="pct"/>
                  <w:gridSpan w:val="4"/>
                  <w:noWrap w:val="0"/>
                  <w:vAlign w:val="center"/>
                </w:tcPr>
                <w:p w14:paraId="163D948A">
                  <w:pPr>
                    <w:pStyle w:val="48"/>
                    <w:keepNext w:val="0"/>
                    <w:keepLines w:val="0"/>
                    <w:suppressLineNumbers w:val="0"/>
                    <w:adjustRightInd w:val="0"/>
                    <w:snapToGrid w:val="0"/>
                    <w:spacing w:before="0" w:beforeAutospacing="0" w:after="0" w:afterAutospacing="0"/>
                    <w:ind w:left="0" w:leftChars="0" w:right="0" w:rightChars="0"/>
                    <w:jc w:val="center"/>
                    <w:rPr>
                      <w:rStyle w:val="45"/>
                      <w:rFonts w:hint="eastAsia"/>
                      <w:bCs/>
                      <w:color w:val="auto"/>
                      <w:sz w:val="21"/>
                      <w:szCs w:val="21"/>
                      <w:highlight w:val="none"/>
                      <w:lang w:val="en-US" w:eastAsia="zh-CN"/>
                    </w:rPr>
                  </w:pPr>
                  <w:r>
                    <w:rPr>
                      <w:rStyle w:val="45"/>
                      <w:bCs/>
                      <w:color w:val="auto"/>
                      <w:szCs w:val="21"/>
                      <w:highlight w:val="none"/>
                    </w:rPr>
                    <w:t>100%处置，并建立台账</w:t>
                  </w:r>
                </w:p>
              </w:tc>
              <w:tc>
                <w:tcPr>
                  <w:tcW w:w="1897" w:type="pct"/>
                  <w:gridSpan w:val="3"/>
                  <w:noWrap w:val="0"/>
                  <w:vAlign w:val="center"/>
                </w:tcPr>
                <w:p w14:paraId="059D9B4C">
                  <w:pPr>
                    <w:pStyle w:val="48"/>
                    <w:keepNext w:val="0"/>
                    <w:keepLines w:val="0"/>
                    <w:suppressLineNumbers w:val="0"/>
                    <w:adjustRightInd w:val="0"/>
                    <w:snapToGrid w:val="0"/>
                    <w:spacing w:before="0" w:beforeAutospacing="0" w:after="0" w:afterAutospacing="0"/>
                    <w:ind w:left="0" w:leftChars="0" w:right="0" w:rightChars="0"/>
                    <w:jc w:val="center"/>
                    <w:rPr>
                      <w:rStyle w:val="45"/>
                      <w:rFonts w:hint="default"/>
                      <w:bCs/>
                      <w:color w:val="auto"/>
                      <w:sz w:val="21"/>
                      <w:szCs w:val="21"/>
                      <w:highlight w:val="none"/>
                    </w:rPr>
                  </w:pPr>
                  <w:r>
                    <w:rPr>
                      <w:rStyle w:val="45"/>
                      <w:rFonts w:hint="default"/>
                      <w:bCs/>
                      <w:color w:val="auto"/>
                      <w:sz w:val="21"/>
                      <w:szCs w:val="21"/>
                      <w:highlight w:val="none"/>
                    </w:rPr>
                    <w:t>100%处置，并建立台账</w:t>
                  </w:r>
                  <w:r>
                    <w:rPr>
                      <w:rStyle w:val="45"/>
                      <w:rFonts w:hint="eastAsia"/>
                      <w:bCs/>
                      <w:color w:val="auto"/>
                      <w:sz w:val="21"/>
                      <w:szCs w:val="21"/>
                      <w:highlight w:val="none"/>
                      <w:lang w:eastAsia="zh-CN"/>
                    </w:rPr>
                    <w:t>，</w:t>
                  </w:r>
                  <w:r>
                    <w:rPr>
                      <w:rStyle w:val="45"/>
                      <w:rFonts w:hint="default"/>
                      <w:bCs/>
                      <w:color w:val="auto"/>
                      <w:sz w:val="21"/>
                      <w:szCs w:val="21"/>
                      <w:highlight w:val="none"/>
                    </w:rPr>
                    <w:t>转移联单制</w:t>
                  </w:r>
                </w:p>
              </w:tc>
            </w:tr>
          </w:tbl>
          <w:p w14:paraId="022D0614">
            <w:pPr>
              <w:pStyle w:val="4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5"/>
                <w:rFonts w:hint="default" w:ascii="Times New Roman" w:hAnsi="Times New Roman" w:eastAsia="宋体" w:cs="Times New Roman"/>
                <w:b/>
                <w:bCs w:val="0"/>
                <w:color w:val="auto"/>
                <w:sz w:val="21"/>
                <w:szCs w:val="21"/>
                <w:highlight w:val="none"/>
                <w:lang w:val="en-US" w:eastAsia="zh-CN"/>
              </w:rPr>
            </w:pPr>
          </w:p>
          <w:p w14:paraId="2BD4735F">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auto"/>
                <w:kern w:val="0"/>
                <w:sz w:val="24"/>
                <w:szCs w:val="24"/>
                <w:highlight w:val="none"/>
                <w:lang w:val="en-US" w:eastAsia="zh-CN" w:bidi="ar"/>
              </w:rPr>
            </w:pPr>
            <w:r>
              <w:rPr>
                <w:rFonts w:hint="eastAsia" w:ascii="Times New Roman" w:hAnsi="Times New Roman" w:eastAsia="宋体" w:cs="Times New Roman"/>
                <w:b/>
                <w:bCs w:val="0"/>
                <w:color w:val="auto"/>
                <w:kern w:val="0"/>
                <w:sz w:val="24"/>
                <w:szCs w:val="24"/>
                <w:highlight w:val="none"/>
                <w:lang w:val="en-US" w:eastAsia="zh-CN" w:bidi="ar"/>
              </w:rPr>
              <w:t>（2）环境管理要求</w:t>
            </w:r>
          </w:p>
          <w:p w14:paraId="00680B77">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bCs/>
                <w:color w:val="auto"/>
                <w:kern w:val="0"/>
                <w:highlight w:val="none"/>
              </w:rPr>
            </w:pPr>
            <w:r>
              <w:rPr>
                <w:rFonts w:hint="default" w:ascii="Times New Roman" w:hAnsi="Times New Roman" w:eastAsia="宋体" w:cs="Times New Roman"/>
                <w:color w:val="auto"/>
                <w:sz w:val="24"/>
                <w:highlight w:val="none"/>
                <w:lang w:val="zh-CN"/>
              </w:rPr>
              <w:t>各类型固废要求分类收集</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分类存放，100%处置，不外排。其中危险废物对环境</w:t>
            </w:r>
            <w:r>
              <w:rPr>
                <w:rFonts w:hint="default" w:ascii="Times New Roman" w:hAnsi="Times New Roman" w:eastAsia="宋体" w:cs="Times New Roman"/>
                <w:b w:val="0"/>
                <w:bCs/>
                <w:color w:val="auto"/>
                <w:kern w:val="0"/>
                <w:sz w:val="24"/>
                <w:szCs w:val="24"/>
                <w:highlight w:val="none"/>
                <w:lang w:val="zh-CN" w:eastAsia="zh-CN" w:bidi="ar"/>
              </w:rPr>
              <w:t>危害极大，要求项目运营过程中加强危废的环境管理，具体如下：</w:t>
            </w:r>
          </w:p>
          <w:p w14:paraId="7CAB439C">
            <w:pPr>
              <w:pStyle w:val="69"/>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14:paraId="74196047">
            <w:pPr>
              <w:pStyle w:val="69"/>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采用“水泥+2mm厚HDPE+环氧树脂”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14:paraId="26A0A772">
            <w:pPr>
              <w:pStyle w:val="69"/>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14:paraId="0E259D61">
            <w:pPr>
              <w:pStyle w:val="6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14:paraId="7255B05C">
            <w:pPr>
              <w:pStyle w:val="69"/>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14:paraId="74D33C61">
            <w:pPr>
              <w:pStyle w:val="6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14:paraId="117059DF">
            <w:pPr>
              <w:pStyle w:val="69"/>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14:paraId="379796A0">
            <w:pPr>
              <w:pStyle w:val="69"/>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厚黏土层（渗透系数不大于10-7cm/s），或至少2 mm 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14:paraId="2547D528">
            <w:pPr>
              <w:pStyle w:val="69"/>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14:paraId="44C22012">
            <w:pPr>
              <w:pStyle w:val="6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14:paraId="6FB5CD7A">
            <w:pPr>
              <w:pStyle w:val="6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14:paraId="679F1268">
            <w:pPr>
              <w:pStyle w:val="6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14:paraId="2A411869">
            <w:pPr>
              <w:pStyle w:val="69"/>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14:paraId="55E6A189">
            <w:pPr>
              <w:pStyle w:val="6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14:paraId="066D0C0F">
            <w:pPr>
              <w:pStyle w:val="6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14:paraId="1437E3DF">
            <w:pPr>
              <w:pStyle w:val="6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14:paraId="051E16BA">
            <w:pPr>
              <w:pStyle w:val="6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14:paraId="088616F8">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5、地下水</w:t>
            </w:r>
            <w:r>
              <w:rPr>
                <w:rFonts w:hint="eastAsia" w:ascii="Times New Roman" w:hAnsi="Times New Roman" w:cs="Times New Roman"/>
                <w:b/>
                <w:bCs/>
                <w:color w:val="auto"/>
                <w:sz w:val="24"/>
                <w:szCs w:val="24"/>
                <w:highlight w:val="none"/>
                <w:lang w:val="en-US" w:eastAsia="zh-CN"/>
              </w:rPr>
              <w:t>环境影响分析</w:t>
            </w:r>
          </w:p>
          <w:p w14:paraId="0C110950">
            <w:pPr>
              <w:pStyle w:val="9"/>
              <w:keepNext w:val="0"/>
              <w:keepLines w:val="0"/>
              <w:pageBreakBefore w:val="0"/>
              <w:widowControl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污染物对地下水的影响主要是</w:t>
            </w:r>
            <w:r>
              <w:rPr>
                <w:rFonts w:hint="default" w:ascii="Times New Roman" w:hAnsi="Times New Roman" w:eastAsia="宋体" w:cs="Times New Roman"/>
                <w:color w:val="auto"/>
                <w:sz w:val="24"/>
                <w:szCs w:val="24"/>
                <w:highlight w:val="none"/>
                <w:lang w:val="en-US" w:eastAsia="zh-CN"/>
              </w:rPr>
              <w:t>原辅料、废机油、产品或废水</w:t>
            </w:r>
            <w:r>
              <w:rPr>
                <w:rFonts w:hint="default" w:ascii="Times New Roman" w:hAnsi="Times New Roman" w:eastAsia="宋体" w:cs="Times New Roman"/>
                <w:color w:val="auto"/>
                <w:sz w:val="24"/>
                <w:szCs w:val="24"/>
                <w:highlight w:val="none"/>
              </w:rPr>
              <w:t>通过垂直渗透进入包气带，进入包气带的污染物在物理、化学和生物的作用下经吸附、转化、迁移和分解后输入地下水。因此，包气带是</w:t>
            </w:r>
            <w:r>
              <w:rPr>
                <w:rFonts w:hint="eastAsia" w:cs="Times New Roman"/>
                <w:color w:val="auto"/>
                <w:sz w:val="24"/>
                <w:szCs w:val="24"/>
                <w:highlight w:val="none"/>
                <w:lang w:eastAsia="zh-CN"/>
              </w:rPr>
              <w:t>连接</w:t>
            </w:r>
            <w:r>
              <w:rPr>
                <w:rFonts w:hint="default" w:ascii="Times New Roman" w:hAnsi="Times New Roman" w:eastAsia="宋体" w:cs="Times New Roman"/>
                <w:color w:val="auto"/>
                <w:sz w:val="24"/>
                <w:szCs w:val="24"/>
                <w:highlight w:val="none"/>
              </w:rPr>
              <w:t>地面污染物与地下含水层的主要通道和过渡带，既是污染物媒介体，又是污染物的净化场所和地下水的防护层。地下水能否被污染取决于污染物的种类和性质，以及包气带的防污性能。一般来说，土壤粒细而紧密，渗透性差，则污染缓慢；反之，颗粒大而松散，渗透性能良好则污染快速；包气带厚度较小，地下水埋深浅，则污染物通过包气带进入含水层的可能性大，易造成地下水的污染。</w:t>
            </w:r>
          </w:p>
          <w:p w14:paraId="15D38B57">
            <w:pPr>
              <w:pStyle w:val="9"/>
              <w:keepNext w:val="0"/>
              <w:keepLines w:val="0"/>
              <w:pageBreakBefore w:val="0"/>
              <w:widowControl w:val="0"/>
              <w:kinsoku/>
              <w:wordWrap/>
              <w:overflowPunct/>
              <w:topLinePunct w:val="0"/>
              <w:autoSpaceDE/>
              <w:autoSpaceDN/>
              <w:bidi w:val="0"/>
              <w:adjustRightInd/>
              <w:spacing w:before="0" w:after="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污染途径</w:t>
            </w:r>
          </w:p>
          <w:p w14:paraId="1AEFBFCA">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sz w:val="24"/>
                <w:szCs w:val="24"/>
                <w:highlight w:val="none"/>
                <w:lang w:val="zh-CN" w:eastAsia="zh-CN"/>
              </w:rPr>
              <w:t>项目对地下水可能产生污染的物质为</w:t>
            </w:r>
            <w:r>
              <w:rPr>
                <w:rFonts w:hint="default" w:ascii="Times New Roman" w:hAnsi="Times New Roman" w:eastAsia="宋体" w:cs="Times New Roman"/>
                <w:color w:val="auto"/>
                <w:sz w:val="24"/>
                <w:szCs w:val="24"/>
                <w:highlight w:val="none"/>
                <w:lang w:val="en-US" w:eastAsia="zh-CN"/>
              </w:rPr>
              <w:t>液态原辅料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废机油</w:t>
            </w:r>
            <w:r>
              <w:rPr>
                <w:rFonts w:hint="default" w:ascii="Times New Roman" w:hAnsi="Times New Roman" w:eastAsia="宋体" w:cs="Times New Roman"/>
                <w:color w:val="auto"/>
                <w:sz w:val="24"/>
                <w:szCs w:val="24"/>
                <w:highlight w:val="none"/>
                <w:lang w:val="en-US" w:eastAsia="zh-CN"/>
              </w:rPr>
              <w:t>及废水等，</w:t>
            </w:r>
            <w:r>
              <w:rPr>
                <w:rFonts w:hint="default" w:ascii="Times New Roman" w:hAnsi="Times New Roman" w:eastAsia="宋体" w:cs="Times New Roman"/>
                <w:color w:val="auto"/>
                <w:sz w:val="24"/>
                <w:szCs w:val="24"/>
                <w:highlight w:val="none"/>
              </w:rPr>
              <w:t>可能对地下水造成污染的途径主要为</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①</w:t>
            </w:r>
            <w:r>
              <w:rPr>
                <w:rFonts w:hint="default" w:ascii="Times New Roman" w:hAnsi="Times New Roman" w:eastAsia="宋体" w:cs="Times New Roman"/>
                <w:color w:val="auto"/>
                <w:sz w:val="24"/>
                <w:szCs w:val="24"/>
                <w:highlight w:val="none"/>
                <w:lang w:val="en-US" w:eastAsia="zh-CN"/>
              </w:rPr>
              <w:t>液态原辅料</w:t>
            </w:r>
            <w:r>
              <w:rPr>
                <w:rFonts w:hint="eastAsia" w:ascii="Times New Roman" w:hAnsi="Times New Roman" w:eastAsia="宋体" w:cs="Times New Roman"/>
                <w:color w:val="auto"/>
                <w:sz w:val="24"/>
                <w:szCs w:val="24"/>
                <w:highlight w:val="none"/>
                <w:lang w:val="en-US" w:eastAsia="zh-CN"/>
              </w:rPr>
              <w:t>（硫酸、盐酸）</w:t>
            </w:r>
            <w:r>
              <w:rPr>
                <w:rFonts w:hint="default" w:ascii="Times New Roman" w:hAnsi="Times New Roman" w:cs="Times New Roman"/>
                <w:color w:val="auto"/>
                <w:sz w:val="24"/>
                <w:szCs w:val="24"/>
                <w:highlight w:val="none"/>
              </w:rPr>
              <w:t>存储不当导致</w:t>
            </w:r>
            <w:r>
              <w:rPr>
                <w:rFonts w:hint="eastAsia" w:ascii="Times New Roman" w:hAnsi="Times New Roman" w:cs="Times New Roman"/>
                <w:color w:val="auto"/>
                <w:sz w:val="24"/>
                <w:szCs w:val="24"/>
                <w:highlight w:val="none"/>
                <w:lang w:eastAsia="zh-CN"/>
              </w:rPr>
              <w:t>硫酸、盐酸</w:t>
            </w:r>
            <w:r>
              <w:rPr>
                <w:rFonts w:hint="default" w:ascii="Times New Roman" w:hAnsi="Times New Roman" w:cs="Times New Roman"/>
                <w:color w:val="auto"/>
                <w:sz w:val="24"/>
                <w:szCs w:val="24"/>
                <w:highlight w:val="none"/>
              </w:rPr>
              <w:t>等下渗污染地下水</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②危险废物暂存</w:t>
            </w:r>
            <w:r>
              <w:rPr>
                <w:rFonts w:hint="eastAsia" w:cs="Times New Roman"/>
                <w:color w:val="auto"/>
                <w:sz w:val="24"/>
                <w:szCs w:val="24"/>
                <w:highlight w:val="none"/>
                <w:lang w:eastAsia="zh-CN"/>
              </w:rPr>
              <w:t>过程中</w:t>
            </w:r>
            <w:r>
              <w:rPr>
                <w:rFonts w:hint="default" w:ascii="Times New Roman" w:hAnsi="Times New Roman" w:cs="Times New Roman"/>
                <w:color w:val="auto"/>
                <w:sz w:val="24"/>
                <w:szCs w:val="24"/>
                <w:highlight w:val="none"/>
              </w:rPr>
              <w:t>危险废物存储不当导致废机油等下渗污染地下水</w:t>
            </w:r>
            <w:r>
              <w:rPr>
                <w:rFonts w:hint="eastAsia" w:ascii="Times New Roman" w:hAnsi="Times New Roman" w:cs="Times New Roman"/>
                <w:color w:val="auto"/>
                <w:sz w:val="24"/>
                <w:szCs w:val="24"/>
                <w:highlight w:val="none"/>
                <w:lang w:eastAsia="zh-CN"/>
              </w:rPr>
              <w:t>；③生产废水收集</w:t>
            </w:r>
            <w:r>
              <w:rPr>
                <w:rFonts w:hint="eastAsia" w:cs="Times New Roman"/>
                <w:color w:val="auto"/>
                <w:sz w:val="24"/>
                <w:szCs w:val="24"/>
                <w:highlight w:val="none"/>
                <w:lang w:eastAsia="zh-CN"/>
              </w:rPr>
              <w:t>处理设施</w:t>
            </w:r>
            <w:r>
              <w:rPr>
                <w:rFonts w:hint="eastAsia" w:ascii="Times New Roman" w:hAnsi="Times New Roman" w:cs="Times New Roman"/>
                <w:color w:val="auto"/>
                <w:sz w:val="24"/>
                <w:szCs w:val="24"/>
                <w:highlight w:val="none"/>
                <w:lang w:eastAsia="zh-CN"/>
              </w:rPr>
              <w:t>、隔油池、化粪池等</w:t>
            </w:r>
            <w:r>
              <w:rPr>
                <w:rFonts w:hint="default" w:ascii="Times New Roman" w:hAnsi="Times New Roman" w:cs="Times New Roman"/>
                <w:color w:val="auto"/>
                <w:sz w:val="24"/>
                <w:szCs w:val="24"/>
                <w:highlight w:val="none"/>
              </w:rPr>
              <w:t>防渗措施不够完善，导致污水下渗对地下水</w:t>
            </w:r>
            <w:r>
              <w:rPr>
                <w:rFonts w:hint="eastAsia" w:cs="Times New Roman"/>
                <w:color w:val="auto"/>
                <w:sz w:val="24"/>
                <w:szCs w:val="24"/>
                <w:highlight w:val="none"/>
                <w:lang w:eastAsia="zh-CN"/>
              </w:rPr>
              <w:t>造成</w:t>
            </w:r>
            <w:r>
              <w:rPr>
                <w:rFonts w:hint="default" w:ascii="Times New Roman" w:hAnsi="Times New Roman" w:cs="Times New Roman"/>
                <w:color w:val="auto"/>
                <w:sz w:val="24"/>
                <w:szCs w:val="24"/>
                <w:highlight w:val="none"/>
              </w:rPr>
              <w:t>污染。</w:t>
            </w:r>
          </w:p>
          <w:p w14:paraId="5BCCDD7D">
            <w:pPr>
              <w:pStyle w:val="9"/>
              <w:keepNext w:val="0"/>
              <w:keepLines w:val="0"/>
              <w:pageBreakBefore w:val="0"/>
              <w:widowControl w:val="0"/>
              <w:kinsoku/>
              <w:wordWrap/>
              <w:overflowPunct/>
              <w:topLinePunct w:val="0"/>
              <w:autoSpaceDE/>
              <w:autoSpaceDN/>
              <w:bidi w:val="0"/>
              <w:adjustRightInd/>
              <w:spacing w:before="0" w:after="0" w:line="360" w:lineRule="auto"/>
              <w:ind w:left="0" w:leftChars="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地下水污</w:t>
            </w:r>
            <w:r>
              <w:rPr>
                <w:rFonts w:hint="default" w:ascii="Times New Roman" w:hAnsi="Times New Roman" w:eastAsia="宋体" w:cs="Times New Roman"/>
                <w:b/>
                <w:bCs/>
                <w:color w:val="auto"/>
                <w:sz w:val="24"/>
                <w:highlight w:val="none"/>
                <w:lang w:val="en-US" w:eastAsia="zh-CN"/>
              </w:rPr>
              <w:t>染防治措施</w:t>
            </w:r>
          </w:p>
          <w:p w14:paraId="59230F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本项目</w:t>
            </w:r>
            <w:r>
              <w:rPr>
                <w:rFonts w:hint="default" w:ascii="Times New Roman" w:hAnsi="Times New Roman" w:eastAsia="宋体" w:cs="Times New Roman"/>
                <w:color w:val="auto"/>
                <w:sz w:val="24"/>
                <w:szCs w:val="24"/>
                <w:highlight w:val="none"/>
                <w:lang w:val="en-US" w:eastAsia="zh-CN"/>
              </w:rPr>
              <w:t>液态原辅料</w:t>
            </w:r>
            <w:r>
              <w:rPr>
                <w:rFonts w:hint="eastAsia" w:ascii="Times New Roman" w:hAnsi="Times New Roman" w:eastAsia="宋体" w:cs="Times New Roman"/>
                <w:color w:val="auto"/>
                <w:sz w:val="24"/>
                <w:szCs w:val="24"/>
                <w:highlight w:val="none"/>
                <w:lang w:val="en-US" w:eastAsia="zh-CN"/>
              </w:rPr>
              <w:t>（硫酸、盐酸）暂存于危化品库中，</w:t>
            </w:r>
            <w:r>
              <w:rPr>
                <w:rFonts w:hint="default" w:ascii="Times New Roman" w:hAnsi="Times New Roman" w:eastAsia="宋体" w:cs="Times New Roman"/>
                <w:bCs/>
                <w:color w:val="auto"/>
                <w:sz w:val="24"/>
                <w:highlight w:val="none"/>
                <w:lang w:val="zh-CN" w:eastAsia="zh-CN"/>
              </w:rPr>
              <w:t>废机油采用专用密闭容器盛装后暂存在危废暂存间，</w:t>
            </w:r>
            <w:r>
              <w:rPr>
                <w:rFonts w:hint="eastAsia" w:ascii="Times New Roman" w:hAnsi="Times New Roman" w:eastAsia="宋体" w:cs="Times New Roman"/>
                <w:color w:val="auto"/>
                <w:sz w:val="24"/>
                <w:highlight w:val="none"/>
                <w:lang w:val="en-US" w:eastAsia="zh-CN"/>
              </w:rPr>
              <w:t>生产废水经收集后统一进入调节池、生产废水处理设施处理达标后回用于水洗补水，食堂含油废水经隔油池收集后与其他生活污水一并经化粪池处理后进入</w:t>
            </w:r>
            <w:r>
              <w:rPr>
                <w:rFonts w:hint="eastAsia" w:cs="Times New Roman"/>
                <w:color w:val="auto"/>
                <w:sz w:val="24"/>
                <w:highlight w:val="none"/>
                <w:lang w:val="en-US" w:eastAsia="zh-CN"/>
              </w:rPr>
              <w:t>生活</w:t>
            </w:r>
            <w:r>
              <w:rPr>
                <w:rFonts w:hint="eastAsia" w:ascii="Times New Roman" w:hAnsi="Times New Roman" w:eastAsia="宋体" w:cs="Times New Roman"/>
                <w:color w:val="auto"/>
                <w:sz w:val="24"/>
                <w:highlight w:val="none"/>
                <w:lang w:val="en-US" w:eastAsia="zh-CN"/>
              </w:rPr>
              <w:t>污水处理设施处理达标后回用于项目区绿化及道路浇洒，</w:t>
            </w:r>
            <w:r>
              <w:rPr>
                <w:rFonts w:hint="eastAsia" w:ascii="Times New Roman" w:hAnsi="Times New Roman" w:eastAsia="宋体" w:cs="Times New Roman"/>
                <w:color w:val="auto"/>
                <w:sz w:val="24"/>
                <w:szCs w:val="24"/>
                <w:highlight w:val="none"/>
                <w:lang w:val="en-US" w:eastAsia="zh-CN"/>
              </w:rPr>
              <w:t>危化品库、危废暂存间、</w:t>
            </w:r>
            <w:r>
              <w:rPr>
                <w:rFonts w:hint="eastAsia" w:cs="Times New Roman"/>
                <w:color w:val="auto"/>
                <w:sz w:val="24"/>
                <w:szCs w:val="24"/>
                <w:highlight w:val="none"/>
                <w:lang w:val="en-US" w:eastAsia="zh-CN"/>
              </w:rPr>
              <w:t>调节</w:t>
            </w:r>
            <w:r>
              <w:rPr>
                <w:rFonts w:hint="eastAsia" w:ascii="Times New Roman" w:hAnsi="Times New Roman" w:eastAsia="宋体" w:cs="Times New Roman"/>
                <w:color w:val="auto"/>
                <w:sz w:val="24"/>
                <w:szCs w:val="24"/>
                <w:highlight w:val="none"/>
                <w:lang w:val="en-US" w:eastAsia="zh-CN"/>
              </w:rPr>
              <w:t>池</w:t>
            </w:r>
            <w:r>
              <w:rPr>
                <w:rFonts w:hint="eastAsia" w:cs="Times New Roman"/>
                <w:color w:val="auto"/>
                <w:sz w:val="24"/>
                <w:szCs w:val="24"/>
                <w:highlight w:val="none"/>
                <w:lang w:val="en-US" w:eastAsia="zh-CN"/>
              </w:rPr>
              <w:t>、事故应急池</w:t>
            </w:r>
            <w:r>
              <w:rPr>
                <w:rFonts w:hint="default" w:ascii="Times New Roman" w:hAnsi="Times New Roman" w:eastAsia="宋体" w:cs="Times New Roman"/>
                <w:bCs/>
                <w:color w:val="auto"/>
                <w:sz w:val="24"/>
                <w:highlight w:val="none"/>
                <w:lang w:val="zh-CN" w:eastAsia="zh-CN"/>
              </w:rPr>
              <w:t>按照重点防渗要求做好防渗：采用“抗渗混凝土+2mm厚HDPE膜+环氧树脂涂料”进行重点防渗，渗透系数≤10</w:t>
            </w:r>
            <w:r>
              <w:rPr>
                <w:rFonts w:hint="default" w:ascii="Times New Roman" w:hAnsi="Times New Roman" w:eastAsia="宋体" w:cs="Times New Roman"/>
                <w:bCs/>
                <w:color w:val="auto"/>
                <w:sz w:val="24"/>
                <w:highlight w:val="none"/>
                <w:vertAlign w:val="superscript"/>
                <w:lang w:val="zh-CN" w:eastAsia="zh-CN"/>
              </w:rPr>
              <w:t>-10</w:t>
            </w:r>
            <w:r>
              <w:rPr>
                <w:rFonts w:hint="default" w:ascii="Times New Roman" w:hAnsi="Times New Roman" w:eastAsia="宋体" w:cs="Times New Roman"/>
                <w:bCs/>
                <w:color w:val="auto"/>
                <w:sz w:val="24"/>
                <w:highlight w:val="none"/>
                <w:lang w:val="zh-CN" w:eastAsia="zh-CN"/>
              </w:rPr>
              <w:t>cm/s；隔油池、化粪池、生活污水处理站、生产加工区、其他原辅料储存区采用“抗渗混凝土+1.5mm厚HDPE+环氧树脂涂料”进行一般防渗，渗透系数≤10</w:t>
            </w:r>
            <w:r>
              <w:rPr>
                <w:rFonts w:hint="default" w:ascii="Times New Roman" w:hAnsi="Times New Roman" w:eastAsia="宋体" w:cs="Times New Roman"/>
                <w:bCs/>
                <w:color w:val="auto"/>
                <w:sz w:val="24"/>
                <w:highlight w:val="none"/>
                <w:vertAlign w:val="superscript"/>
                <w:lang w:val="zh-CN" w:eastAsia="zh-CN"/>
              </w:rPr>
              <w:t>-7</w:t>
            </w:r>
            <w:r>
              <w:rPr>
                <w:rFonts w:hint="default" w:ascii="Times New Roman" w:hAnsi="Times New Roman" w:eastAsia="宋体" w:cs="Times New Roman"/>
                <w:bCs/>
                <w:color w:val="auto"/>
                <w:sz w:val="24"/>
                <w:highlight w:val="none"/>
                <w:lang w:val="zh-CN" w:eastAsia="zh-CN"/>
              </w:rPr>
              <w:t>cm/s；其余生产区、道路及办公区域（除绿化外）进行简单防渗处理，地面进行硬化。因此，若发生泄漏事故，污染源下渗污染地下水的可能较小。</w:t>
            </w:r>
          </w:p>
          <w:p w14:paraId="61C45D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en-US" w:eastAsia="zh-CN"/>
              </w:rPr>
              <w:t>同时，为防止地下水污染，</w:t>
            </w:r>
            <w:r>
              <w:rPr>
                <w:rFonts w:hint="default" w:ascii="Times New Roman" w:hAnsi="Times New Roman" w:eastAsia="宋体" w:cs="Times New Roman"/>
                <w:bCs/>
                <w:color w:val="auto"/>
                <w:sz w:val="24"/>
                <w:highlight w:val="none"/>
                <w:lang w:val="zh-CN" w:eastAsia="zh-CN"/>
              </w:rPr>
              <w:t>在运营中落实以下措施：</w:t>
            </w:r>
          </w:p>
          <w:p w14:paraId="630575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①生产过程设专人进行巡检自查</w:t>
            </w:r>
            <w:r>
              <w:rPr>
                <w:rFonts w:hint="default" w:ascii="Times New Roman" w:hAnsi="Times New Roman" w:eastAsia="宋体" w:cs="Times New Roman"/>
                <w:bCs/>
                <w:color w:val="auto"/>
                <w:sz w:val="24"/>
                <w:highlight w:val="none"/>
                <w:lang w:val="en-US" w:eastAsia="zh-CN"/>
              </w:rPr>
              <w:t>原辅料包装容器</w:t>
            </w:r>
            <w:r>
              <w:rPr>
                <w:rFonts w:hint="default" w:ascii="Times New Roman" w:hAnsi="Times New Roman" w:eastAsia="宋体" w:cs="Times New Roman"/>
                <w:bCs/>
                <w:color w:val="auto"/>
                <w:sz w:val="24"/>
                <w:highlight w:val="none"/>
                <w:lang w:val="zh-CN" w:eastAsia="zh-CN"/>
              </w:rPr>
              <w:t>、</w:t>
            </w:r>
            <w:r>
              <w:rPr>
                <w:rFonts w:hint="eastAsia" w:ascii="Times New Roman" w:hAnsi="Times New Roman" w:eastAsia="宋体" w:cs="Times New Roman"/>
                <w:bCs/>
                <w:color w:val="auto"/>
                <w:sz w:val="24"/>
                <w:highlight w:val="none"/>
                <w:lang w:val="zh-CN" w:eastAsia="zh-CN"/>
              </w:rPr>
              <w:t>废机油包装</w:t>
            </w:r>
            <w:r>
              <w:rPr>
                <w:rFonts w:hint="default" w:ascii="Times New Roman" w:hAnsi="Times New Roman" w:eastAsia="宋体" w:cs="Times New Roman"/>
                <w:bCs/>
                <w:color w:val="auto"/>
                <w:sz w:val="24"/>
                <w:highlight w:val="none"/>
                <w:lang w:val="en-US" w:eastAsia="zh-CN"/>
              </w:rPr>
              <w:t>容器</w:t>
            </w:r>
            <w:r>
              <w:rPr>
                <w:rFonts w:hint="eastAsia"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调节</w:t>
            </w:r>
            <w:r>
              <w:rPr>
                <w:rFonts w:hint="eastAsia" w:ascii="Times New Roman" w:hAnsi="Times New Roman" w:eastAsia="宋体" w:cs="Times New Roman"/>
                <w:bCs/>
                <w:color w:val="auto"/>
                <w:sz w:val="24"/>
                <w:highlight w:val="none"/>
                <w:lang w:val="en-US" w:eastAsia="zh-CN"/>
              </w:rPr>
              <w:t>池</w:t>
            </w:r>
            <w:r>
              <w:rPr>
                <w:rFonts w:hint="eastAsia" w:cs="Times New Roman"/>
                <w:bCs/>
                <w:color w:val="auto"/>
                <w:sz w:val="24"/>
                <w:highlight w:val="none"/>
                <w:lang w:val="en-US" w:eastAsia="zh-CN"/>
              </w:rPr>
              <w:t>、事故应急池</w:t>
            </w:r>
            <w:r>
              <w:rPr>
                <w:rFonts w:hint="default" w:ascii="Times New Roman" w:hAnsi="Times New Roman" w:eastAsia="宋体" w:cs="Times New Roman"/>
                <w:bCs/>
                <w:color w:val="auto"/>
                <w:sz w:val="24"/>
                <w:highlight w:val="none"/>
                <w:lang w:val="en-US" w:eastAsia="zh-CN"/>
              </w:rPr>
              <w:t>等</w:t>
            </w:r>
            <w:r>
              <w:rPr>
                <w:rFonts w:hint="default" w:ascii="Times New Roman" w:hAnsi="Times New Roman" w:eastAsia="宋体" w:cs="Times New Roman"/>
                <w:bCs/>
                <w:color w:val="auto"/>
                <w:sz w:val="24"/>
                <w:highlight w:val="none"/>
                <w:lang w:val="zh-CN" w:eastAsia="zh-CN"/>
              </w:rPr>
              <w:t>，杜绝容器及</w:t>
            </w:r>
            <w:r>
              <w:rPr>
                <w:rFonts w:hint="eastAsia" w:ascii="Times New Roman" w:hAnsi="Times New Roman" w:eastAsia="宋体" w:cs="Times New Roman"/>
                <w:bCs/>
                <w:color w:val="auto"/>
                <w:sz w:val="24"/>
                <w:highlight w:val="none"/>
                <w:lang w:val="zh-CN" w:eastAsia="zh-CN"/>
              </w:rPr>
              <w:t>池子</w:t>
            </w:r>
            <w:r>
              <w:rPr>
                <w:rFonts w:hint="default" w:ascii="Times New Roman" w:hAnsi="Times New Roman" w:eastAsia="宋体" w:cs="Times New Roman"/>
                <w:bCs/>
                <w:color w:val="auto"/>
                <w:sz w:val="24"/>
                <w:highlight w:val="none"/>
                <w:lang w:val="zh-CN" w:eastAsia="zh-CN"/>
              </w:rPr>
              <w:t>跑冒滴漏发生；</w:t>
            </w:r>
          </w:p>
          <w:p w14:paraId="2F2421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②设置禁火标识牌等；</w:t>
            </w:r>
          </w:p>
          <w:p w14:paraId="5E438F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③加强对</w:t>
            </w:r>
            <w:r>
              <w:rPr>
                <w:rFonts w:hint="eastAsia" w:ascii="Times New Roman" w:hAnsi="Times New Roman" w:eastAsia="宋体" w:cs="Times New Roman"/>
                <w:bCs/>
                <w:color w:val="auto"/>
                <w:sz w:val="24"/>
                <w:highlight w:val="none"/>
                <w:lang w:val="zh-CN" w:eastAsia="zh-CN"/>
              </w:rPr>
              <w:t>危化品、危废及</w:t>
            </w:r>
            <w:r>
              <w:rPr>
                <w:rFonts w:hint="default" w:ascii="Times New Roman" w:hAnsi="Times New Roman" w:eastAsia="宋体" w:cs="Times New Roman"/>
                <w:bCs/>
                <w:color w:val="auto"/>
                <w:sz w:val="24"/>
                <w:highlight w:val="none"/>
                <w:lang w:val="en-US" w:eastAsia="zh-CN"/>
              </w:rPr>
              <w:t>生产废水</w:t>
            </w:r>
            <w:r>
              <w:rPr>
                <w:rFonts w:hint="eastAsia" w:ascii="Times New Roman" w:hAnsi="Times New Roman" w:eastAsia="宋体" w:cs="Times New Roman"/>
                <w:bCs/>
                <w:color w:val="auto"/>
                <w:sz w:val="24"/>
                <w:highlight w:val="none"/>
                <w:lang w:val="en-US" w:eastAsia="zh-CN"/>
              </w:rPr>
              <w:t>收集</w:t>
            </w:r>
            <w:r>
              <w:rPr>
                <w:rFonts w:hint="eastAsia" w:cs="Times New Roman"/>
                <w:bCs/>
                <w:color w:val="auto"/>
                <w:sz w:val="24"/>
                <w:highlight w:val="none"/>
                <w:lang w:val="en-US" w:eastAsia="zh-CN"/>
              </w:rPr>
              <w:t>处理设施</w:t>
            </w:r>
            <w:r>
              <w:rPr>
                <w:rFonts w:hint="default" w:ascii="Times New Roman" w:hAnsi="Times New Roman" w:eastAsia="宋体" w:cs="Times New Roman"/>
                <w:bCs/>
                <w:color w:val="auto"/>
                <w:sz w:val="24"/>
                <w:highlight w:val="none"/>
                <w:lang w:val="zh-CN" w:eastAsia="zh-CN"/>
              </w:rPr>
              <w:t>的管理，安排专人定期对</w:t>
            </w:r>
            <w:r>
              <w:rPr>
                <w:rFonts w:hint="eastAsia" w:ascii="Times New Roman" w:hAnsi="Times New Roman" w:eastAsia="宋体" w:cs="Times New Roman"/>
                <w:bCs/>
                <w:color w:val="auto"/>
                <w:sz w:val="24"/>
                <w:highlight w:val="none"/>
                <w:lang w:val="zh-CN" w:eastAsia="zh-CN"/>
              </w:rPr>
              <w:t>危化品库、</w:t>
            </w:r>
            <w:r>
              <w:rPr>
                <w:rFonts w:hint="default" w:ascii="Times New Roman" w:hAnsi="Times New Roman" w:eastAsia="宋体" w:cs="Times New Roman"/>
                <w:bCs/>
                <w:color w:val="auto"/>
                <w:sz w:val="24"/>
                <w:highlight w:val="none"/>
                <w:lang w:val="zh-CN" w:eastAsia="zh-CN"/>
              </w:rPr>
              <w:t>危废暂存间、危废收集桶</w:t>
            </w:r>
            <w:r>
              <w:rPr>
                <w:rFonts w:hint="eastAsia" w:ascii="Times New Roman" w:hAnsi="Times New Roman" w:eastAsia="宋体" w:cs="Times New Roman"/>
                <w:bCs/>
                <w:color w:val="auto"/>
                <w:sz w:val="24"/>
                <w:highlight w:val="none"/>
                <w:lang w:val="zh-CN" w:eastAsia="zh-CN"/>
              </w:rPr>
              <w:t>、生产废水收集</w:t>
            </w:r>
            <w:r>
              <w:rPr>
                <w:rFonts w:hint="eastAsia" w:cs="Times New Roman"/>
                <w:bCs/>
                <w:color w:val="auto"/>
                <w:sz w:val="24"/>
                <w:highlight w:val="none"/>
                <w:lang w:val="zh-CN" w:eastAsia="zh-CN"/>
              </w:rPr>
              <w:t>处理设施</w:t>
            </w:r>
            <w:r>
              <w:rPr>
                <w:rFonts w:hint="default" w:ascii="Times New Roman" w:hAnsi="Times New Roman" w:eastAsia="宋体" w:cs="Times New Roman"/>
                <w:bCs/>
                <w:color w:val="auto"/>
                <w:sz w:val="24"/>
                <w:highlight w:val="none"/>
                <w:lang w:val="zh-CN" w:eastAsia="zh-CN"/>
              </w:rPr>
              <w:t>进行排查，出现事故及跑冒滴漏情况立即开展调查及处理；</w:t>
            </w:r>
          </w:p>
          <w:p w14:paraId="3FB30E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④与有资质单位签订危废处置协议，确保危废能得到妥善处置，建立</w:t>
            </w:r>
            <w:r>
              <w:rPr>
                <w:rFonts w:hint="default" w:ascii="Times New Roman" w:hAnsi="Times New Roman" w:eastAsia="宋体" w:cs="Times New Roman"/>
                <w:bCs/>
                <w:color w:val="auto"/>
                <w:sz w:val="24"/>
                <w:highlight w:val="none"/>
                <w:lang w:val="en-US" w:eastAsia="zh-CN"/>
              </w:rPr>
              <w:t>完善的</w:t>
            </w:r>
            <w:r>
              <w:rPr>
                <w:rFonts w:hint="default" w:ascii="Times New Roman" w:hAnsi="Times New Roman" w:eastAsia="宋体" w:cs="Times New Roman"/>
                <w:bCs/>
                <w:color w:val="auto"/>
                <w:sz w:val="24"/>
                <w:highlight w:val="none"/>
                <w:lang w:val="zh-CN" w:eastAsia="zh-CN"/>
              </w:rPr>
              <w:t>台账制度。</w:t>
            </w:r>
          </w:p>
          <w:p w14:paraId="512C8A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Cs/>
                <w:color w:val="auto"/>
                <w:sz w:val="24"/>
                <w:highlight w:val="none"/>
                <w:lang w:val="en-US" w:eastAsia="zh-CN"/>
              </w:rPr>
              <w:t>⑤分区防渗：</w:t>
            </w:r>
            <w:r>
              <w:rPr>
                <w:rFonts w:hint="default" w:ascii="Times New Roman" w:hAnsi="Times New Roman" w:eastAsia="宋体" w:cs="Times New Roman"/>
                <w:color w:val="auto"/>
                <w:kern w:val="0"/>
                <w:sz w:val="24"/>
                <w:szCs w:val="24"/>
                <w:highlight w:val="none"/>
              </w:rPr>
              <w:t>对照《环境影响评价技术导则-地下水环境》（HJ610-2016）的要求，</w:t>
            </w:r>
            <w:r>
              <w:rPr>
                <w:rFonts w:hint="default" w:ascii="Times New Roman" w:hAnsi="Times New Roman" w:eastAsia="宋体" w:cs="Times New Roman"/>
                <w:color w:val="auto"/>
                <w:kern w:val="0"/>
                <w:sz w:val="24"/>
                <w:szCs w:val="24"/>
                <w:highlight w:val="none"/>
                <w:lang w:val="en-US" w:eastAsia="zh-CN"/>
              </w:rPr>
              <w:t>将</w:t>
            </w:r>
            <w:r>
              <w:rPr>
                <w:rFonts w:hint="default" w:ascii="Times New Roman" w:hAnsi="Times New Roman" w:eastAsia="宋体" w:cs="Times New Roman"/>
                <w:color w:val="auto"/>
                <w:kern w:val="0"/>
                <w:sz w:val="24"/>
                <w:szCs w:val="24"/>
                <w:highlight w:val="none"/>
              </w:rPr>
              <w:t>厂区划分为重点防渗区、一般防渗区和简单防渗区。</w:t>
            </w:r>
          </w:p>
          <w:p w14:paraId="1133B8F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20</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项目防渗分区及防渗要求</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2774"/>
              <w:gridCol w:w="2343"/>
              <w:gridCol w:w="1958"/>
            </w:tblGrid>
            <w:tr w14:paraId="0FF6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275" w:type="dxa"/>
                  <w:vAlign w:val="center"/>
                </w:tcPr>
                <w:p w14:paraId="387E3A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防渗分区</w:t>
                  </w:r>
                </w:p>
              </w:tc>
              <w:tc>
                <w:tcPr>
                  <w:tcW w:w="2774" w:type="dxa"/>
                  <w:vAlign w:val="center"/>
                </w:tcPr>
                <w:p w14:paraId="7DC423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涉及区域</w:t>
                  </w:r>
                </w:p>
              </w:tc>
              <w:tc>
                <w:tcPr>
                  <w:tcW w:w="2343" w:type="dxa"/>
                  <w:vAlign w:val="center"/>
                </w:tcPr>
                <w:p w14:paraId="5DB4EEB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防渗措施</w:t>
                  </w:r>
                </w:p>
              </w:tc>
              <w:tc>
                <w:tcPr>
                  <w:tcW w:w="1958" w:type="dxa"/>
                  <w:vAlign w:val="center"/>
                </w:tcPr>
                <w:p w14:paraId="21EB4F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防渗技术要求</w:t>
                  </w:r>
                </w:p>
              </w:tc>
            </w:tr>
            <w:tr w14:paraId="0D30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60724C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重点防渗</w:t>
                  </w:r>
                </w:p>
              </w:tc>
              <w:tc>
                <w:tcPr>
                  <w:tcW w:w="2774" w:type="dxa"/>
                  <w:vAlign w:val="center"/>
                </w:tcPr>
                <w:p w14:paraId="0F81F18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危化品库、</w:t>
                  </w:r>
                  <w:r>
                    <w:rPr>
                      <w:rFonts w:hint="default" w:ascii="Times New Roman" w:hAnsi="Times New Roman" w:eastAsia="宋体" w:cs="Times New Roman"/>
                      <w:color w:val="auto"/>
                      <w:sz w:val="21"/>
                      <w:szCs w:val="21"/>
                      <w:highlight w:val="none"/>
                      <w:vertAlign w:val="baseline"/>
                      <w:lang w:val="en-US" w:eastAsia="zh-CN"/>
                    </w:rPr>
                    <w:t>危废暂存间、</w:t>
                  </w:r>
                  <w:r>
                    <w:rPr>
                      <w:rFonts w:hint="eastAsia" w:cs="Times New Roman"/>
                      <w:color w:val="auto"/>
                      <w:sz w:val="21"/>
                      <w:szCs w:val="21"/>
                      <w:highlight w:val="none"/>
                      <w:vertAlign w:val="baseline"/>
                      <w:lang w:val="en-US" w:eastAsia="zh-CN"/>
                    </w:rPr>
                    <w:t>调节池、事故应急池</w:t>
                  </w:r>
                </w:p>
              </w:tc>
              <w:tc>
                <w:tcPr>
                  <w:tcW w:w="2343" w:type="dxa"/>
                  <w:vAlign w:val="center"/>
                </w:tcPr>
                <w:p w14:paraId="3D3CDB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rPr>
                    <w:t>采用“抗渗混凝土+2mm厚HDPE膜+环氧树脂涂料”防渗。</w:t>
                  </w:r>
                </w:p>
              </w:tc>
              <w:tc>
                <w:tcPr>
                  <w:tcW w:w="1958" w:type="dxa"/>
                  <w:vAlign w:val="center"/>
                </w:tcPr>
                <w:p w14:paraId="3A6F467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等效粘土防渗层Mb≥6.0m，渗透系数≤1×10</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vertAlign w:val="superscript"/>
                      <w:lang w:val="en-US" w:eastAsia="zh-CN"/>
                    </w:rPr>
                    <w:t>10</w:t>
                  </w:r>
                  <w:r>
                    <w:rPr>
                      <w:rFonts w:hint="default" w:ascii="Times New Roman" w:hAnsi="Times New Roman" w:eastAsia="宋体" w:cs="Times New Roman"/>
                      <w:color w:val="auto"/>
                      <w:kern w:val="0"/>
                      <w:sz w:val="21"/>
                      <w:szCs w:val="21"/>
                      <w:highlight w:val="none"/>
                    </w:rPr>
                    <w:t>cm/s。</w:t>
                  </w:r>
                </w:p>
              </w:tc>
            </w:tr>
            <w:tr w14:paraId="550B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41F959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一般防渗</w:t>
                  </w:r>
                </w:p>
              </w:tc>
              <w:tc>
                <w:tcPr>
                  <w:tcW w:w="2774" w:type="dxa"/>
                  <w:vAlign w:val="center"/>
                </w:tcPr>
                <w:p w14:paraId="09DDF6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隔油池、化粪池、生活污水处理站、生产加工区</w:t>
                  </w:r>
                  <w:r>
                    <w:rPr>
                      <w:rFonts w:hint="eastAsia" w:ascii="Times New Roman" w:hAnsi="Times New Roman" w:eastAsia="宋体" w:cs="Times New Roman"/>
                      <w:color w:val="auto"/>
                      <w:sz w:val="21"/>
                      <w:szCs w:val="21"/>
                      <w:highlight w:val="none"/>
                      <w:vertAlign w:val="baseline"/>
                      <w:lang w:val="en-US" w:eastAsia="zh-CN"/>
                    </w:rPr>
                    <w:t>、其他原辅料储存区</w:t>
                  </w:r>
                </w:p>
              </w:tc>
              <w:tc>
                <w:tcPr>
                  <w:tcW w:w="2343" w:type="dxa"/>
                  <w:vAlign w:val="center"/>
                </w:tcPr>
                <w:p w14:paraId="0DF148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“抗渗混凝土+1.5mm厚HDPE+环氧树脂涂料”进行防渗</w:t>
                  </w:r>
                  <w:r>
                    <w:rPr>
                      <w:rFonts w:hint="default" w:ascii="Times New Roman" w:hAnsi="Times New Roman" w:eastAsia="宋体" w:cs="Times New Roman"/>
                      <w:color w:val="auto"/>
                      <w:sz w:val="21"/>
                      <w:szCs w:val="21"/>
                      <w:highlight w:val="none"/>
                      <w:lang w:eastAsia="zh-CN"/>
                    </w:rPr>
                    <w:t>。</w:t>
                  </w:r>
                </w:p>
              </w:tc>
              <w:tc>
                <w:tcPr>
                  <w:tcW w:w="1958" w:type="dxa"/>
                  <w:vAlign w:val="center"/>
                </w:tcPr>
                <w:p w14:paraId="6EBB26B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等效粘土防渗层Mb≥1.5m，渗透系数≤1×10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p>
              </w:tc>
            </w:tr>
            <w:tr w14:paraId="5266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6B7C9C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简单防渗</w:t>
                  </w:r>
                </w:p>
              </w:tc>
              <w:tc>
                <w:tcPr>
                  <w:tcW w:w="2774" w:type="dxa"/>
                  <w:vAlign w:val="center"/>
                </w:tcPr>
                <w:p w14:paraId="63C093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p>
              </w:tc>
              <w:tc>
                <w:tcPr>
                  <w:tcW w:w="2343" w:type="dxa"/>
                  <w:vAlign w:val="center"/>
                </w:tcPr>
                <w:p w14:paraId="54F58B9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混凝土硬化</w:t>
                  </w:r>
                </w:p>
              </w:tc>
              <w:tc>
                <w:tcPr>
                  <w:tcW w:w="1958" w:type="dxa"/>
                  <w:vAlign w:val="center"/>
                </w:tcPr>
                <w:p w14:paraId="36757EB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一般地面硬化。</w:t>
                  </w:r>
                </w:p>
              </w:tc>
            </w:tr>
            <w:tr w14:paraId="471E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0" w:type="dxa"/>
                  <w:gridSpan w:val="4"/>
                  <w:vAlign w:val="center"/>
                </w:tcPr>
                <w:p w14:paraId="01A9F9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r>
                    <w:rPr>
                      <w:rFonts w:hint="default" w:ascii="Times New Roman" w:hAnsi="Times New Roman" w:eastAsia="宋体" w:cs="Times New Roman"/>
                      <w:color w:val="auto"/>
                      <w:sz w:val="21"/>
                      <w:szCs w:val="21"/>
                      <w:highlight w:val="none"/>
                    </w:rPr>
                    <w:t>厂区具体防渗措施为建议措施，具体防渗措施须根据防渗标准及要求进行设计和实施，但必须达到环评提出的防渗标准及要求。</w:t>
                  </w:r>
                </w:p>
              </w:tc>
            </w:tr>
          </w:tbl>
          <w:p w14:paraId="0E9F6340">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bCs/>
                <w:color w:val="auto"/>
                <w:spacing w:val="-7"/>
                <w:sz w:val="24"/>
                <w:szCs w:val="24"/>
                <w:highlight w:val="none"/>
                <w:lang w:val="zh-CN" w:eastAsia="zh-CN"/>
              </w:rPr>
            </w:pPr>
            <w:r>
              <w:rPr>
                <w:rFonts w:hint="default" w:ascii="Times New Roman" w:hAnsi="Times New Roman" w:eastAsia="宋体" w:cs="Times New Roman"/>
                <w:b w:val="0"/>
                <w:bCs/>
                <w:color w:val="auto"/>
                <w:sz w:val="24"/>
                <w:highlight w:val="none"/>
                <w:lang w:val="zh-CN" w:eastAsia="zh-CN"/>
              </w:rPr>
              <w:t>综上，</w:t>
            </w:r>
            <w:r>
              <w:rPr>
                <w:rFonts w:hint="default" w:ascii="Times New Roman" w:hAnsi="Times New Roman" w:eastAsia="宋体" w:cs="Times New Roman"/>
                <w:b w:val="0"/>
                <w:bCs/>
                <w:color w:val="auto"/>
                <w:spacing w:val="-7"/>
                <w:sz w:val="24"/>
                <w:szCs w:val="24"/>
                <w:highlight w:val="none"/>
                <w:lang w:val="zh-CN" w:eastAsia="zh-CN"/>
              </w:rPr>
              <w:t>落实好预防管理的各项措施后，项目对地下水的影响较小。</w:t>
            </w:r>
          </w:p>
          <w:p w14:paraId="15240A4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、土壤环境</w:t>
            </w:r>
            <w:r>
              <w:rPr>
                <w:rFonts w:hint="default" w:ascii="Times New Roman" w:hAnsi="Times New Roman" w:eastAsia="宋体" w:cs="Times New Roman"/>
                <w:b/>
                <w:bCs/>
                <w:color w:val="auto"/>
                <w:sz w:val="24"/>
                <w:szCs w:val="24"/>
                <w:highlight w:val="none"/>
                <w:lang w:val="en-US" w:eastAsia="zh-CN"/>
              </w:rPr>
              <w:t>影响分析</w:t>
            </w:r>
          </w:p>
          <w:p w14:paraId="27944E05">
            <w:pPr>
              <w:pStyle w:val="6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项目对土壤</w:t>
            </w:r>
            <w:r>
              <w:rPr>
                <w:rFonts w:hint="default" w:ascii="Times New Roman" w:hAnsi="Times New Roman" w:eastAsia="宋体" w:cs="Times New Roman"/>
                <w:bCs/>
                <w:color w:val="auto"/>
                <w:sz w:val="24"/>
                <w:szCs w:val="24"/>
                <w:highlight w:val="none"/>
                <w:lang w:val="en-US" w:eastAsia="zh-CN"/>
              </w:rPr>
              <w:t>可能产生</w:t>
            </w:r>
            <w:r>
              <w:rPr>
                <w:rFonts w:hint="default" w:ascii="Times New Roman" w:hAnsi="Times New Roman" w:eastAsia="宋体" w:cs="Times New Roman"/>
                <w:bCs/>
                <w:color w:val="auto"/>
                <w:sz w:val="24"/>
                <w:szCs w:val="24"/>
                <w:highlight w:val="none"/>
                <w:lang w:val="zh-CN" w:eastAsia="zh-CN"/>
              </w:rPr>
              <w:t>污染的因子</w:t>
            </w:r>
            <w:r>
              <w:rPr>
                <w:rFonts w:hint="default" w:ascii="Times New Roman" w:hAnsi="Times New Roman" w:eastAsia="宋体" w:cs="Times New Roman"/>
                <w:bCs/>
                <w:color w:val="auto"/>
                <w:sz w:val="24"/>
                <w:szCs w:val="24"/>
                <w:highlight w:val="none"/>
                <w:lang w:val="en-US" w:eastAsia="zh-CN"/>
              </w:rPr>
              <w:t>主要</w:t>
            </w:r>
            <w:r>
              <w:rPr>
                <w:rFonts w:hint="default" w:ascii="Times New Roman" w:hAnsi="Times New Roman" w:eastAsia="宋体" w:cs="Times New Roman"/>
                <w:bCs/>
                <w:color w:val="auto"/>
                <w:sz w:val="24"/>
                <w:szCs w:val="24"/>
                <w:highlight w:val="none"/>
                <w:lang w:val="zh-CN" w:eastAsia="zh-CN"/>
              </w:rPr>
              <w:t>为</w:t>
            </w:r>
            <w:r>
              <w:rPr>
                <w:rFonts w:hint="eastAsia" w:ascii="Times New Roman" w:hAnsi="Times New Roman" w:eastAsia="宋体" w:cs="Times New Roman"/>
                <w:bCs/>
                <w:color w:val="auto"/>
                <w:sz w:val="24"/>
                <w:szCs w:val="24"/>
                <w:highlight w:val="none"/>
                <w:lang w:val="zh-CN" w:eastAsia="zh-CN"/>
              </w:rPr>
              <w:t>硫酸、盐酸、</w:t>
            </w:r>
            <w:r>
              <w:rPr>
                <w:rFonts w:hint="default" w:ascii="Times New Roman" w:hAnsi="Times New Roman" w:eastAsia="宋体" w:cs="Times New Roman"/>
                <w:bCs/>
                <w:color w:val="auto"/>
                <w:sz w:val="24"/>
                <w:szCs w:val="24"/>
                <w:highlight w:val="none"/>
                <w:lang w:val="zh-CN" w:eastAsia="zh-CN"/>
              </w:rPr>
              <w:t>石油烃（来自废机油）</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氟化物</w:t>
            </w:r>
            <w:r>
              <w:rPr>
                <w:rFonts w:hint="default" w:ascii="Times New Roman" w:hAnsi="Times New Roman" w:eastAsia="宋体" w:cs="Times New Roman"/>
                <w:bCs/>
                <w:color w:val="auto"/>
                <w:sz w:val="24"/>
                <w:szCs w:val="24"/>
                <w:highlight w:val="none"/>
                <w:lang w:val="zh-CN" w:eastAsia="zh-CN"/>
              </w:rPr>
              <w:t>，可能产生的污染途径为大气沉降、地面漫流、垂直入渗。</w:t>
            </w:r>
          </w:p>
          <w:p w14:paraId="71AAE577">
            <w:pPr>
              <w:pStyle w:val="9"/>
              <w:keepNext w:val="0"/>
              <w:keepLines w:val="0"/>
              <w:pageBreakBefore w:val="0"/>
              <w:widowControl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（1）大气沉降：本项目</w:t>
            </w:r>
            <w:r>
              <w:rPr>
                <w:rFonts w:hint="eastAsia" w:ascii="Times New Roman" w:hAnsi="Times New Roman" w:eastAsia="宋体" w:cs="Times New Roman"/>
                <w:bCs/>
                <w:color w:val="auto"/>
                <w:sz w:val="24"/>
                <w:szCs w:val="24"/>
                <w:highlight w:val="none"/>
                <w:lang w:val="en-US" w:eastAsia="zh-CN"/>
              </w:rPr>
              <w:t>产生的酸雾</w:t>
            </w:r>
            <w:r>
              <w:rPr>
                <w:rFonts w:hint="default" w:ascii="Times New Roman" w:hAnsi="Times New Roman" w:eastAsia="宋体" w:cs="Times New Roman"/>
                <w:bCs/>
                <w:color w:val="auto"/>
                <w:sz w:val="24"/>
                <w:szCs w:val="24"/>
                <w:highlight w:val="none"/>
                <w:lang w:val="zh-CN" w:eastAsia="zh-CN"/>
              </w:rPr>
              <w:t>经“</w:t>
            </w:r>
            <w:r>
              <w:rPr>
                <w:rFonts w:hint="eastAsia" w:ascii="Times New Roman" w:hAnsi="Times New Roman" w:eastAsia="宋体" w:cs="Times New Roman"/>
                <w:bCs/>
                <w:color w:val="auto"/>
                <w:sz w:val="24"/>
                <w:szCs w:val="24"/>
                <w:highlight w:val="none"/>
                <w:lang w:val="en-US" w:eastAsia="zh-CN"/>
              </w:rPr>
              <w:t>碱液喷淋洗涤塔</w:t>
            </w:r>
            <w:r>
              <w:rPr>
                <w:rFonts w:hint="default" w:ascii="Times New Roman" w:hAnsi="Times New Roman" w:eastAsia="宋体" w:cs="Times New Roman"/>
                <w:bCs/>
                <w:color w:val="auto"/>
                <w:sz w:val="24"/>
                <w:szCs w:val="24"/>
                <w:highlight w:val="none"/>
                <w:lang w:val="zh-CN" w:eastAsia="zh-CN"/>
              </w:rPr>
              <w:t>”处理后排放量较小，排放后沉降到土壤中富集造成土壤影响的可能性较小。</w:t>
            </w:r>
          </w:p>
          <w:p w14:paraId="3FB5CB13">
            <w:pPr>
              <w:pStyle w:val="9"/>
              <w:keepNext w:val="0"/>
              <w:keepLines w:val="0"/>
              <w:pageBreakBefore w:val="0"/>
              <w:widowControl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（2）地面漫流：若</w:t>
            </w:r>
            <w:r>
              <w:rPr>
                <w:rFonts w:hint="eastAsia" w:ascii="Times New Roman" w:hAnsi="Times New Roman" w:eastAsia="宋体" w:cs="Times New Roman"/>
                <w:bCs/>
                <w:color w:val="auto"/>
                <w:sz w:val="24"/>
                <w:szCs w:val="24"/>
                <w:highlight w:val="none"/>
                <w:lang w:val="zh-CN" w:eastAsia="zh-CN"/>
              </w:rPr>
              <w:t>危化品暂存容器、</w:t>
            </w:r>
            <w:r>
              <w:rPr>
                <w:rFonts w:hint="default" w:ascii="Times New Roman" w:hAnsi="Times New Roman" w:eastAsia="宋体" w:cs="Times New Roman"/>
                <w:bCs/>
                <w:color w:val="auto"/>
                <w:sz w:val="24"/>
                <w:szCs w:val="24"/>
                <w:highlight w:val="none"/>
                <w:lang w:val="zh-CN" w:eastAsia="zh-CN"/>
              </w:rPr>
              <w:t>危废暂存容器、</w:t>
            </w:r>
            <w:r>
              <w:rPr>
                <w:rFonts w:hint="default" w:ascii="Times New Roman" w:hAnsi="Times New Roman" w:eastAsia="宋体" w:cs="Times New Roman"/>
                <w:bCs/>
                <w:color w:val="auto"/>
                <w:sz w:val="24"/>
                <w:szCs w:val="24"/>
                <w:highlight w:val="none"/>
                <w:lang w:val="en-US" w:eastAsia="zh-CN"/>
              </w:rPr>
              <w:t>污水</w:t>
            </w:r>
            <w:r>
              <w:rPr>
                <w:rFonts w:hint="eastAsia" w:ascii="Times New Roman" w:hAnsi="Times New Roman" w:eastAsia="宋体" w:cs="Times New Roman"/>
                <w:bCs/>
                <w:color w:val="auto"/>
                <w:sz w:val="24"/>
                <w:szCs w:val="24"/>
                <w:highlight w:val="none"/>
                <w:lang w:val="en-US" w:eastAsia="zh-CN"/>
              </w:rPr>
              <w:t>收集</w:t>
            </w:r>
            <w:r>
              <w:rPr>
                <w:rFonts w:hint="default" w:ascii="Times New Roman" w:hAnsi="Times New Roman" w:eastAsia="宋体" w:cs="Times New Roman"/>
                <w:bCs/>
                <w:color w:val="auto"/>
                <w:sz w:val="24"/>
                <w:szCs w:val="24"/>
                <w:highlight w:val="none"/>
                <w:lang w:val="en-US" w:eastAsia="zh-CN"/>
              </w:rPr>
              <w:t>处理设施或生产设施等</w:t>
            </w:r>
            <w:r>
              <w:rPr>
                <w:rFonts w:hint="default" w:ascii="Times New Roman" w:hAnsi="Times New Roman" w:eastAsia="宋体" w:cs="Times New Roman"/>
                <w:bCs/>
                <w:color w:val="auto"/>
                <w:sz w:val="24"/>
                <w:szCs w:val="24"/>
                <w:highlight w:val="none"/>
                <w:lang w:val="zh-CN" w:eastAsia="zh-CN"/>
              </w:rPr>
              <w:t>出现破损，管道出现跑冒滴漏等事故，</w:t>
            </w:r>
            <w:r>
              <w:rPr>
                <w:rFonts w:hint="default" w:ascii="Times New Roman" w:hAnsi="Times New Roman" w:eastAsia="宋体" w:cs="Times New Roman"/>
                <w:bCs/>
                <w:color w:val="auto"/>
                <w:sz w:val="24"/>
                <w:szCs w:val="24"/>
                <w:highlight w:val="none"/>
                <w:lang w:val="en-US" w:eastAsia="zh-CN"/>
              </w:rPr>
              <w:t>物料</w:t>
            </w:r>
            <w:r>
              <w:rPr>
                <w:rFonts w:hint="default" w:ascii="Times New Roman" w:hAnsi="Times New Roman" w:eastAsia="宋体" w:cs="Times New Roman"/>
                <w:bCs/>
                <w:color w:val="auto"/>
                <w:sz w:val="24"/>
                <w:szCs w:val="24"/>
                <w:highlight w:val="none"/>
                <w:lang w:val="zh-CN" w:eastAsia="zh-CN"/>
              </w:rPr>
              <w:t>大量泄漏后，会发生地面漫流，对未防渗区域土壤造成影响。本项目在</w:t>
            </w:r>
            <w:r>
              <w:rPr>
                <w:rFonts w:hint="eastAsia" w:ascii="Times New Roman" w:hAnsi="Times New Roman" w:eastAsia="宋体" w:cs="Times New Roman"/>
                <w:bCs/>
                <w:color w:val="auto"/>
                <w:sz w:val="24"/>
                <w:szCs w:val="24"/>
                <w:highlight w:val="none"/>
                <w:lang w:val="zh-CN" w:eastAsia="zh-CN"/>
              </w:rPr>
              <w:t>危化品库和</w:t>
            </w:r>
            <w:r>
              <w:rPr>
                <w:rFonts w:hint="default" w:ascii="Times New Roman" w:hAnsi="Times New Roman" w:eastAsia="宋体" w:cs="Times New Roman"/>
                <w:bCs/>
                <w:color w:val="auto"/>
                <w:sz w:val="24"/>
                <w:szCs w:val="24"/>
                <w:highlight w:val="none"/>
                <w:lang w:val="zh-CN" w:eastAsia="zh-CN"/>
              </w:rPr>
              <w:t>危废暂存间按照要求设置围堰，发生事故后经过围堰截流，并立即响应处理，发生地面漫流的可能很小。管道</w:t>
            </w:r>
            <w:r>
              <w:rPr>
                <w:rFonts w:hint="eastAsia" w:ascii="Times New Roman" w:hAnsi="Times New Roman" w:eastAsia="宋体" w:cs="Times New Roman"/>
                <w:bCs/>
                <w:color w:val="auto"/>
                <w:sz w:val="24"/>
                <w:szCs w:val="24"/>
                <w:highlight w:val="none"/>
                <w:lang w:val="zh-CN" w:eastAsia="zh-CN"/>
              </w:rPr>
              <w:t>和池子</w:t>
            </w:r>
            <w:r>
              <w:rPr>
                <w:rFonts w:hint="default" w:ascii="Times New Roman" w:hAnsi="Times New Roman" w:eastAsia="宋体" w:cs="Times New Roman"/>
                <w:bCs/>
                <w:color w:val="auto"/>
                <w:sz w:val="24"/>
                <w:szCs w:val="24"/>
                <w:highlight w:val="none"/>
                <w:lang w:val="zh-CN" w:eastAsia="zh-CN"/>
              </w:rPr>
              <w:t>出现跑冒滴漏情况下，立即停止</w:t>
            </w:r>
            <w:r>
              <w:rPr>
                <w:rFonts w:hint="eastAsia" w:ascii="Times New Roman" w:hAnsi="Times New Roman" w:eastAsia="宋体" w:cs="Times New Roman"/>
                <w:bCs/>
                <w:color w:val="auto"/>
                <w:sz w:val="24"/>
                <w:szCs w:val="24"/>
                <w:highlight w:val="none"/>
                <w:lang w:val="zh-CN" w:eastAsia="zh-CN"/>
              </w:rPr>
              <w:t>运行</w:t>
            </w:r>
            <w:r>
              <w:rPr>
                <w:rFonts w:hint="default" w:ascii="Times New Roman" w:hAnsi="Times New Roman" w:eastAsia="宋体" w:cs="Times New Roman"/>
                <w:bCs/>
                <w:color w:val="auto"/>
                <w:sz w:val="24"/>
                <w:szCs w:val="24"/>
                <w:highlight w:val="none"/>
                <w:lang w:val="zh-CN" w:eastAsia="zh-CN"/>
              </w:rPr>
              <w:t>，开展检修，并及时采用密闭容器收集滴漏的油类、</w:t>
            </w:r>
            <w:r>
              <w:rPr>
                <w:rFonts w:hint="default" w:ascii="Times New Roman" w:hAnsi="Times New Roman" w:eastAsia="宋体" w:cs="Times New Roman"/>
                <w:bCs/>
                <w:color w:val="auto"/>
                <w:sz w:val="24"/>
                <w:szCs w:val="24"/>
                <w:highlight w:val="none"/>
                <w:lang w:val="en-US" w:eastAsia="zh-CN"/>
              </w:rPr>
              <w:t>物料</w:t>
            </w:r>
            <w:r>
              <w:rPr>
                <w:rFonts w:hint="eastAsia" w:ascii="Times New Roman" w:hAnsi="Times New Roman" w:eastAsia="宋体" w:cs="Times New Roman"/>
                <w:bCs/>
                <w:color w:val="auto"/>
                <w:sz w:val="24"/>
                <w:szCs w:val="24"/>
                <w:highlight w:val="none"/>
                <w:lang w:val="en-US" w:eastAsia="zh-CN"/>
              </w:rPr>
              <w:t>、废水</w:t>
            </w:r>
            <w:r>
              <w:rPr>
                <w:rFonts w:hint="default" w:ascii="Times New Roman" w:hAnsi="Times New Roman" w:eastAsia="宋体" w:cs="Times New Roman"/>
                <w:bCs/>
                <w:color w:val="auto"/>
                <w:sz w:val="24"/>
                <w:szCs w:val="24"/>
                <w:highlight w:val="none"/>
                <w:lang w:val="zh-CN" w:eastAsia="zh-CN"/>
              </w:rPr>
              <w:t>，采用毡布处理地面油类物质，得到有效处理后发生地面漫流的可能性较小。</w:t>
            </w:r>
          </w:p>
          <w:p w14:paraId="32332A27">
            <w:pPr>
              <w:pStyle w:val="9"/>
              <w:keepNext w:val="0"/>
              <w:keepLines w:val="0"/>
              <w:pageBreakBefore w:val="0"/>
              <w:widowControl w:val="0"/>
              <w:kinsoku/>
              <w:wordWrap/>
              <w:overflowPunct/>
              <w:topLinePunct w:val="0"/>
              <w:autoSpaceDE/>
              <w:autoSpaceDN/>
              <w:bidi w:val="0"/>
              <w:adjustRightInd/>
              <w:spacing w:before="0" w:after="0" w:line="360" w:lineRule="auto"/>
              <w:ind w:left="0" w:leftChars="0" w:right="0" w:firstLine="480" w:firstLineChars="200"/>
              <w:jc w:val="both"/>
              <w:textAlignment w:val="auto"/>
              <w:rPr>
                <w:color w:val="auto"/>
                <w:sz w:val="24"/>
                <w:highlight w:val="none"/>
              </w:rPr>
            </w:pPr>
            <w:r>
              <w:rPr>
                <w:rFonts w:hint="default" w:ascii="Times New Roman" w:hAnsi="Times New Roman" w:eastAsia="宋体" w:cs="Times New Roman"/>
                <w:bCs/>
                <w:color w:val="auto"/>
                <w:sz w:val="24"/>
                <w:szCs w:val="24"/>
                <w:highlight w:val="none"/>
                <w:lang w:val="zh-CN" w:eastAsia="zh-CN"/>
              </w:rPr>
              <w:t>（3）垂直入渗：项目</w:t>
            </w:r>
            <w:r>
              <w:rPr>
                <w:rFonts w:hint="eastAsia" w:ascii="Times New Roman" w:hAnsi="Times New Roman" w:eastAsia="宋体" w:cs="Times New Roman"/>
                <w:bCs/>
                <w:color w:val="auto"/>
                <w:sz w:val="24"/>
                <w:szCs w:val="24"/>
                <w:highlight w:val="none"/>
                <w:lang w:val="zh-CN" w:eastAsia="zh-CN"/>
              </w:rPr>
              <w:t>危化品库、</w:t>
            </w:r>
            <w:r>
              <w:rPr>
                <w:rFonts w:hint="default" w:ascii="Times New Roman" w:hAnsi="Times New Roman" w:eastAsia="宋体" w:cs="Times New Roman"/>
                <w:bCs/>
                <w:color w:val="auto"/>
                <w:sz w:val="24"/>
                <w:szCs w:val="24"/>
                <w:highlight w:val="none"/>
                <w:lang w:val="zh-CN" w:eastAsia="zh-CN"/>
              </w:rPr>
              <w:t>危废暂存间均按照重点防渗区进行防渗：</w:t>
            </w:r>
            <w:r>
              <w:rPr>
                <w:rFonts w:hint="default" w:ascii="Times New Roman" w:hAnsi="Times New Roman" w:eastAsia="宋体" w:cs="Times New Roman"/>
                <w:bCs/>
                <w:color w:val="auto"/>
                <w:sz w:val="24"/>
                <w:highlight w:val="none"/>
                <w:lang w:val="zh-CN" w:eastAsia="zh-CN"/>
              </w:rPr>
              <w:t>采用“抗渗混凝土+2mm厚HDPE膜+环氧树脂涂料”进行重点防渗，渗透系数≤10</w:t>
            </w:r>
            <w:r>
              <w:rPr>
                <w:rFonts w:hint="default" w:ascii="Times New Roman" w:hAnsi="Times New Roman" w:eastAsia="宋体" w:cs="Times New Roman"/>
                <w:bCs/>
                <w:color w:val="auto"/>
                <w:sz w:val="24"/>
                <w:highlight w:val="none"/>
                <w:vertAlign w:val="superscript"/>
                <w:lang w:val="zh-CN" w:eastAsia="zh-CN"/>
              </w:rPr>
              <w:t>-10</w:t>
            </w:r>
            <w:r>
              <w:rPr>
                <w:rFonts w:hint="default" w:ascii="Times New Roman" w:hAnsi="Times New Roman" w:eastAsia="宋体" w:cs="Times New Roman"/>
                <w:bCs/>
                <w:color w:val="auto"/>
                <w:sz w:val="24"/>
                <w:highlight w:val="none"/>
                <w:lang w:val="zh-CN" w:eastAsia="zh-CN"/>
              </w:rPr>
              <w:t>cm/s</w:t>
            </w:r>
            <w:r>
              <w:rPr>
                <w:rFonts w:hint="default" w:ascii="Times New Roman" w:hAnsi="Times New Roman" w:eastAsia="宋体" w:cs="Times New Roman"/>
                <w:bCs/>
                <w:color w:val="auto"/>
                <w:sz w:val="24"/>
                <w:szCs w:val="24"/>
                <w:highlight w:val="none"/>
                <w:lang w:val="zh-CN" w:eastAsia="zh-CN"/>
              </w:rPr>
              <w:t>。若发生容器泄漏后经过采取防渗措施，通过垂直入渗造成土壤污染的可能性较小；管道</w:t>
            </w:r>
            <w:r>
              <w:rPr>
                <w:rFonts w:hint="eastAsia" w:ascii="Times New Roman" w:hAnsi="Times New Roman" w:eastAsia="宋体" w:cs="Times New Roman"/>
                <w:bCs/>
                <w:color w:val="auto"/>
                <w:sz w:val="24"/>
                <w:szCs w:val="24"/>
                <w:highlight w:val="none"/>
                <w:lang w:val="zh-CN" w:eastAsia="zh-CN"/>
              </w:rPr>
              <w:t>和池子</w:t>
            </w:r>
            <w:r>
              <w:rPr>
                <w:rFonts w:hint="default" w:ascii="Times New Roman" w:hAnsi="Times New Roman" w:eastAsia="宋体" w:cs="Times New Roman"/>
                <w:bCs/>
                <w:color w:val="auto"/>
                <w:sz w:val="24"/>
                <w:szCs w:val="24"/>
                <w:highlight w:val="none"/>
                <w:lang w:val="zh-CN" w:eastAsia="zh-CN"/>
              </w:rPr>
              <w:t>出现跑冒滴漏情况下，立即停止</w:t>
            </w:r>
            <w:r>
              <w:rPr>
                <w:rFonts w:hint="eastAsia" w:ascii="Times New Roman" w:hAnsi="Times New Roman" w:eastAsia="宋体" w:cs="Times New Roman"/>
                <w:bCs/>
                <w:color w:val="auto"/>
                <w:sz w:val="24"/>
                <w:szCs w:val="24"/>
                <w:highlight w:val="none"/>
                <w:lang w:val="zh-CN" w:eastAsia="zh-CN"/>
              </w:rPr>
              <w:t>运行</w:t>
            </w:r>
            <w:r>
              <w:rPr>
                <w:rFonts w:hint="default" w:ascii="Times New Roman" w:hAnsi="Times New Roman" w:eastAsia="宋体" w:cs="Times New Roman"/>
                <w:bCs/>
                <w:color w:val="auto"/>
                <w:sz w:val="24"/>
                <w:szCs w:val="24"/>
                <w:highlight w:val="none"/>
                <w:lang w:val="zh-CN" w:eastAsia="zh-CN"/>
              </w:rPr>
              <w:t>，开展检修，并及时采用密闭容器收集滴漏的油类、</w:t>
            </w:r>
            <w:r>
              <w:rPr>
                <w:rFonts w:hint="default" w:ascii="Times New Roman" w:hAnsi="Times New Roman" w:eastAsia="宋体" w:cs="Times New Roman"/>
                <w:bCs/>
                <w:color w:val="auto"/>
                <w:sz w:val="24"/>
                <w:szCs w:val="24"/>
                <w:highlight w:val="none"/>
                <w:lang w:val="en-US" w:eastAsia="zh-CN"/>
              </w:rPr>
              <w:t>物料</w:t>
            </w:r>
            <w:r>
              <w:rPr>
                <w:rFonts w:hint="eastAsia" w:ascii="Times New Roman" w:hAnsi="Times New Roman" w:eastAsia="宋体" w:cs="Times New Roman"/>
                <w:bCs/>
                <w:color w:val="auto"/>
                <w:sz w:val="24"/>
                <w:szCs w:val="24"/>
                <w:highlight w:val="none"/>
                <w:lang w:val="en-US" w:eastAsia="zh-CN"/>
              </w:rPr>
              <w:t>和废水</w:t>
            </w:r>
            <w:r>
              <w:rPr>
                <w:rFonts w:hint="default" w:ascii="Times New Roman" w:hAnsi="Times New Roman" w:eastAsia="宋体" w:cs="Times New Roman"/>
                <w:bCs/>
                <w:color w:val="auto"/>
                <w:sz w:val="24"/>
                <w:szCs w:val="24"/>
                <w:highlight w:val="none"/>
                <w:lang w:val="zh-CN" w:eastAsia="zh-CN"/>
              </w:rPr>
              <w:t>，采用毡布处理地面油类物质，禁止地面有积油，且生产区采取水泥混</w:t>
            </w:r>
            <w:r>
              <w:rPr>
                <w:rFonts w:hint="eastAsia" w:cs="Times New Roman"/>
                <w:bCs/>
                <w:color w:val="auto"/>
                <w:sz w:val="24"/>
                <w:szCs w:val="24"/>
                <w:highlight w:val="none"/>
                <w:lang w:val="zh-CN" w:eastAsia="zh-CN"/>
              </w:rPr>
              <w:t>凝</w:t>
            </w:r>
            <w:r>
              <w:rPr>
                <w:rFonts w:hint="default" w:ascii="Times New Roman" w:hAnsi="Times New Roman" w:eastAsia="宋体" w:cs="Times New Roman"/>
                <w:bCs/>
                <w:color w:val="auto"/>
                <w:sz w:val="24"/>
                <w:szCs w:val="24"/>
                <w:highlight w:val="none"/>
                <w:lang w:val="zh-CN" w:eastAsia="zh-CN"/>
              </w:rPr>
              <w:t>土地面硬化，因此发生垂直入渗造成土壤污染的可能性较小。</w:t>
            </w:r>
          </w:p>
          <w:p w14:paraId="190E264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由于土壤污染具有隐蔽性、滞后性、累积性和不可逆性等特点，土壤污染防治措施按照“源头控制、过程防控、</w:t>
            </w:r>
            <w:r>
              <w:rPr>
                <w:rFonts w:hint="default" w:ascii="Times New Roman" w:hAnsi="Times New Roman" w:cs="Times New Roman"/>
                <w:color w:val="auto"/>
                <w:sz w:val="24"/>
                <w:highlight w:val="none"/>
                <w:lang w:val="zh-CN"/>
              </w:rPr>
              <w:t>末端控制</w:t>
            </w:r>
            <w:r>
              <w:rPr>
                <w:rFonts w:hint="default" w:ascii="Times New Roman" w:hAnsi="Times New Roman" w:cs="Times New Roman"/>
                <w:color w:val="auto"/>
                <w:sz w:val="24"/>
                <w:highlight w:val="none"/>
              </w:rPr>
              <w:t>”相结合的原则，从污染物的产生、入渗、扩散、应急响应进行控制。</w:t>
            </w:r>
          </w:p>
          <w:p w14:paraId="5507D63A">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（1）源头控制措施</w:t>
            </w:r>
          </w:p>
          <w:p w14:paraId="3188AA17">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从原料储存、装卸、运输、生产过程、污染处理装置等全过程控制各种有毒有害原辅材料（含跑、冒、滴、漏），同时对有害物质可能泄漏到地面的区域采取防渗措施，阻止其进入土壤中，即从源头到末端全方位采取控制措施，防止项目的建设对土壤造成污染。</w:t>
            </w:r>
          </w:p>
          <w:p w14:paraId="2BB0FC96">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保证废气处理措施运行良好，加强对废气处理设施的维护和管理，保证排放的</w:t>
            </w:r>
            <w:r>
              <w:rPr>
                <w:rFonts w:hint="eastAsia"/>
                <w:color w:val="auto"/>
                <w:sz w:val="24"/>
                <w:szCs w:val="28"/>
                <w:highlight w:val="none"/>
                <w:lang w:eastAsia="zh-CN"/>
              </w:rPr>
              <w:t>废气</w:t>
            </w:r>
            <w:r>
              <w:rPr>
                <w:rFonts w:hint="eastAsia"/>
                <w:color w:val="auto"/>
                <w:sz w:val="24"/>
                <w:szCs w:val="28"/>
                <w:highlight w:val="none"/>
              </w:rPr>
              <w:t>达标排放，降低其大气沉降对土壤的影响。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35D20798">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（2）过程控制措施</w:t>
            </w:r>
          </w:p>
          <w:p w14:paraId="58CE2EEA">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从大气沉降、地面漫流、垂直入渗三个途径分别进行控制。</w:t>
            </w:r>
          </w:p>
          <w:p w14:paraId="1861710C">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1）大气沉降污染途径治理措施及效果</w:t>
            </w:r>
          </w:p>
          <w:p w14:paraId="341676E4">
            <w:pPr>
              <w:adjustRightInd w:val="0"/>
              <w:snapToGrid w:val="0"/>
              <w:spacing w:line="360" w:lineRule="auto"/>
              <w:ind w:firstLine="480" w:firstLineChars="200"/>
              <w:jc w:val="left"/>
              <w:rPr>
                <w:color w:val="auto"/>
                <w:sz w:val="24"/>
                <w:szCs w:val="28"/>
                <w:highlight w:val="none"/>
              </w:rPr>
            </w:pPr>
            <w:r>
              <w:rPr>
                <w:rFonts w:hint="eastAsia"/>
                <w:color w:val="auto"/>
                <w:sz w:val="24"/>
                <w:highlight w:val="none"/>
                <w:lang w:eastAsia="zh-CN"/>
              </w:rPr>
              <w:t>项目产生的</w:t>
            </w:r>
            <w:r>
              <w:rPr>
                <w:rFonts w:hint="eastAsia"/>
                <w:color w:val="auto"/>
                <w:sz w:val="24"/>
                <w:highlight w:val="none"/>
              </w:rPr>
              <w:t>废气拟采取</w:t>
            </w:r>
            <w:r>
              <w:rPr>
                <w:rFonts w:hint="eastAsia"/>
                <w:color w:val="auto"/>
                <w:sz w:val="24"/>
                <w:szCs w:val="28"/>
                <w:highlight w:val="none"/>
              </w:rPr>
              <w:t>“</w:t>
            </w:r>
            <w:r>
              <w:rPr>
                <w:rFonts w:hint="eastAsia"/>
                <w:color w:val="auto"/>
                <w:sz w:val="24"/>
                <w:szCs w:val="28"/>
                <w:highlight w:val="none"/>
                <w:lang w:eastAsia="zh-CN"/>
              </w:rPr>
              <w:t>碱液喷淋洗涤塔</w:t>
            </w:r>
            <w:r>
              <w:rPr>
                <w:rFonts w:hint="eastAsia"/>
                <w:color w:val="auto"/>
                <w:sz w:val="24"/>
                <w:szCs w:val="28"/>
                <w:highlight w:val="none"/>
              </w:rPr>
              <w:t>”处理后经15m</w:t>
            </w:r>
            <w:r>
              <w:rPr>
                <w:rFonts w:hint="eastAsia"/>
                <w:color w:val="auto"/>
                <w:sz w:val="24"/>
                <w:szCs w:val="28"/>
                <w:highlight w:val="none"/>
                <w:lang w:eastAsia="zh-CN"/>
              </w:rPr>
              <w:t>高</w:t>
            </w:r>
            <w:r>
              <w:rPr>
                <w:rFonts w:hint="eastAsia"/>
                <w:color w:val="auto"/>
                <w:sz w:val="24"/>
                <w:szCs w:val="28"/>
                <w:highlight w:val="none"/>
              </w:rPr>
              <w:t>排气筒排放。在运营过程中加强对废气处理设施的维护和管理，确保污染物达标排放。</w:t>
            </w:r>
          </w:p>
          <w:p w14:paraId="76CD7916">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2）地面</w:t>
            </w:r>
            <w:r>
              <w:rPr>
                <w:rFonts w:hint="eastAsia"/>
                <w:color w:val="auto"/>
                <w:sz w:val="24"/>
                <w:szCs w:val="28"/>
                <w:highlight w:val="none"/>
                <w:lang w:eastAsia="zh-CN"/>
              </w:rPr>
              <w:t>径流</w:t>
            </w:r>
            <w:r>
              <w:rPr>
                <w:rFonts w:hint="eastAsia"/>
                <w:color w:val="auto"/>
                <w:sz w:val="24"/>
                <w:szCs w:val="28"/>
                <w:highlight w:val="none"/>
              </w:rPr>
              <w:t>污染途径治理措施及效果</w:t>
            </w:r>
          </w:p>
          <w:p w14:paraId="7B44B258">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对于项目事故状态的废水，必须保证在未经处理满足要求的前提下不得流出厂界。项目须贯彻“围、追、堵、截”的原则，采取多级防护措施，确保事故废水未经处理不得排出厂界。</w:t>
            </w:r>
          </w:p>
          <w:p w14:paraId="7A713B44">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项目</w:t>
            </w:r>
            <w:r>
              <w:rPr>
                <w:rFonts w:hint="eastAsia"/>
                <w:color w:val="auto"/>
                <w:sz w:val="24"/>
                <w:szCs w:val="28"/>
                <w:highlight w:val="none"/>
                <w:lang w:eastAsia="zh-CN"/>
              </w:rPr>
              <w:t>拟</w:t>
            </w:r>
            <w:r>
              <w:rPr>
                <w:rFonts w:hint="eastAsia"/>
                <w:color w:val="auto"/>
                <w:sz w:val="24"/>
                <w:szCs w:val="28"/>
                <w:highlight w:val="none"/>
              </w:rPr>
              <w:t>设置一个</w:t>
            </w:r>
            <w:r>
              <w:rPr>
                <w:rFonts w:hint="eastAsia"/>
                <w:color w:val="auto"/>
                <w:sz w:val="24"/>
                <w:highlight w:val="none"/>
                <w:lang w:eastAsia="zh-CN"/>
              </w:rPr>
              <w:t>事故应急</w:t>
            </w:r>
            <w:r>
              <w:rPr>
                <w:color w:val="auto"/>
                <w:sz w:val="24"/>
                <w:highlight w:val="none"/>
              </w:rPr>
              <w:t>池</w:t>
            </w:r>
            <w:r>
              <w:rPr>
                <w:rFonts w:hint="eastAsia"/>
                <w:color w:val="auto"/>
                <w:sz w:val="24"/>
                <w:szCs w:val="28"/>
                <w:highlight w:val="none"/>
              </w:rPr>
              <w:t>，并通过管道接至</w:t>
            </w:r>
            <w:r>
              <w:rPr>
                <w:rFonts w:hint="eastAsia"/>
                <w:color w:val="auto"/>
                <w:sz w:val="24"/>
                <w:szCs w:val="28"/>
                <w:highlight w:val="none"/>
                <w:lang w:eastAsia="zh-CN"/>
              </w:rPr>
              <w:t>生产废水处理系统。危化品库、危废暂存间</w:t>
            </w:r>
            <w:r>
              <w:rPr>
                <w:rFonts w:hint="eastAsia"/>
                <w:color w:val="auto"/>
                <w:sz w:val="24"/>
                <w:szCs w:val="28"/>
                <w:highlight w:val="none"/>
              </w:rPr>
              <w:t>设置围堰，</w:t>
            </w:r>
            <w:r>
              <w:rPr>
                <w:rFonts w:hint="eastAsia"/>
                <w:color w:val="auto"/>
                <w:sz w:val="24"/>
                <w:szCs w:val="28"/>
                <w:highlight w:val="none"/>
                <w:lang w:eastAsia="zh-CN"/>
              </w:rPr>
              <w:t>防止危化品及危险废物泄露至厂区外</w:t>
            </w:r>
            <w:r>
              <w:rPr>
                <w:rFonts w:hint="eastAsia"/>
                <w:color w:val="auto"/>
                <w:sz w:val="24"/>
                <w:szCs w:val="28"/>
                <w:highlight w:val="none"/>
              </w:rPr>
              <w:t>。加强对项目</w:t>
            </w:r>
            <w:r>
              <w:rPr>
                <w:rFonts w:hint="eastAsia"/>
                <w:color w:val="auto"/>
                <w:sz w:val="24"/>
                <w:szCs w:val="28"/>
                <w:highlight w:val="none"/>
                <w:lang w:eastAsia="zh-CN"/>
              </w:rPr>
              <w:t>废水收集</w:t>
            </w:r>
            <w:r>
              <w:rPr>
                <w:rFonts w:hint="eastAsia"/>
                <w:color w:val="auto"/>
                <w:sz w:val="24"/>
                <w:szCs w:val="28"/>
                <w:highlight w:val="none"/>
              </w:rPr>
              <w:t>处理</w:t>
            </w:r>
            <w:r>
              <w:rPr>
                <w:rFonts w:hint="eastAsia"/>
                <w:color w:val="auto"/>
                <w:sz w:val="24"/>
                <w:szCs w:val="28"/>
                <w:highlight w:val="none"/>
                <w:lang w:eastAsia="zh-CN"/>
              </w:rPr>
              <w:t>设施</w:t>
            </w:r>
            <w:r>
              <w:rPr>
                <w:rFonts w:hint="eastAsia"/>
                <w:color w:val="auto"/>
                <w:sz w:val="24"/>
                <w:szCs w:val="28"/>
                <w:highlight w:val="none"/>
              </w:rPr>
              <w:t>（</w:t>
            </w:r>
            <w:r>
              <w:rPr>
                <w:rFonts w:hint="eastAsia"/>
                <w:color w:val="auto"/>
                <w:sz w:val="24"/>
                <w:szCs w:val="28"/>
                <w:highlight w:val="none"/>
                <w:lang w:eastAsia="zh-CN"/>
              </w:rPr>
              <w:t>调节池、</w:t>
            </w:r>
            <w:r>
              <w:rPr>
                <w:rFonts w:hint="eastAsia"/>
                <w:color w:val="auto"/>
                <w:sz w:val="24"/>
                <w:szCs w:val="28"/>
                <w:highlight w:val="none"/>
                <w:lang w:val="en-US" w:eastAsia="zh-CN"/>
              </w:rPr>
              <w:t>事故应急池、隔油池、</w:t>
            </w:r>
            <w:r>
              <w:rPr>
                <w:rFonts w:hint="eastAsia"/>
                <w:color w:val="auto"/>
                <w:sz w:val="24"/>
                <w:szCs w:val="28"/>
                <w:highlight w:val="none"/>
              </w:rPr>
              <w:t>化粪池、</w:t>
            </w:r>
            <w:r>
              <w:rPr>
                <w:rFonts w:hint="eastAsia"/>
                <w:color w:val="auto"/>
                <w:sz w:val="24"/>
                <w:szCs w:val="28"/>
                <w:highlight w:val="none"/>
                <w:lang w:eastAsia="zh-CN"/>
              </w:rPr>
              <w:t>污水处理</w:t>
            </w:r>
            <w:r>
              <w:rPr>
                <w:rFonts w:hint="eastAsia"/>
                <w:color w:val="auto"/>
                <w:sz w:val="24"/>
                <w:szCs w:val="28"/>
                <w:highlight w:val="none"/>
              </w:rPr>
              <w:t>设备）的管理，杜绝事故排放，此外，一旦发现土壤污染事故，立即启动应急预案、采取应急措施控制土壤污染，并使污染得到治理。</w:t>
            </w:r>
          </w:p>
          <w:p w14:paraId="361B5C66">
            <w:pPr>
              <w:adjustRightInd w:val="0"/>
              <w:snapToGrid w:val="0"/>
              <w:spacing w:line="360" w:lineRule="auto"/>
              <w:ind w:firstLine="480" w:firstLineChars="200"/>
              <w:jc w:val="left"/>
              <w:rPr>
                <w:color w:val="auto"/>
                <w:sz w:val="24"/>
                <w:szCs w:val="28"/>
                <w:highlight w:val="none"/>
              </w:rPr>
            </w:pPr>
            <w:r>
              <w:rPr>
                <w:rFonts w:hint="eastAsia"/>
                <w:color w:val="auto"/>
                <w:sz w:val="24"/>
                <w:szCs w:val="28"/>
                <w:highlight w:val="none"/>
              </w:rPr>
              <w:t>3）垂直入渗污染途径治理措施及效果</w:t>
            </w:r>
          </w:p>
          <w:p w14:paraId="7331BB64">
            <w:pPr>
              <w:adjustRightInd w:val="0"/>
              <w:snapToGrid w:val="0"/>
              <w:spacing w:line="360" w:lineRule="auto"/>
              <w:ind w:firstLine="480" w:firstLineChars="200"/>
              <w:jc w:val="left"/>
              <w:rPr>
                <w:color w:val="auto"/>
                <w:sz w:val="24"/>
                <w:highlight w:val="none"/>
              </w:rPr>
            </w:pPr>
            <w:r>
              <w:rPr>
                <w:rFonts w:hint="eastAsia"/>
                <w:color w:val="auto"/>
                <w:sz w:val="24"/>
                <w:szCs w:val="28"/>
                <w:highlight w:val="none"/>
              </w:rPr>
              <w:t>严格落实地下水防渗分区措施，企业在运营过程中加强管理，在采取相应的防渗措施情形下，可有效</w:t>
            </w:r>
            <w:r>
              <w:rPr>
                <w:rFonts w:hint="eastAsia"/>
                <w:color w:val="auto"/>
                <w:sz w:val="24"/>
                <w:szCs w:val="28"/>
                <w:highlight w:val="none"/>
                <w:lang w:eastAsia="zh-CN"/>
              </w:rPr>
              <w:t>防止危化品库、</w:t>
            </w:r>
            <w:r>
              <w:rPr>
                <w:rFonts w:hint="eastAsia"/>
                <w:color w:val="auto"/>
                <w:sz w:val="24"/>
                <w:szCs w:val="28"/>
                <w:highlight w:val="none"/>
              </w:rPr>
              <w:t>危险废物暂存间和生产过程中因物料泄漏造成对区域土壤环境的污染。</w:t>
            </w:r>
          </w:p>
          <w:p w14:paraId="79418C4F">
            <w:pPr>
              <w:pStyle w:val="5"/>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zh-CN" w:eastAsia="zh-CN"/>
              </w:rPr>
            </w:pPr>
            <w:r>
              <w:rPr>
                <w:rFonts w:hint="eastAsia" w:ascii="Times New Roman" w:hAnsi="Times New Roman" w:eastAsia="宋体" w:cs="Times New Roman"/>
                <w:color w:val="auto"/>
                <w:sz w:val="24"/>
                <w:highlight w:val="none"/>
                <w:lang w:val="zh-CN" w:eastAsia="zh-CN"/>
              </w:rPr>
              <w:t>综上分析，通过</w:t>
            </w:r>
            <w:r>
              <w:rPr>
                <w:rFonts w:hint="eastAsia" w:ascii="Times New Roman" w:hAnsi="Times New Roman" w:eastAsia="宋体" w:cs="Times New Roman"/>
                <w:color w:val="auto"/>
                <w:sz w:val="24"/>
                <w:szCs w:val="24"/>
                <w:highlight w:val="none"/>
                <w:lang w:val="zh-CN"/>
              </w:rPr>
              <w:t>采取相应措施后</w:t>
            </w:r>
            <w:r>
              <w:rPr>
                <w:rFonts w:hint="eastAsia"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lang w:val="zh-CN"/>
              </w:rPr>
              <w:t>从源头上控制项目对土壤环境的污染</w:t>
            </w:r>
            <w:r>
              <w:rPr>
                <w:rFonts w:hint="eastAsia"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lang w:val="zh-CN" w:eastAsia="zh-CN"/>
              </w:rPr>
              <w:t>项目对区域土壤环境影响是可接受的。</w:t>
            </w:r>
          </w:p>
          <w:p w14:paraId="55B879D4">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ascii="Times New Roman" w:hAnsi="Times New Roman" w:eastAsia="宋体"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7</w:t>
            </w:r>
            <w:r>
              <w:rPr>
                <w:rFonts w:hint="eastAsia" w:ascii="Times New Roman" w:hAnsi="Times New Roman" w:eastAsia="宋体" w:cs="Times New Roman"/>
                <w:b/>
                <w:bCs/>
                <w:color w:val="auto"/>
                <w:sz w:val="24"/>
                <w:szCs w:val="28"/>
                <w:highlight w:val="none"/>
                <w:lang w:val="en-US" w:eastAsia="zh-CN"/>
              </w:rPr>
              <w:t>、环境风险评价</w:t>
            </w:r>
          </w:p>
          <w:p w14:paraId="187462F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Cs/>
                <w:color w:val="auto"/>
                <w:kern w:val="0"/>
                <w:sz w:val="24"/>
                <w:highlight w:val="none"/>
              </w:rPr>
            </w:pPr>
            <w:r>
              <w:rPr>
                <w:rFonts w:hint="eastAsia" w:ascii="Times New Roman" w:hAnsi="Times New Roman" w:eastAsia="宋体" w:cs="Times New Roman"/>
                <w:b/>
                <w:bCs/>
                <w:color w:val="auto"/>
                <w:kern w:val="0"/>
                <w:sz w:val="24"/>
                <w:highlight w:val="none"/>
                <w:lang w:eastAsia="zh-CN"/>
              </w:rPr>
              <w:t>（</w:t>
            </w:r>
            <w:r>
              <w:rPr>
                <w:rFonts w:hint="eastAsia" w:ascii="Times New Roman" w:hAnsi="Times New Roman" w:eastAsia="宋体" w:cs="Times New Roman"/>
                <w:b/>
                <w:bCs/>
                <w:color w:val="auto"/>
                <w:kern w:val="0"/>
                <w:sz w:val="24"/>
                <w:highlight w:val="none"/>
                <w:lang w:val="en-US" w:eastAsia="zh-CN"/>
              </w:rPr>
              <w:t>1</w:t>
            </w:r>
            <w:r>
              <w:rPr>
                <w:rFonts w:hint="eastAsia"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rPr>
              <w:t>环境风险评价目的和评价内容</w:t>
            </w:r>
          </w:p>
          <w:p w14:paraId="493C1F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环境风险评价目的是分析和预测建设项目存在的潜在危险、有害因素，项目建设期和运营期可能发生的突发性事件或事故（一般不包括人为破坏及自然灾害），引起有毒有害和易燃易爆等物质泄漏，所造成的人身安全与环境影响和损害程度，提出合理可行的防范、应急与减缓措施，以使建设项目事故率、损失和环境影响程度达到可接受水平。</w:t>
            </w:r>
          </w:p>
          <w:p w14:paraId="2BC57D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根据《建设项目环境风险评价技术导则》（HJ/T169-2018），本次风险评价的主要内容是：通过分析项目涉及主要物质的危险性，识别主要危险单元、进行环境风险潜势初判，找出风险事故原因及其对环境产生的影响，最后提出风险防范措施和应急预案。</w:t>
            </w:r>
          </w:p>
          <w:p w14:paraId="380057C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lang w:eastAsia="zh-CN"/>
              </w:rPr>
              <w:t>（</w:t>
            </w:r>
            <w:r>
              <w:rPr>
                <w:rFonts w:hint="eastAsia" w:ascii="Times New Roman" w:hAnsi="Times New Roman" w:eastAsia="宋体" w:cs="Times New Roman"/>
                <w:b/>
                <w:bCs/>
                <w:color w:val="auto"/>
                <w:kern w:val="0"/>
                <w:sz w:val="24"/>
                <w:highlight w:val="none"/>
                <w:lang w:val="en-US" w:eastAsia="zh-CN"/>
              </w:rPr>
              <w:t>2</w:t>
            </w:r>
            <w:r>
              <w:rPr>
                <w:rFonts w:hint="eastAsia"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rPr>
              <w:t>环境风险潜势初判</w:t>
            </w:r>
          </w:p>
          <w:p w14:paraId="4FFD5C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根据项目涉及的物质和工艺系统的危险性及其所在地的环境敏感程度，结合事故情形下环境影响途径，对项目潜在环境危害程度进行概化分析，项目环境风险潜势划分按照下表进行。</w:t>
            </w:r>
          </w:p>
          <w:p w14:paraId="5D087E39">
            <w:pPr>
              <w:adjustRightInd w:val="0"/>
              <w:snapToGrid w:val="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w:t>
            </w:r>
            <w:r>
              <w:rPr>
                <w:rFonts w:hint="eastAsia" w:ascii="Times New Roman" w:hAnsi="Times New Roman" w:eastAsia="宋体" w:cs="Times New Roman"/>
                <w:b/>
                <w:color w:val="auto"/>
                <w:highlight w:val="none"/>
                <w:lang w:val="en-US" w:eastAsia="zh-CN"/>
              </w:rPr>
              <w:t>4-</w:t>
            </w:r>
            <w:r>
              <w:rPr>
                <w:rFonts w:hint="eastAsia" w:cs="Times New Roman"/>
                <w:b/>
                <w:color w:val="auto"/>
                <w:highlight w:val="none"/>
                <w:lang w:val="en-US" w:eastAsia="zh-CN"/>
              </w:rPr>
              <w:t>21</w:t>
            </w:r>
            <w:r>
              <w:rPr>
                <w:rFonts w:hint="default" w:ascii="Times New Roman" w:hAnsi="Times New Roman" w:eastAsia="宋体" w:cs="Times New Roman"/>
                <w:b/>
                <w:color w:val="auto"/>
                <w:highlight w:val="none"/>
              </w:rPr>
              <w:t xml:space="preserve"> </w:t>
            </w:r>
            <w:r>
              <w:rPr>
                <w:rFonts w:hint="eastAsia" w:ascii="Times New Roman" w:hAns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建设项目环境风险潜势划分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1569"/>
              <w:gridCol w:w="1570"/>
              <w:gridCol w:w="1514"/>
              <w:gridCol w:w="1586"/>
            </w:tblGrid>
            <w:tr w14:paraId="0D10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vMerge w:val="restart"/>
                  <w:noWrap w:val="0"/>
                  <w:vAlign w:val="center"/>
                </w:tcPr>
                <w:p w14:paraId="01882D9B">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环境敏感程度（E）</w:t>
                  </w:r>
                </w:p>
              </w:tc>
              <w:tc>
                <w:tcPr>
                  <w:tcW w:w="6239" w:type="dxa"/>
                  <w:gridSpan w:val="4"/>
                  <w:noWrap w:val="0"/>
                  <w:vAlign w:val="center"/>
                </w:tcPr>
                <w:p w14:paraId="75AE51A1">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危险物质及工艺系统危险性（P）</w:t>
                  </w:r>
                </w:p>
              </w:tc>
            </w:tr>
            <w:tr w14:paraId="579E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vMerge w:val="continue"/>
                  <w:noWrap w:val="0"/>
                  <w:vAlign w:val="center"/>
                </w:tcPr>
                <w:p w14:paraId="11B6F8D1">
                  <w:pPr>
                    <w:adjustRightInd w:val="0"/>
                    <w:snapToGrid w:val="0"/>
                    <w:jc w:val="center"/>
                    <w:rPr>
                      <w:rFonts w:hint="default" w:ascii="Times New Roman" w:hAnsi="Times New Roman" w:eastAsia="宋体" w:cs="Times New Roman"/>
                      <w:b/>
                      <w:color w:val="auto"/>
                      <w:kern w:val="0"/>
                      <w:sz w:val="21"/>
                      <w:szCs w:val="21"/>
                      <w:highlight w:val="none"/>
                    </w:rPr>
                  </w:pPr>
                </w:p>
              </w:tc>
              <w:tc>
                <w:tcPr>
                  <w:tcW w:w="1569" w:type="dxa"/>
                  <w:noWrap w:val="0"/>
                  <w:vAlign w:val="center"/>
                </w:tcPr>
                <w:p w14:paraId="1D0B34DB">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极高危害（P1）</w:t>
                  </w:r>
                </w:p>
              </w:tc>
              <w:tc>
                <w:tcPr>
                  <w:tcW w:w="1570" w:type="dxa"/>
                  <w:noWrap w:val="0"/>
                  <w:vAlign w:val="center"/>
                </w:tcPr>
                <w:p w14:paraId="0D2B1094">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高度危害（P2）</w:t>
                  </w:r>
                </w:p>
              </w:tc>
              <w:tc>
                <w:tcPr>
                  <w:tcW w:w="1514" w:type="dxa"/>
                  <w:noWrap w:val="0"/>
                  <w:vAlign w:val="center"/>
                </w:tcPr>
                <w:p w14:paraId="7FEE4D19">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中度危害（P3）</w:t>
                  </w:r>
                </w:p>
              </w:tc>
              <w:tc>
                <w:tcPr>
                  <w:tcW w:w="1586" w:type="dxa"/>
                  <w:noWrap w:val="0"/>
                  <w:vAlign w:val="center"/>
                </w:tcPr>
                <w:p w14:paraId="321B2A87">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轻度危害（P4）</w:t>
                  </w:r>
                </w:p>
              </w:tc>
            </w:tr>
            <w:tr w14:paraId="16DC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noWrap w:val="0"/>
                  <w:vAlign w:val="center"/>
                </w:tcPr>
                <w:p w14:paraId="3DBE767C">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环境高度敏感区（E1）</w:t>
                  </w:r>
                </w:p>
              </w:tc>
              <w:tc>
                <w:tcPr>
                  <w:tcW w:w="1569" w:type="dxa"/>
                  <w:noWrap w:val="0"/>
                  <w:vAlign w:val="center"/>
                </w:tcPr>
                <w:p w14:paraId="107801FC">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Ⅳ</w:t>
                  </w:r>
                  <w:r>
                    <w:rPr>
                      <w:rFonts w:hint="default" w:ascii="Times New Roman" w:hAnsi="Times New Roman" w:eastAsia="宋体" w:cs="Times New Roman"/>
                      <w:bCs/>
                      <w:color w:val="auto"/>
                      <w:kern w:val="0"/>
                      <w:sz w:val="21"/>
                      <w:szCs w:val="21"/>
                      <w:highlight w:val="none"/>
                      <w:vertAlign w:val="superscript"/>
                    </w:rPr>
                    <w:t>+</w:t>
                  </w:r>
                </w:p>
              </w:tc>
              <w:tc>
                <w:tcPr>
                  <w:tcW w:w="1570" w:type="dxa"/>
                  <w:noWrap w:val="0"/>
                  <w:vAlign w:val="center"/>
                </w:tcPr>
                <w:p w14:paraId="256D01E9">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Ⅳ</w:t>
                  </w:r>
                </w:p>
              </w:tc>
              <w:tc>
                <w:tcPr>
                  <w:tcW w:w="1514" w:type="dxa"/>
                  <w:noWrap w:val="0"/>
                  <w:vAlign w:val="center"/>
                </w:tcPr>
                <w:p w14:paraId="4620E173">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Ⅲ</w:t>
                  </w:r>
                </w:p>
              </w:tc>
              <w:tc>
                <w:tcPr>
                  <w:tcW w:w="1586" w:type="dxa"/>
                  <w:noWrap w:val="0"/>
                  <w:vAlign w:val="center"/>
                </w:tcPr>
                <w:p w14:paraId="522940A7">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Ⅲ</w:t>
                  </w:r>
                </w:p>
              </w:tc>
            </w:tr>
            <w:tr w14:paraId="736C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noWrap w:val="0"/>
                  <w:vAlign w:val="center"/>
                </w:tcPr>
                <w:p w14:paraId="5F581DB3">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环境中度敏感区（E2）</w:t>
                  </w:r>
                </w:p>
              </w:tc>
              <w:tc>
                <w:tcPr>
                  <w:tcW w:w="1569" w:type="dxa"/>
                  <w:noWrap w:val="0"/>
                  <w:vAlign w:val="center"/>
                </w:tcPr>
                <w:p w14:paraId="5937AD6F">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Ⅳ</w:t>
                  </w:r>
                </w:p>
              </w:tc>
              <w:tc>
                <w:tcPr>
                  <w:tcW w:w="1570" w:type="dxa"/>
                  <w:noWrap w:val="0"/>
                  <w:vAlign w:val="center"/>
                </w:tcPr>
                <w:p w14:paraId="16A875F9">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Ⅲ</w:t>
                  </w:r>
                </w:p>
              </w:tc>
              <w:tc>
                <w:tcPr>
                  <w:tcW w:w="1514" w:type="dxa"/>
                  <w:noWrap w:val="0"/>
                  <w:vAlign w:val="center"/>
                </w:tcPr>
                <w:p w14:paraId="2B4956A5">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Ⅲ</w:t>
                  </w:r>
                </w:p>
              </w:tc>
              <w:tc>
                <w:tcPr>
                  <w:tcW w:w="1586" w:type="dxa"/>
                  <w:noWrap w:val="0"/>
                  <w:vAlign w:val="center"/>
                </w:tcPr>
                <w:p w14:paraId="0954BBF2">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Ⅱ</w:t>
                  </w:r>
                </w:p>
              </w:tc>
            </w:tr>
            <w:tr w14:paraId="1E08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noWrap w:val="0"/>
                  <w:vAlign w:val="center"/>
                </w:tcPr>
                <w:p w14:paraId="5A5F4260">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环境低度敏感区（E3）</w:t>
                  </w:r>
                </w:p>
              </w:tc>
              <w:tc>
                <w:tcPr>
                  <w:tcW w:w="1569" w:type="dxa"/>
                  <w:noWrap w:val="0"/>
                  <w:vAlign w:val="center"/>
                </w:tcPr>
                <w:p w14:paraId="756167E0">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Ⅲ</w:t>
                  </w:r>
                </w:p>
              </w:tc>
              <w:tc>
                <w:tcPr>
                  <w:tcW w:w="1570" w:type="dxa"/>
                  <w:noWrap w:val="0"/>
                  <w:vAlign w:val="center"/>
                </w:tcPr>
                <w:p w14:paraId="1320FB62">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Ⅲ</w:t>
                  </w:r>
                </w:p>
              </w:tc>
              <w:tc>
                <w:tcPr>
                  <w:tcW w:w="1514" w:type="dxa"/>
                  <w:noWrap w:val="0"/>
                  <w:vAlign w:val="center"/>
                </w:tcPr>
                <w:p w14:paraId="148B0ECD">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Ⅱ</w:t>
                  </w:r>
                </w:p>
              </w:tc>
              <w:tc>
                <w:tcPr>
                  <w:tcW w:w="1586" w:type="dxa"/>
                  <w:noWrap w:val="0"/>
                  <w:vAlign w:val="center"/>
                </w:tcPr>
                <w:p w14:paraId="7A5551BC">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Ⅰ</w:t>
                  </w:r>
                </w:p>
              </w:tc>
            </w:tr>
            <w:tr w14:paraId="123F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noWrap w:val="0"/>
                  <w:vAlign w:val="center"/>
                </w:tcPr>
                <w:p w14:paraId="457D4077">
                  <w:pPr>
                    <w:adjustRightInd w:val="0"/>
                    <w:snapToGrid w:val="0"/>
                    <w:jc w:val="left"/>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注：Ⅳ</w:t>
                  </w:r>
                  <w:r>
                    <w:rPr>
                      <w:rFonts w:hint="default" w:ascii="Times New Roman" w:hAnsi="Times New Roman" w:eastAsia="宋体" w:cs="Times New Roman"/>
                      <w:bCs/>
                      <w:color w:val="auto"/>
                      <w:kern w:val="0"/>
                      <w:sz w:val="21"/>
                      <w:szCs w:val="21"/>
                      <w:highlight w:val="none"/>
                      <w:vertAlign w:val="superscript"/>
                    </w:rPr>
                    <w:t>+</w:t>
                  </w:r>
                  <w:r>
                    <w:rPr>
                      <w:rFonts w:hint="default" w:ascii="Times New Roman" w:hAnsi="Times New Roman" w:eastAsia="宋体" w:cs="Times New Roman"/>
                      <w:bCs/>
                      <w:color w:val="auto"/>
                      <w:kern w:val="0"/>
                      <w:sz w:val="21"/>
                      <w:szCs w:val="21"/>
                      <w:highlight w:val="none"/>
                    </w:rPr>
                    <w:t>为极高环境风险</w:t>
                  </w:r>
                </w:p>
              </w:tc>
            </w:tr>
          </w:tbl>
          <w:p w14:paraId="5A4362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①P的分级确定</w:t>
            </w:r>
          </w:p>
          <w:p w14:paraId="0AE6FA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分析建设项目生产、使用、储存过程中涉及的有毒有害、易燃易爆物质，参见《建设项目环境风险评价技术导则》（HJ/T169-2018）附录B确定危险物质的临界量。定量分析危险物质数量与临界量的比值（Q）和所属行业及生产工艺特点（M），按附录C对危险物质及工艺系统危险性（P）等级进行判断。</w:t>
            </w:r>
          </w:p>
          <w:p w14:paraId="1AA10E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②E的分级确定</w:t>
            </w:r>
          </w:p>
          <w:p w14:paraId="6B6E6B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分析危险物质在事故情形下的环境影响途径，如大气、地表水、地下水等，按照附录D对建设项目各要素环境敏感程度（E）等级进行判断。</w:t>
            </w:r>
          </w:p>
          <w:p w14:paraId="78EC08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③建设项目环境风险潜势判断</w:t>
            </w:r>
          </w:p>
          <w:p w14:paraId="624619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kern w:val="0"/>
                <w:sz w:val="24"/>
                <w:highlight w:val="none"/>
                <w:lang w:eastAsia="zh-CN"/>
              </w:rPr>
            </w:pPr>
            <w:r>
              <w:rPr>
                <w:rFonts w:hint="default" w:ascii="Times New Roman" w:hAnsi="Times New Roman" w:eastAsia="宋体" w:cs="Times New Roman"/>
                <w:bCs/>
                <w:color w:val="auto"/>
                <w:kern w:val="0"/>
                <w:sz w:val="24"/>
                <w:highlight w:val="none"/>
              </w:rPr>
              <w:t>建设项目环境风险潜势综合等级取各要素等级的相对高值。</w:t>
            </w:r>
          </w:p>
          <w:p w14:paraId="4D80250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lang w:eastAsia="zh-CN"/>
              </w:rPr>
              <w:t>（</w:t>
            </w:r>
            <w:r>
              <w:rPr>
                <w:rFonts w:hint="eastAsia" w:ascii="Times New Roman" w:hAnsi="Times New Roman" w:eastAsia="宋体" w:cs="Times New Roman"/>
                <w:b/>
                <w:bCs/>
                <w:color w:val="auto"/>
                <w:kern w:val="0"/>
                <w:sz w:val="24"/>
                <w:highlight w:val="none"/>
                <w:lang w:val="en-US" w:eastAsia="zh-CN"/>
              </w:rPr>
              <w:t>3</w:t>
            </w:r>
            <w:r>
              <w:rPr>
                <w:rFonts w:hint="eastAsia"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rPr>
              <w:t>危险物质数量与临界量比值（Q）</w:t>
            </w:r>
          </w:p>
          <w:p w14:paraId="61B1E641">
            <w:pPr>
              <w:adjustRightInd w:val="0"/>
              <w:snapToGrid w:val="0"/>
              <w:spacing w:line="360" w:lineRule="auto"/>
              <w:ind w:firstLine="480" w:firstLineChars="200"/>
              <w:rPr>
                <w:rFonts w:hint="default" w:ascii="Times New Roman" w:hAnsi="Times New Roman" w:cs="Times New Roman"/>
                <w:caps w:val="0"/>
                <w:smallCaps w:val="0"/>
                <w:color w:val="auto"/>
                <w:sz w:val="24"/>
                <w:highlight w:val="none"/>
                <w:lang w:val="zh-CN"/>
              </w:rPr>
            </w:pPr>
            <w:r>
              <w:rPr>
                <w:rFonts w:hint="default" w:ascii="Times New Roman" w:hAnsi="Times New Roman" w:cs="Times New Roman"/>
                <w:caps w:val="0"/>
                <w:smallCaps w:val="0"/>
                <w:color w:val="auto"/>
                <w:sz w:val="24"/>
                <w:highlight w:val="none"/>
                <w:lang w:val="zh-CN"/>
              </w:rPr>
              <w:t>危险物质及工艺系统危险性（P）由危险物质数量与临界量的比值（Q）和所属行业及生产工艺特点（M）判定。</w:t>
            </w:r>
            <w:r>
              <w:rPr>
                <w:rFonts w:hint="default" w:ascii="Times New Roman" w:hAnsi="Times New Roman" w:cs="Times New Roman"/>
                <w:caps w:val="0"/>
                <w:smallCaps w:val="0"/>
                <w:color w:val="auto"/>
                <w:sz w:val="24"/>
                <w:highlight w:val="none"/>
              </w:rPr>
              <w:t>首先</w:t>
            </w:r>
            <w:r>
              <w:rPr>
                <w:rFonts w:hint="default" w:ascii="Times New Roman" w:hAnsi="Times New Roman" w:cs="Times New Roman"/>
                <w:caps w:val="0"/>
                <w:smallCaps w:val="0"/>
                <w:color w:val="auto"/>
                <w:sz w:val="24"/>
                <w:highlight w:val="none"/>
                <w:lang w:val="zh-CN"/>
              </w:rPr>
              <w:t>确定危险物质数量与临界量的比值（Q）</w:t>
            </w:r>
          </w:p>
          <w:p w14:paraId="021828D8">
            <w:pPr>
              <w:adjustRightInd w:val="0"/>
              <w:snapToGrid w:val="0"/>
              <w:spacing w:line="360" w:lineRule="auto"/>
              <w:rPr>
                <w:rFonts w:hint="default" w:ascii="Times New Roman" w:hAnsi="Times New Roman" w:cs="Times New Roman"/>
                <w:caps w:val="0"/>
                <w:smallCaps w:val="0"/>
                <w:color w:val="auto"/>
                <w:sz w:val="24"/>
                <w:highlight w:val="none"/>
                <w:lang w:val="zh-CN"/>
              </w:rPr>
            </w:pPr>
            <w:r>
              <w:rPr>
                <w:rFonts w:hint="default" w:ascii="Times New Roman" w:hAnsi="Times New Roman" w:cs="Times New Roman"/>
                <w:caps w:val="0"/>
                <w:smallCaps w:val="0"/>
                <w:color w:val="auto"/>
                <w:sz w:val="24"/>
                <w:highlight w:val="none"/>
                <w:lang w:val="zh-CN"/>
              </w:rPr>
              <w:t>根据该技术导则附录B中表B.1突发环境事件风险物质及临界点，附录C中C1.1危险物质数量与临界量比值（Q）的计算有两种情况：</w:t>
            </w:r>
          </w:p>
          <w:p w14:paraId="44DE1879">
            <w:pPr>
              <w:adjustRightInd w:val="0"/>
              <w:snapToGrid w:val="0"/>
              <w:spacing w:line="360" w:lineRule="auto"/>
              <w:ind w:firstLine="480" w:firstLineChars="200"/>
              <w:rPr>
                <w:rFonts w:hint="default" w:ascii="Times New Roman" w:hAnsi="Times New Roman" w:cs="Times New Roman"/>
                <w:caps w:val="0"/>
                <w:smallCaps w:val="0"/>
                <w:color w:val="auto"/>
                <w:sz w:val="24"/>
                <w:highlight w:val="none"/>
                <w:lang w:val="zh-CN"/>
              </w:rPr>
            </w:pPr>
            <w:r>
              <w:rPr>
                <w:rFonts w:hint="default" w:ascii="Times New Roman" w:hAnsi="Times New Roman" w:cs="Times New Roman"/>
                <w:caps w:val="0"/>
                <w:smallCaps w:val="0"/>
                <w:color w:val="auto"/>
                <w:sz w:val="24"/>
                <w:highlight w:val="none"/>
                <w:lang w:val="zh-CN"/>
              </w:rPr>
              <w:t>a、当只涉及一种危险物质时，计算该物质的总量与其临界量比值，即为Q；</w:t>
            </w:r>
          </w:p>
          <w:p w14:paraId="65042F88">
            <w:pPr>
              <w:adjustRightInd w:val="0"/>
              <w:snapToGrid w:val="0"/>
              <w:spacing w:line="360" w:lineRule="auto"/>
              <w:ind w:firstLine="480" w:firstLineChars="200"/>
              <w:rPr>
                <w:rFonts w:hint="default" w:ascii="Times New Roman" w:hAnsi="Times New Roman" w:cs="Times New Roman"/>
                <w:caps w:val="0"/>
                <w:smallCaps w:val="0"/>
                <w:color w:val="auto"/>
                <w:sz w:val="24"/>
                <w:highlight w:val="none"/>
                <w:lang w:val="zh-CN"/>
              </w:rPr>
            </w:pPr>
            <w:r>
              <w:rPr>
                <w:rFonts w:hint="default" w:ascii="Times New Roman" w:hAnsi="Times New Roman" w:cs="Times New Roman"/>
                <w:caps w:val="0"/>
                <w:smallCaps w:val="0"/>
                <w:color w:val="auto"/>
                <w:sz w:val="24"/>
                <w:highlight w:val="none"/>
                <w:lang w:val="zh-CN"/>
              </w:rPr>
              <w:t>b、当存在多种危险物质时，则按下式计算物质总量与其临界量的比值（Q）：</w:t>
            </w:r>
          </w:p>
          <w:p w14:paraId="681F8DF4">
            <w:pPr>
              <w:adjustRightInd w:val="0"/>
              <w:snapToGrid w:val="0"/>
              <w:spacing w:line="360" w:lineRule="auto"/>
              <w:jc w:val="center"/>
              <w:rPr>
                <w:rFonts w:hint="default" w:ascii="Times New Roman" w:hAnsi="Times New Roman" w:cs="Times New Roman"/>
                <w:caps w:val="0"/>
                <w:smallCaps w:val="0"/>
                <w:color w:val="auto"/>
                <w:sz w:val="24"/>
                <w:highlight w:val="none"/>
              </w:rPr>
            </w:pPr>
            <w:r>
              <w:rPr>
                <w:rFonts w:hint="default" w:ascii="Times New Roman" w:hAnsi="Times New Roman" w:cs="Times New Roman"/>
                <w:caps w:val="0"/>
                <w:smallCaps w:val="0"/>
                <w:color w:val="auto"/>
                <w:position w:val="-28"/>
                <w:sz w:val="24"/>
                <w:highlight w:val="none"/>
                <w:vertAlign w:val="subscript"/>
              </w:rPr>
              <w:object>
                <v:shape id="_x0000_i1038" o:spt="75" type="#_x0000_t75" style="height:33pt;width:105.75pt;" o:ole="t" filled="f" o:preferrelative="t" stroked="f" coordsize="21600,21600">
                  <v:path/>
                  <v:fill on="f" focussize="0,0"/>
                  <v:stroke on="f" joinstyle="miter"/>
                  <v:imagedata r:id="rId37" o:title=""/>
                  <o:lock v:ext="edit" aspectratio="t"/>
                  <w10:wrap type="none"/>
                  <w10:anchorlock/>
                </v:shape>
                <o:OLEObject Type="Embed" ProgID="Equation.3" ShapeID="_x0000_i1038" DrawAspect="Content" ObjectID="_1468075738" r:id="rId36">
                  <o:LockedField>false</o:LockedField>
                </o:OLEObject>
              </w:object>
            </w:r>
          </w:p>
          <w:p w14:paraId="796D72A7">
            <w:pPr>
              <w:adjustRightInd w:val="0"/>
              <w:snapToGrid w:val="0"/>
              <w:spacing w:line="360" w:lineRule="auto"/>
              <w:ind w:firstLine="480" w:firstLineChars="200"/>
              <w:rPr>
                <w:rFonts w:hint="default" w:ascii="Times New Roman" w:hAnsi="Times New Roman" w:cs="Times New Roman"/>
                <w:caps w:val="0"/>
                <w:smallCaps w:val="0"/>
                <w:color w:val="auto"/>
                <w:sz w:val="24"/>
                <w:highlight w:val="none"/>
                <w:lang w:val="zh-CN"/>
              </w:rPr>
            </w:pPr>
            <w:r>
              <w:rPr>
                <w:rFonts w:hint="default" w:ascii="Times New Roman" w:hAnsi="Times New Roman" w:cs="Times New Roman"/>
                <w:caps w:val="0"/>
                <w:smallCaps w:val="0"/>
                <w:snapToGrid w:val="0"/>
                <w:color w:val="auto"/>
                <w:kern w:val="0"/>
                <w:sz w:val="24"/>
                <w:highlight w:val="none"/>
              </w:rPr>
              <w:t>式中：</w:t>
            </w:r>
            <w:r>
              <w:rPr>
                <w:rFonts w:hint="default" w:ascii="Times New Roman" w:hAnsi="Times New Roman" w:cs="Times New Roman"/>
                <w:caps w:val="0"/>
                <w:smallCaps w:val="0"/>
                <w:color w:val="auto"/>
                <w:sz w:val="24"/>
                <w:highlight w:val="none"/>
              </w:rPr>
              <w:t>q</w:t>
            </w:r>
            <w:r>
              <w:rPr>
                <w:rFonts w:hint="default" w:ascii="Times New Roman" w:hAnsi="Times New Roman" w:cs="Times New Roman"/>
                <w:caps w:val="0"/>
                <w:smallCaps w:val="0"/>
                <w:color w:val="auto"/>
                <w:sz w:val="24"/>
                <w:highlight w:val="none"/>
                <w:vertAlign w:val="subscript"/>
              </w:rPr>
              <w:t>1</w:t>
            </w:r>
            <w:r>
              <w:rPr>
                <w:rFonts w:hint="default" w:ascii="Times New Roman" w:hAnsi="Times New Roman" w:cs="Times New Roman"/>
                <w:caps w:val="0"/>
                <w:smallCaps w:val="0"/>
                <w:color w:val="auto"/>
                <w:sz w:val="24"/>
                <w:highlight w:val="none"/>
                <w:lang w:val="zh-CN"/>
              </w:rPr>
              <w:t>，q</w:t>
            </w:r>
            <w:r>
              <w:rPr>
                <w:rFonts w:hint="default" w:ascii="Times New Roman" w:hAnsi="Times New Roman" w:cs="Times New Roman"/>
                <w:caps w:val="0"/>
                <w:smallCaps w:val="0"/>
                <w:color w:val="auto"/>
                <w:sz w:val="24"/>
                <w:highlight w:val="none"/>
                <w:vertAlign w:val="subscript"/>
                <w:lang w:val="zh-CN"/>
              </w:rPr>
              <w:t>2</w:t>
            </w:r>
            <w:r>
              <w:rPr>
                <w:rFonts w:hint="default" w:ascii="Times New Roman" w:hAnsi="Times New Roman" w:cs="Times New Roman"/>
                <w:caps w:val="0"/>
                <w:smallCaps w:val="0"/>
                <w:color w:val="auto"/>
                <w:sz w:val="24"/>
                <w:highlight w:val="none"/>
                <w:lang w:val="zh-CN"/>
              </w:rPr>
              <w:t>，</w:t>
            </w:r>
            <w:r>
              <w:rPr>
                <w:rFonts w:hint="default" w:ascii="Times New Roman" w:hAnsi="Times New Roman" w:cs="Times New Roman"/>
                <w:caps w:val="0"/>
                <w:smallCaps w:val="0"/>
                <w:color w:val="auto"/>
                <w:sz w:val="24"/>
                <w:highlight w:val="none"/>
              </w:rPr>
              <w:t>q</w:t>
            </w:r>
            <w:r>
              <w:rPr>
                <w:rFonts w:hint="default" w:ascii="Times New Roman" w:hAnsi="Times New Roman" w:cs="Times New Roman"/>
                <w:caps w:val="0"/>
                <w:smallCaps w:val="0"/>
                <w:color w:val="auto"/>
                <w:sz w:val="24"/>
                <w:highlight w:val="none"/>
                <w:vertAlign w:val="subscript"/>
                <w:lang w:val="zh-CN"/>
              </w:rPr>
              <w:t>n</w:t>
            </w:r>
            <w:r>
              <w:rPr>
                <w:rFonts w:hint="default" w:ascii="Times New Roman" w:hAnsi="Times New Roman" w:cs="Times New Roman"/>
                <w:caps w:val="0"/>
                <w:smallCaps w:val="0"/>
                <w:color w:val="auto"/>
                <w:sz w:val="24"/>
                <w:highlight w:val="none"/>
                <w:lang w:val="zh-CN"/>
              </w:rPr>
              <w:t>——每种危险物质的最大存在总量，t；</w:t>
            </w:r>
          </w:p>
          <w:p w14:paraId="5B1410E4">
            <w:pPr>
              <w:adjustRightInd w:val="0"/>
              <w:snapToGrid w:val="0"/>
              <w:spacing w:line="360" w:lineRule="auto"/>
              <w:ind w:firstLine="1200" w:firstLineChars="500"/>
              <w:rPr>
                <w:rFonts w:hint="default" w:ascii="Times New Roman" w:hAnsi="Times New Roman" w:cs="Times New Roman"/>
                <w:caps w:val="0"/>
                <w:smallCaps w:val="0"/>
                <w:color w:val="auto"/>
                <w:sz w:val="24"/>
                <w:highlight w:val="none"/>
                <w:lang w:val="zh-CN"/>
              </w:rPr>
            </w:pPr>
            <w:r>
              <w:rPr>
                <w:rFonts w:hint="default" w:ascii="Times New Roman" w:hAnsi="Times New Roman" w:cs="Times New Roman"/>
                <w:caps w:val="0"/>
                <w:smallCaps w:val="0"/>
                <w:color w:val="auto"/>
                <w:sz w:val="24"/>
                <w:highlight w:val="none"/>
              </w:rPr>
              <w:t>Q</w:t>
            </w:r>
            <w:r>
              <w:rPr>
                <w:rFonts w:hint="default" w:ascii="Times New Roman" w:hAnsi="Times New Roman" w:cs="Times New Roman"/>
                <w:caps w:val="0"/>
                <w:smallCaps w:val="0"/>
                <w:color w:val="auto"/>
                <w:sz w:val="24"/>
                <w:highlight w:val="none"/>
                <w:vertAlign w:val="subscript"/>
                <w:lang w:val="zh-CN"/>
              </w:rPr>
              <w:t>1</w:t>
            </w:r>
            <w:r>
              <w:rPr>
                <w:rFonts w:hint="default" w:ascii="Times New Roman" w:hAnsi="Times New Roman" w:cs="Times New Roman"/>
                <w:caps w:val="0"/>
                <w:smallCaps w:val="0"/>
                <w:color w:val="auto"/>
                <w:sz w:val="24"/>
                <w:highlight w:val="none"/>
                <w:lang w:val="zh-CN"/>
              </w:rPr>
              <w:t>，Q</w:t>
            </w:r>
            <w:r>
              <w:rPr>
                <w:rFonts w:hint="default" w:ascii="Times New Roman" w:hAnsi="Times New Roman" w:cs="Times New Roman"/>
                <w:caps w:val="0"/>
                <w:smallCaps w:val="0"/>
                <w:color w:val="auto"/>
                <w:sz w:val="24"/>
                <w:highlight w:val="none"/>
                <w:vertAlign w:val="subscript"/>
                <w:lang w:val="zh-CN"/>
              </w:rPr>
              <w:t>2</w:t>
            </w:r>
            <w:r>
              <w:rPr>
                <w:rFonts w:hint="default" w:ascii="Times New Roman" w:hAnsi="Times New Roman" w:cs="Times New Roman"/>
                <w:caps w:val="0"/>
                <w:smallCaps w:val="0"/>
                <w:color w:val="auto"/>
                <w:sz w:val="24"/>
                <w:highlight w:val="none"/>
                <w:lang w:val="zh-CN"/>
              </w:rPr>
              <w:t>，</w:t>
            </w:r>
            <w:r>
              <w:rPr>
                <w:rFonts w:hint="default" w:ascii="Times New Roman" w:hAnsi="Times New Roman" w:cs="Times New Roman"/>
                <w:caps w:val="0"/>
                <w:smallCaps w:val="0"/>
                <w:color w:val="auto"/>
                <w:sz w:val="24"/>
                <w:highlight w:val="none"/>
              </w:rPr>
              <w:t>Q</w:t>
            </w:r>
            <w:r>
              <w:rPr>
                <w:rFonts w:hint="default" w:ascii="Times New Roman" w:hAnsi="Times New Roman" w:cs="Times New Roman"/>
                <w:caps w:val="0"/>
                <w:smallCaps w:val="0"/>
                <w:color w:val="auto"/>
                <w:sz w:val="24"/>
                <w:highlight w:val="none"/>
                <w:vertAlign w:val="subscript"/>
              </w:rPr>
              <w:t>n</w:t>
            </w:r>
            <w:r>
              <w:rPr>
                <w:rFonts w:hint="default" w:ascii="Times New Roman" w:hAnsi="Times New Roman" w:cs="Times New Roman"/>
                <w:caps w:val="0"/>
                <w:smallCaps w:val="0"/>
                <w:color w:val="auto"/>
                <w:sz w:val="24"/>
                <w:highlight w:val="none"/>
                <w:lang w:val="zh-CN"/>
              </w:rPr>
              <w:t>——每种危险物质的临界量，t。</w:t>
            </w:r>
          </w:p>
          <w:p w14:paraId="0048B424">
            <w:pPr>
              <w:adjustRightInd w:val="0"/>
              <w:snapToGrid w:val="0"/>
              <w:spacing w:line="360" w:lineRule="auto"/>
              <w:ind w:firstLine="480" w:firstLineChars="200"/>
              <w:rPr>
                <w:rFonts w:hint="default" w:ascii="Times New Roman" w:hAnsi="Times New Roman" w:cs="Times New Roman"/>
                <w:caps w:val="0"/>
                <w:smallCaps w:val="0"/>
                <w:color w:val="auto"/>
                <w:sz w:val="24"/>
                <w:highlight w:val="none"/>
                <w:lang w:val="zh-CN"/>
              </w:rPr>
            </w:pPr>
            <w:r>
              <w:rPr>
                <w:rFonts w:hint="default" w:ascii="Times New Roman" w:hAnsi="Times New Roman" w:cs="Times New Roman"/>
                <w:caps w:val="0"/>
                <w:smallCaps w:val="0"/>
                <w:color w:val="auto"/>
                <w:sz w:val="24"/>
                <w:highlight w:val="none"/>
                <w:lang w:val="zh-CN"/>
              </w:rPr>
              <w:t>当Q&lt;1时，该项目环境风险潜势为I。</w:t>
            </w:r>
          </w:p>
          <w:p w14:paraId="6FC98F74">
            <w:pPr>
              <w:keepNext w:val="0"/>
              <w:keepLines w:val="0"/>
              <w:pageBreakBefore w:val="0"/>
              <w:widowControl w:val="0"/>
              <w:kinsoku/>
              <w:wordWrap/>
              <w:overflowPunct/>
              <w:topLinePunct w:val="0"/>
              <w:autoSpaceDE/>
              <w:autoSpaceDN/>
              <w:bidi w:val="0"/>
              <w:adjustRightInd w:val="0"/>
              <w:snapToGrid w:val="0"/>
              <w:spacing w:line="360" w:lineRule="auto"/>
              <w:ind w:left="479" w:leftChars="228" w:firstLine="0" w:firstLineChars="0"/>
              <w:textAlignment w:val="auto"/>
              <w:rPr>
                <w:rFonts w:hint="eastAsia" w:ascii="Times New Roman" w:hAnsi="Times New Roman" w:cs="Times New Roman"/>
                <w:caps w:val="0"/>
                <w:smallCaps w:val="0"/>
                <w:color w:val="auto"/>
                <w:sz w:val="24"/>
                <w:highlight w:val="none"/>
                <w:lang w:val="zh-CN"/>
              </w:rPr>
            </w:pPr>
            <w:r>
              <w:rPr>
                <w:rFonts w:hint="default" w:ascii="Times New Roman" w:hAnsi="Times New Roman" w:cs="Times New Roman"/>
                <w:caps w:val="0"/>
                <w:smallCaps w:val="0"/>
                <w:color w:val="auto"/>
                <w:sz w:val="24"/>
                <w:highlight w:val="none"/>
                <w:lang w:val="zh-CN"/>
              </w:rPr>
              <w:t>当Q≥1时，将Q值划分为：（1）1≤Q&lt;10；（2）10≤Q&lt;100；（3）Q≥100</w:t>
            </w:r>
            <w:r>
              <w:rPr>
                <w:rFonts w:hint="eastAsia" w:ascii="Times New Roman" w:hAnsi="Times New Roman" w:cs="Times New Roman"/>
                <w:caps w:val="0"/>
                <w:smallCaps w:val="0"/>
                <w:color w:val="auto"/>
                <w:sz w:val="24"/>
                <w:highlight w:val="none"/>
                <w:lang w:val="zh-CN"/>
              </w:rPr>
              <w:t>。</w:t>
            </w:r>
          </w:p>
          <w:p w14:paraId="7DA4A8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mallCaps w:val="0"/>
                <w:color w:val="auto"/>
                <w:sz w:val="24"/>
                <w:highlight w:val="none"/>
                <w:lang w:val="zh-CN"/>
              </w:rPr>
            </w:pPr>
            <w:r>
              <w:rPr>
                <w:rFonts w:hint="default" w:ascii="Times New Roman" w:hAnsi="Times New Roman" w:eastAsia="宋体" w:cs="Times New Roman"/>
                <w:caps w:val="0"/>
                <w:smallCaps w:val="0"/>
                <w:color w:val="auto"/>
                <w:sz w:val="24"/>
                <w:highlight w:val="none"/>
                <w:lang w:val="zh-CN"/>
              </w:rPr>
              <w:t>对照《建设项目环境风险评价技术导则》（HJ/T169-2018）附录B“表B.1突发环境事件风险物质及临界量”，本项目涉及的突发环境事件风险物质</w:t>
            </w:r>
            <w:r>
              <w:rPr>
                <w:rFonts w:hint="eastAsia" w:cs="Times New Roman"/>
                <w:caps w:val="0"/>
                <w:smallCaps w:val="0"/>
                <w:color w:val="auto"/>
                <w:sz w:val="24"/>
                <w:highlight w:val="none"/>
                <w:lang w:val="zh-CN"/>
              </w:rPr>
              <w:t>、</w:t>
            </w:r>
            <w:r>
              <w:rPr>
                <w:rFonts w:hint="default" w:ascii="Times New Roman" w:hAnsi="Times New Roman" w:eastAsia="宋体" w:cs="Times New Roman"/>
                <w:caps w:val="0"/>
                <w:smallCaps w:val="0"/>
                <w:color w:val="auto"/>
                <w:sz w:val="24"/>
                <w:highlight w:val="none"/>
                <w:lang w:val="zh-CN"/>
              </w:rPr>
              <w:t>临界量及Q值，见下表。</w:t>
            </w:r>
          </w:p>
          <w:p w14:paraId="7FAF9401">
            <w:pPr>
              <w:pStyle w:val="24"/>
              <w:ind w:left="0" w:leftChars="0" w:firstLine="0" w:firstLineChars="0"/>
              <w:jc w:val="center"/>
              <w:rPr>
                <w:rFonts w:hint="default" w:ascii="Times New Roman" w:hAnsi="Times New Roman" w:cs="Times New Roman"/>
                <w:b/>
                <w:bCs/>
                <w:caps w:val="0"/>
                <w:smallCaps w:val="0"/>
                <w:color w:val="auto"/>
                <w:sz w:val="21"/>
                <w:szCs w:val="21"/>
                <w:highlight w:val="none"/>
                <w:lang w:val="en-US" w:eastAsia="zh-CN"/>
              </w:rPr>
            </w:pPr>
            <w:r>
              <w:rPr>
                <w:rFonts w:hint="default" w:ascii="Times New Roman" w:hAnsi="Times New Roman" w:cs="Times New Roman"/>
                <w:b/>
                <w:bCs/>
                <w:caps w:val="0"/>
                <w:smallCaps w:val="0"/>
                <w:color w:val="auto"/>
                <w:sz w:val="21"/>
                <w:szCs w:val="21"/>
                <w:highlight w:val="none"/>
                <w:lang w:eastAsia="zh-CN"/>
              </w:rPr>
              <w:t>表</w:t>
            </w:r>
            <w:r>
              <w:rPr>
                <w:rFonts w:hint="default" w:ascii="Times New Roman" w:hAnsi="Times New Roman" w:cs="Times New Roman"/>
                <w:b/>
                <w:bCs/>
                <w:caps w:val="0"/>
                <w:smallCaps w:val="0"/>
                <w:color w:val="auto"/>
                <w:sz w:val="21"/>
                <w:szCs w:val="21"/>
                <w:highlight w:val="none"/>
                <w:lang w:val="en-US" w:eastAsia="zh-CN"/>
              </w:rPr>
              <w:t>4-</w:t>
            </w:r>
            <w:r>
              <w:rPr>
                <w:rFonts w:hint="eastAsia" w:cs="Times New Roman"/>
                <w:b/>
                <w:bCs/>
                <w:caps w:val="0"/>
                <w:smallCaps w:val="0"/>
                <w:color w:val="auto"/>
                <w:sz w:val="21"/>
                <w:szCs w:val="21"/>
                <w:highlight w:val="none"/>
                <w:lang w:val="en-US" w:eastAsia="zh-CN"/>
              </w:rPr>
              <w:t>22</w:t>
            </w:r>
            <w:r>
              <w:rPr>
                <w:rFonts w:hint="eastAsia" w:ascii="Times New Roman" w:hAnsi="Times New Roman" w:cs="Times New Roman"/>
                <w:b/>
                <w:bCs/>
                <w:caps w:val="0"/>
                <w:smallCaps w:val="0"/>
                <w:color w:val="auto"/>
                <w:sz w:val="21"/>
                <w:szCs w:val="21"/>
                <w:highlight w:val="none"/>
                <w:lang w:val="en-US" w:eastAsia="zh-CN"/>
              </w:rPr>
              <w:t xml:space="preserve"> </w:t>
            </w:r>
            <w:r>
              <w:rPr>
                <w:rFonts w:hint="default" w:ascii="Times New Roman" w:hAnsi="Times New Roman" w:cs="Times New Roman"/>
                <w:b/>
                <w:bCs/>
                <w:caps w:val="0"/>
                <w:smallCaps w:val="0"/>
                <w:color w:val="auto"/>
                <w:sz w:val="21"/>
                <w:szCs w:val="21"/>
                <w:highlight w:val="none"/>
                <w:lang w:val="en-US" w:eastAsia="zh-CN"/>
              </w:rPr>
              <w:t xml:space="preserve"> 项目危险物质在项目区存储情况</w:t>
            </w:r>
          </w:p>
          <w:tbl>
            <w:tblPr>
              <w:tblStyle w:val="25"/>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166"/>
              <w:gridCol w:w="1332"/>
              <w:gridCol w:w="914"/>
              <w:gridCol w:w="1365"/>
              <w:gridCol w:w="1155"/>
              <w:gridCol w:w="1819"/>
            </w:tblGrid>
            <w:tr w14:paraId="21AA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tcBorders>
                    <w:tl2br w:val="nil"/>
                    <w:tr2bl w:val="nil"/>
                  </w:tcBorders>
                  <w:noWrap w:val="0"/>
                  <w:vAlign w:val="center"/>
                </w:tcPr>
                <w:p w14:paraId="2BA9DB3D">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b/>
                      <w:caps w:val="0"/>
                      <w:smallCaps w:val="0"/>
                      <w:color w:val="auto"/>
                      <w:sz w:val="21"/>
                      <w:szCs w:val="21"/>
                      <w:highlight w:val="none"/>
                    </w:rPr>
                  </w:pPr>
                  <w:r>
                    <w:rPr>
                      <w:rFonts w:hint="default" w:ascii="Times New Roman" w:hAnsi="Times New Roman" w:cs="Times New Roman"/>
                      <w:b/>
                      <w:caps w:val="0"/>
                      <w:smallCaps w:val="0"/>
                      <w:color w:val="auto"/>
                      <w:sz w:val="21"/>
                      <w:szCs w:val="21"/>
                      <w:highlight w:val="none"/>
                    </w:rPr>
                    <w:t>序号</w:t>
                  </w:r>
                </w:p>
              </w:tc>
              <w:tc>
                <w:tcPr>
                  <w:tcW w:w="697" w:type="pct"/>
                  <w:tcBorders>
                    <w:tl2br w:val="nil"/>
                    <w:tr2bl w:val="nil"/>
                  </w:tcBorders>
                  <w:noWrap w:val="0"/>
                  <w:vAlign w:val="center"/>
                </w:tcPr>
                <w:p w14:paraId="1872594C">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b/>
                      <w:caps w:val="0"/>
                      <w:smallCaps w:val="0"/>
                      <w:color w:val="auto"/>
                      <w:sz w:val="21"/>
                      <w:szCs w:val="21"/>
                      <w:highlight w:val="none"/>
                    </w:rPr>
                  </w:pPr>
                  <w:r>
                    <w:rPr>
                      <w:rFonts w:hint="default" w:ascii="Times New Roman" w:hAnsi="Times New Roman" w:cs="Times New Roman"/>
                      <w:b/>
                      <w:caps w:val="0"/>
                      <w:smallCaps w:val="0"/>
                      <w:color w:val="auto"/>
                      <w:sz w:val="21"/>
                      <w:szCs w:val="21"/>
                      <w:highlight w:val="none"/>
                    </w:rPr>
                    <w:t>名称</w:t>
                  </w:r>
                </w:p>
              </w:tc>
              <w:tc>
                <w:tcPr>
                  <w:tcW w:w="797" w:type="pct"/>
                  <w:tcBorders>
                    <w:tl2br w:val="nil"/>
                    <w:tr2bl w:val="nil"/>
                  </w:tcBorders>
                  <w:noWrap w:val="0"/>
                  <w:vAlign w:val="center"/>
                </w:tcPr>
                <w:p w14:paraId="0733A4B4">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b/>
                      <w:caps w:val="0"/>
                      <w:smallCaps w:val="0"/>
                      <w:color w:val="auto"/>
                      <w:sz w:val="21"/>
                      <w:szCs w:val="21"/>
                      <w:highlight w:val="none"/>
                    </w:rPr>
                  </w:pPr>
                  <w:r>
                    <w:rPr>
                      <w:rFonts w:hint="default" w:ascii="Times New Roman" w:hAnsi="Times New Roman" w:cs="Times New Roman"/>
                      <w:b/>
                      <w:caps w:val="0"/>
                      <w:smallCaps w:val="0"/>
                      <w:color w:val="auto"/>
                      <w:sz w:val="21"/>
                      <w:szCs w:val="21"/>
                      <w:highlight w:val="none"/>
                    </w:rPr>
                    <w:t>CAS</w:t>
                  </w:r>
                </w:p>
              </w:tc>
              <w:tc>
                <w:tcPr>
                  <w:tcW w:w="546" w:type="pct"/>
                  <w:tcBorders>
                    <w:tl2br w:val="nil"/>
                    <w:tr2bl w:val="nil"/>
                  </w:tcBorders>
                  <w:noWrap w:val="0"/>
                  <w:vAlign w:val="center"/>
                </w:tcPr>
                <w:p w14:paraId="63AECBAD">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b/>
                      <w:caps w:val="0"/>
                      <w:smallCaps w:val="0"/>
                      <w:color w:val="auto"/>
                      <w:sz w:val="21"/>
                      <w:szCs w:val="21"/>
                      <w:highlight w:val="none"/>
                    </w:rPr>
                  </w:pPr>
                  <w:r>
                    <w:rPr>
                      <w:rFonts w:hint="default" w:ascii="Times New Roman" w:hAnsi="Times New Roman" w:cs="Times New Roman"/>
                      <w:b/>
                      <w:caps w:val="0"/>
                      <w:smallCaps w:val="0"/>
                      <w:color w:val="auto"/>
                      <w:sz w:val="21"/>
                      <w:szCs w:val="21"/>
                      <w:highlight w:val="none"/>
                    </w:rPr>
                    <w:t>储存方式</w:t>
                  </w:r>
                </w:p>
              </w:tc>
              <w:tc>
                <w:tcPr>
                  <w:tcW w:w="816" w:type="pct"/>
                  <w:tcBorders>
                    <w:tl2br w:val="nil"/>
                    <w:tr2bl w:val="nil"/>
                  </w:tcBorders>
                  <w:noWrap w:val="0"/>
                  <w:vAlign w:val="center"/>
                </w:tcPr>
                <w:p w14:paraId="387817E7">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b/>
                      <w:caps w:val="0"/>
                      <w:smallCaps w:val="0"/>
                      <w:color w:val="auto"/>
                      <w:sz w:val="21"/>
                      <w:szCs w:val="21"/>
                      <w:highlight w:val="none"/>
                    </w:rPr>
                  </w:pPr>
                  <w:r>
                    <w:rPr>
                      <w:rFonts w:hint="default" w:ascii="Times New Roman" w:hAnsi="Times New Roman" w:cs="Times New Roman"/>
                      <w:b/>
                      <w:caps w:val="0"/>
                      <w:smallCaps w:val="0"/>
                      <w:color w:val="auto"/>
                      <w:sz w:val="21"/>
                      <w:szCs w:val="21"/>
                      <w:highlight w:val="none"/>
                    </w:rPr>
                    <w:t>最大储存量</w:t>
                  </w:r>
                  <w:r>
                    <w:rPr>
                      <w:rFonts w:hint="eastAsia" w:ascii="Times New Roman" w:hAnsi="Times New Roman" w:cs="Times New Roman"/>
                      <w:b/>
                      <w:caps w:val="0"/>
                      <w:smallCaps w:val="0"/>
                      <w:color w:val="auto"/>
                      <w:sz w:val="21"/>
                      <w:szCs w:val="21"/>
                      <w:highlight w:val="none"/>
                      <w:lang w:eastAsia="zh-CN"/>
                    </w:rPr>
                    <w:t>（</w:t>
                  </w:r>
                  <w:r>
                    <w:rPr>
                      <w:rFonts w:hint="eastAsia" w:ascii="Times New Roman" w:hAnsi="Times New Roman" w:cs="Times New Roman"/>
                      <w:b/>
                      <w:caps w:val="0"/>
                      <w:smallCaps w:val="0"/>
                      <w:color w:val="auto"/>
                      <w:sz w:val="21"/>
                      <w:szCs w:val="21"/>
                      <w:highlight w:val="none"/>
                      <w:lang w:val="en-US" w:eastAsia="zh-CN"/>
                    </w:rPr>
                    <w:t>t</w:t>
                  </w:r>
                  <w:r>
                    <w:rPr>
                      <w:rFonts w:hint="eastAsia" w:ascii="Times New Roman" w:hAnsi="Times New Roman" w:cs="Times New Roman"/>
                      <w:b/>
                      <w:caps w:val="0"/>
                      <w:smallCaps w:val="0"/>
                      <w:color w:val="auto"/>
                      <w:sz w:val="21"/>
                      <w:szCs w:val="21"/>
                      <w:highlight w:val="none"/>
                      <w:lang w:eastAsia="zh-CN"/>
                    </w:rPr>
                    <w:t>）</w:t>
                  </w:r>
                </w:p>
              </w:tc>
              <w:tc>
                <w:tcPr>
                  <w:tcW w:w="691" w:type="pct"/>
                  <w:tcBorders>
                    <w:tl2br w:val="nil"/>
                    <w:tr2bl w:val="nil"/>
                  </w:tcBorders>
                  <w:noWrap w:val="0"/>
                  <w:vAlign w:val="center"/>
                </w:tcPr>
                <w:p w14:paraId="599C2B2C">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ascii="Times New Roman" w:hAnsi="Times New Roman" w:eastAsia="宋体" w:cs="Times New Roman"/>
                      <w:b/>
                      <w:caps w:val="0"/>
                      <w:smallCaps w:val="0"/>
                      <w:color w:val="auto"/>
                      <w:sz w:val="21"/>
                      <w:szCs w:val="21"/>
                      <w:highlight w:val="none"/>
                      <w:lang w:eastAsia="zh-CN"/>
                    </w:rPr>
                  </w:pPr>
                  <w:r>
                    <w:rPr>
                      <w:rFonts w:hint="default" w:ascii="Times New Roman" w:hAnsi="Times New Roman" w:cs="Times New Roman"/>
                      <w:b/>
                      <w:caps w:val="0"/>
                      <w:smallCaps w:val="0"/>
                      <w:color w:val="auto"/>
                      <w:sz w:val="21"/>
                      <w:szCs w:val="21"/>
                      <w:highlight w:val="none"/>
                    </w:rPr>
                    <w:t>临界量</w:t>
                  </w:r>
                  <w:r>
                    <w:rPr>
                      <w:rFonts w:hint="eastAsia" w:ascii="Times New Roman" w:hAnsi="Times New Roman" w:cs="Times New Roman"/>
                      <w:b/>
                      <w:caps w:val="0"/>
                      <w:smallCaps w:val="0"/>
                      <w:color w:val="auto"/>
                      <w:sz w:val="21"/>
                      <w:szCs w:val="21"/>
                      <w:highlight w:val="none"/>
                      <w:lang w:eastAsia="zh-CN"/>
                    </w:rPr>
                    <w:t>（</w:t>
                  </w:r>
                  <w:r>
                    <w:rPr>
                      <w:rFonts w:hint="eastAsia" w:ascii="Times New Roman" w:hAnsi="Times New Roman" w:cs="Times New Roman"/>
                      <w:b/>
                      <w:caps w:val="0"/>
                      <w:smallCaps w:val="0"/>
                      <w:color w:val="auto"/>
                      <w:sz w:val="21"/>
                      <w:szCs w:val="21"/>
                      <w:highlight w:val="none"/>
                      <w:lang w:val="en-US" w:eastAsia="zh-CN"/>
                    </w:rPr>
                    <w:t>t</w:t>
                  </w:r>
                  <w:r>
                    <w:rPr>
                      <w:rFonts w:hint="eastAsia" w:ascii="Times New Roman" w:hAnsi="Times New Roman" w:cs="Times New Roman"/>
                      <w:b/>
                      <w:caps w:val="0"/>
                      <w:smallCaps w:val="0"/>
                      <w:color w:val="auto"/>
                      <w:sz w:val="21"/>
                      <w:szCs w:val="21"/>
                      <w:highlight w:val="none"/>
                      <w:lang w:eastAsia="zh-CN"/>
                    </w:rPr>
                    <w:t>）</w:t>
                  </w:r>
                </w:p>
              </w:tc>
              <w:tc>
                <w:tcPr>
                  <w:tcW w:w="1088" w:type="pct"/>
                  <w:tcBorders>
                    <w:tl2br w:val="nil"/>
                    <w:tr2bl w:val="nil"/>
                  </w:tcBorders>
                  <w:noWrap w:val="0"/>
                  <w:vAlign w:val="center"/>
                </w:tcPr>
                <w:p w14:paraId="669CD025">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b/>
                      <w:caps w:val="0"/>
                      <w:smallCaps w:val="0"/>
                      <w:color w:val="auto"/>
                      <w:sz w:val="21"/>
                      <w:szCs w:val="21"/>
                      <w:highlight w:val="none"/>
                    </w:rPr>
                  </w:pPr>
                  <w:r>
                    <w:rPr>
                      <w:rFonts w:hint="default" w:ascii="Times New Roman" w:hAnsi="Times New Roman" w:cs="Times New Roman"/>
                      <w:b/>
                      <w:caps w:val="0"/>
                      <w:smallCaps w:val="0"/>
                      <w:color w:val="auto"/>
                      <w:sz w:val="21"/>
                      <w:szCs w:val="21"/>
                      <w:highlight w:val="none"/>
                    </w:rPr>
                    <w:t>Q（危险物质数量与临界量比值）</w:t>
                  </w:r>
                </w:p>
              </w:tc>
            </w:tr>
            <w:tr w14:paraId="5FFC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2" w:type="pct"/>
                  <w:tcBorders>
                    <w:tl2br w:val="nil"/>
                    <w:tr2bl w:val="nil"/>
                  </w:tcBorders>
                  <w:noWrap w:val="0"/>
                  <w:vAlign w:val="center"/>
                </w:tcPr>
                <w:p w14:paraId="2FD86520">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ascii="Times New Roman" w:hAnsi="Times New Roman" w:eastAsia="宋体" w:cs="Times New Roman"/>
                      <w:caps w:val="0"/>
                      <w:smallCaps w:val="0"/>
                      <w:color w:val="auto"/>
                      <w:sz w:val="21"/>
                      <w:szCs w:val="21"/>
                      <w:highlight w:val="none"/>
                      <w:lang w:eastAsia="zh-CN"/>
                    </w:rPr>
                  </w:pPr>
                  <w:r>
                    <w:rPr>
                      <w:rFonts w:hint="eastAsia" w:ascii="Times New Roman" w:hAnsi="Times New Roman" w:cs="Times New Roman"/>
                      <w:caps w:val="0"/>
                      <w:smallCaps w:val="0"/>
                      <w:color w:val="auto"/>
                      <w:sz w:val="21"/>
                      <w:szCs w:val="21"/>
                      <w:highlight w:val="none"/>
                      <w:lang w:val="en-US" w:eastAsia="zh-CN"/>
                    </w:rPr>
                    <w:t>1</w:t>
                  </w:r>
                </w:p>
              </w:tc>
              <w:tc>
                <w:tcPr>
                  <w:tcW w:w="697" w:type="pct"/>
                  <w:tcBorders>
                    <w:tl2br w:val="nil"/>
                    <w:tr2bl w:val="nil"/>
                  </w:tcBorders>
                  <w:noWrap w:val="0"/>
                  <w:vAlign w:val="center"/>
                </w:tcPr>
                <w:p w14:paraId="47341EE7">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eastAsia="zh-CN"/>
                    </w:rPr>
                  </w:pPr>
                  <w:r>
                    <w:rPr>
                      <w:rFonts w:hint="default" w:ascii="Times New Roman" w:hAnsi="Times New Roman" w:cs="Times New Roman"/>
                      <w:caps w:val="0"/>
                      <w:smallCaps w:val="0"/>
                      <w:color w:val="auto"/>
                      <w:sz w:val="21"/>
                      <w:szCs w:val="21"/>
                      <w:highlight w:val="none"/>
                      <w:lang w:eastAsia="zh-CN"/>
                    </w:rPr>
                    <w:t>硫酸</w:t>
                  </w:r>
                </w:p>
              </w:tc>
              <w:tc>
                <w:tcPr>
                  <w:tcW w:w="797" w:type="pct"/>
                  <w:tcBorders>
                    <w:tl2br w:val="nil"/>
                    <w:tr2bl w:val="nil"/>
                  </w:tcBorders>
                  <w:noWrap w:val="0"/>
                  <w:vAlign w:val="center"/>
                </w:tcPr>
                <w:p w14:paraId="3A846177">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7664-93-9</w:t>
                  </w:r>
                </w:p>
              </w:tc>
              <w:tc>
                <w:tcPr>
                  <w:tcW w:w="546" w:type="pct"/>
                  <w:tcBorders>
                    <w:tl2br w:val="nil"/>
                    <w:tr2bl w:val="nil"/>
                  </w:tcBorders>
                  <w:noWrap w:val="0"/>
                  <w:vAlign w:val="center"/>
                </w:tcPr>
                <w:p w14:paraId="64B684DD">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eastAsia="zh-CN"/>
                    </w:rPr>
                    <w:t>桶</w:t>
                  </w:r>
                  <w:r>
                    <w:rPr>
                      <w:rFonts w:hint="default" w:ascii="Times New Roman" w:hAnsi="Times New Roman" w:eastAsia="宋体" w:cs="Times New Roman"/>
                      <w:caps w:val="0"/>
                      <w:smallCaps w:val="0"/>
                      <w:color w:val="auto"/>
                      <w:sz w:val="21"/>
                      <w:szCs w:val="21"/>
                      <w:highlight w:val="none"/>
                      <w:lang w:eastAsia="zh-CN"/>
                    </w:rPr>
                    <w:t>装</w:t>
                  </w:r>
                </w:p>
              </w:tc>
              <w:tc>
                <w:tcPr>
                  <w:tcW w:w="816" w:type="pct"/>
                  <w:tcBorders>
                    <w:tl2br w:val="nil"/>
                    <w:tr2bl w:val="nil"/>
                  </w:tcBorders>
                  <w:noWrap w:val="0"/>
                  <w:vAlign w:val="center"/>
                </w:tcPr>
                <w:p w14:paraId="776094C3">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2</w:t>
                  </w:r>
                </w:p>
              </w:tc>
              <w:tc>
                <w:tcPr>
                  <w:tcW w:w="691" w:type="pct"/>
                  <w:tcBorders>
                    <w:tl2br w:val="nil"/>
                    <w:tr2bl w:val="nil"/>
                  </w:tcBorders>
                  <w:noWrap w:val="0"/>
                  <w:vAlign w:val="center"/>
                </w:tcPr>
                <w:p w14:paraId="2B124105">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10</w:t>
                  </w:r>
                </w:p>
              </w:tc>
              <w:tc>
                <w:tcPr>
                  <w:tcW w:w="1088" w:type="pct"/>
                  <w:tcBorders>
                    <w:tl2br w:val="nil"/>
                    <w:tr2bl w:val="nil"/>
                  </w:tcBorders>
                  <w:noWrap w:val="0"/>
                  <w:vAlign w:val="center"/>
                </w:tcPr>
                <w:p w14:paraId="51BE04CF">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0.2</w:t>
                  </w:r>
                </w:p>
              </w:tc>
            </w:tr>
            <w:tr w14:paraId="1529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62" w:type="pct"/>
                  <w:tcBorders>
                    <w:tl2br w:val="nil"/>
                    <w:tr2bl w:val="nil"/>
                  </w:tcBorders>
                  <w:noWrap w:val="0"/>
                  <w:vAlign w:val="center"/>
                </w:tcPr>
                <w:p w14:paraId="66477537">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2</w:t>
                  </w:r>
                </w:p>
              </w:tc>
              <w:tc>
                <w:tcPr>
                  <w:tcW w:w="697" w:type="pct"/>
                  <w:tcBorders>
                    <w:tl2br w:val="nil"/>
                    <w:tr2bl w:val="nil"/>
                  </w:tcBorders>
                  <w:noWrap w:val="0"/>
                  <w:vAlign w:val="center"/>
                </w:tcPr>
                <w:p w14:paraId="732D18C2">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cs="Times New Roman"/>
                      <w:caps w:val="0"/>
                      <w:smallCaps w:val="0"/>
                      <w:color w:val="auto"/>
                      <w:sz w:val="21"/>
                      <w:szCs w:val="21"/>
                      <w:highlight w:val="none"/>
                      <w:lang w:eastAsia="zh-CN"/>
                    </w:rPr>
                  </w:pPr>
                  <w:r>
                    <w:rPr>
                      <w:rFonts w:hint="eastAsia" w:cs="Times New Roman"/>
                      <w:caps w:val="0"/>
                      <w:smallCaps w:val="0"/>
                      <w:color w:val="auto"/>
                      <w:sz w:val="21"/>
                      <w:szCs w:val="21"/>
                      <w:highlight w:val="none"/>
                      <w:lang w:eastAsia="zh-CN"/>
                    </w:rPr>
                    <w:t>盐酸</w:t>
                  </w:r>
                </w:p>
              </w:tc>
              <w:tc>
                <w:tcPr>
                  <w:tcW w:w="797" w:type="pct"/>
                  <w:tcBorders>
                    <w:tl2br w:val="nil"/>
                    <w:tr2bl w:val="nil"/>
                  </w:tcBorders>
                  <w:noWrap w:val="0"/>
                  <w:vAlign w:val="center"/>
                </w:tcPr>
                <w:p w14:paraId="6C5D6B1D">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Arial" w:hAnsi="Arial" w:eastAsia="宋体" w:cs="Arial"/>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7647-01-0</w:t>
                  </w:r>
                  <w:r>
                    <w:rPr>
                      <w:rFonts w:hint="default" w:ascii="Arial" w:hAnsi="Arial" w:eastAsia="宋体" w:cs="Arial"/>
                      <w:caps w:val="0"/>
                      <w:smallCaps w:val="0"/>
                      <w:color w:val="auto"/>
                      <w:sz w:val="21"/>
                      <w:szCs w:val="21"/>
                      <w:highlight w:val="none"/>
                      <w:lang w:val="en-US" w:eastAsia="zh-CN"/>
                    </w:rPr>
                    <w:t xml:space="preserve"> </w:t>
                  </w:r>
                </w:p>
              </w:tc>
              <w:tc>
                <w:tcPr>
                  <w:tcW w:w="546" w:type="pct"/>
                  <w:tcBorders>
                    <w:tl2br w:val="nil"/>
                    <w:tr2bl w:val="nil"/>
                  </w:tcBorders>
                  <w:noWrap w:val="0"/>
                  <w:vAlign w:val="center"/>
                </w:tcPr>
                <w:p w14:paraId="12DAC61E">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ascii="Times New Roman" w:hAnsi="Times New Roman" w:cs="Times New Roman"/>
                      <w:caps w:val="0"/>
                      <w:smallCaps w:val="0"/>
                      <w:color w:val="auto"/>
                      <w:sz w:val="21"/>
                      <w:szCs w:val="21"/>
                      <w:highlight w:val="none"/>
                      <w:lang w:eastAsia="zh-CN"/>
                    </w:rPr>
                  </w:pPr>
                  <w:r>
                    <w:rPr>
                      <w:rFonts w:hint="eastAsia" w:ascii="Times New Roman" w:hAnsi="Times New Roman" w:cs="Times New Roman"/>
                      <w:caps w:val="0"/>
                      <w:smallCaps w:val="0"/>
                      <w:color w:val="auto"/>
                      <w:sz w:val="21"/>
                      <w:szCs w:val="21"/>
                      <w:highlight w:val="none"/>
                      <w:lang w:eastAsia="zh-CN"/>
                    </w:rPr>
                    <w:t>桶</w:t>
                  </w:r>
                  <w:r>
                    <w:rPr>
                      <w:rFonts w:hint="default" w:ascii="Times New Roman" w:hAnsi="Times New Roman" w:eastAsia="宋体" w:cs="Times New Roman"/>
                      <w:caps w:val="0"/>
                      <w:smallCaps w:val="0"/>
                      <w:color w:val="auto"/>
                      <w:sz w:val="21"/>
                      <w:szCs w:val="21"/>
                      <w:highlight w:val="none"/>
                      <w:lang w:eastAsia="zh-CN"/>
                    </w:rPr>
                    <w:t>装</w:t>
                  </w:r>
                </w:p>
              </w:tc>
              <w:tc>
                <w:tcPr>
                  <w:tcW w:w="816" w:type="pct"/>
                  <w:tcBorders>
                    <w:tl2br w:val="nil"/>
                    <w:tr2bl w:val="nil"/>
                  </w:tcBorders>
                  <w:noWrap w:val="0"/>
                  <w:vAlign w:val="center"/>
                </w:tcPr>
                <w:p w14:paraId="2A4C277E">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2</w:t>
                  </w:r>
                </w:p>
              </w:tc>
              <w:tc>
                <w:tcPr>
                  <w:tcW w:w="691" w:type="pct"/>
                  <w:tcBorders>
                    <w:tl2br w:val="nil"/>
                    <w:tr2bl w:val="nil"/>
                  </w:tcBorders>
                  <w:noWrap w:val="0"/>
                  <w:vAlign w:val="center"/>
                </w:tcPr>
                <w:p w14:paraId="68933719">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7.5</w:t>
                  </w:r>
                </w:p>
              </w:tc>
              <w:tc>
                <w:tcPr>
                  <w:tcW w:w="1088" w:type="pct"/>
                  <w:tcBorders>
                    <w:tl2br w:val="nil"/>
                    <w:tr2bl w:val="nil"/>
                  </w:tcBorders>
                  <w:noWrap w:val="0"/>
                  <w:vAlign w:val="center"/>
                </w:tcPr>
                <w:p w14:paraId="7C92DA3B">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0.2667</w:t>
                  </w:r>
                </w:p>
              </w:tc>
            </w:tr>
            <w:tr w14:paraId="4C61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62" w:type="pct"/>
                  <w:tcBorders>
                    <w:tl2br w:val="nil"/>
                    <w:tr2bl w:val="nil"/>
                  </w:tcBorders>
                  <w:noWrap w:val="0"/>
                  <w:vAlign w:val="center"/>
                </w:tcPr>
                <w:p w14:paraId="3638E410">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3</w:t>
                  </w:r>
                </w:p>
              </w:tc>
              <w:tc>
                <w:tcPr>
                  <w:tcW w:w="697" w:type="pct"/>
                  <w:tcBorders>
                    <w:tl2br w:val="nil"/>
                    <w:tr2bl w:val="nil"/>
                  </w:tcBorders>
                  <w:noWrap w:val="0"/>
                  <w:vAlign w:val="center"/>
                </w:tcPr>
                <w:p w14:paraId="53645082">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eastAsia="zh-CN"/>
                    </w:rPr>
                  </w:pPr>
                  <w:r>
                    <w:rPr>
                      <w:rFonts w:hint="eastAsia" w:ascii="Times New Roman" w:hAnsi="Times New Roman" w:cs="Times New Roman"/>
                      <w:caps w:val="0"/>
                      <w:smallCaps w:val="0"/>
                      <w:color w:val="auto"/>
                      <w:sz w:val="21"/>
                      <w:szCs w:val="21"/>
                      <w:highlight w:val="none"/>
                      <w:lang w:eastAsia="zh-CN"/>
                    </w:rPr>
                    <w:t>废机油</w:t>
                  </w:r>
                </w:p>
              </w:tc>
              <w:tc>
                <w:tcPr>
                  <w:tcW w:w="797" w:type="pct"/>
                  <w:tcBorders>
                    <w:tl2br w:val="nil"/>
                    <w:tr2bl w:val="nil"/>
                  </w:tcBorders>
                  <w:noWrap w:val="0"/>
                  <w:vAlign w:val="center"/>
                </w:tcPr>
                <w:p w14:paraId="29C44923">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caps w:val="0"/>
                      <w:smallCaps w:val="0"/>
                      <w:color w:val="auto"/>
                      <w:sz w:val="21"/>
                      <w:szCs w:val="21"/>
                      <w:highlight w:val="none"/>
                    </w:rPr>
                  </w:pPr>
                  <w:r>
                    <w:rPr>
                      <w:rFonts w:hint="default" w:ascii="Arial" w:hAnsi="Arial" w:eastAsia="宋体" w:cs="Arial"/>
                      <w:caps w:val="0"/>
                      <w:smallCaps w:val="0"/>
                      <w:color w:val="auto"/>
                      <w:sz w:val="21"/>
                      <w:szCs w:val="21"/>
                      <w:highlight w:val="none"/>
                    </w:rPr>
                    <w:t>⁄</w:t>
                  </w:r>
                </w:p>
              </w:tc>
              <w:tc>
                <w:tcPr>
                  <w:tcW w:w="546" w:type="pct"/>
                  <w:tcBorders>
                    <w:tl2br w:val="nil"/>
                    <w:tr2bl w:val="nil"/>
                  </w:tcBorders>
                  <w:noWrap w:val="0"/>
                  <w:vAlign w:val="center"/>
                </w:tcPr>
                <w:p w14:paraId="4951B822">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eastAsia="zh-CN"/>
                    </w:rPr>
                    <w:t>桶</w:t>
                  </w:r>
                  <w:r>
                    <w:rPr>
                      <w:rFonts w:hint="default" w:ascii="Times New Roman" w:hAnsi="Times New Roman" w:eastAsia="宋体" w:cs="Times New Roman"/>
                      <w:caps w:val="0"/>
                      <w:smallCaps w:val="0"/>
                      <w:color w:val="auto"/>
                      <w:sz w:val="21"/>
                      <w:szCs w:val="21"/>
                      <w:highlight w:val="none"/>
                      <w:lang w:eastAsia="zh-CN"/>
                    </w:rPr>
                    <w:t>装</w:t>
                  </w:r>
                </w:p>
              </w:tc>
              <w:tc>
                <w:tcPr>
                  <w:tcW w:w="816" w:type="pct"/>
                  <w:tcBorders>
                    <w:tl2br w:val="nil"/>
                    <w:tr2bl w:val="nil"/>
                  </w:tcBorders>
                  <w:noWrap w:val="0"/>
                  <w:vAlign w:val="center"/>
                </w:tcPr>
                <w:p w14:paraId="05BE8D46">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0.</w:t>
                  </w:r>
                  <w:r>
                    <w:rPr>
                      <w:rFonts w:hint="eastAsia" w:ascii="Times New Roman" w:hAnsi="Times New Roman" w:cs="Times New Roman"/>
                      <w:caps w:val="0"/>
                      <w:smallCaps w:val="0"/>
                      <w:color w:val="auto"/>
                      <w:sz w:val="21"/>
                      <w:szCs w:val="21"/>
                      <w:highlight w:val="none"/>
                      <w:lang w:val="en-US" w:eastAsia="zh-CN"/>
                    </w:rPr>
                    <w:t>5</w:t>
                  </w:r>
                </w:p>
              </w:tc>
              <w:tc>
                <w:tcPr>
                  <w:tcW w:w="691" w:type="pct"/>
                  <w:tcBorders>
                    <w:tl2br w:val="nil"/>
                    <w:tr2bl w:val="nil"/>
                  </w:tcBorders>
                  <w:noWrap w:val="0"/>
                  <w:vAlign w:val="center"/>
                </w:tcPr>
                <w:p w14:paraId="6EE0DB9B">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2500</w:t>
                  </w:r>
                </w:p>
              </w:tc>
              <w:tc>
                <w:tcPr>
                  <w:tcW w:w="1088" w:type="pct"/>
                  <w:tcBorders>
                    <w:tl2br w:val="nil"/>
                    <w:tr2bl w:val="nil"/>
                  </w:tcBorders>
                  <w:noWrap w:val="0"/>
                  <w:vAlign w:val="center"/>
                </w:tcPr>
                <w:p w14:paraId="219B868C">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0.0</w:t>
                  </w:r>
                  <w:r>
                    <w:rPr>
                      <w:rFonts w:hint="eastAsia" w:ascii="Times New Roman" w:hAnsi="Times New Roman" w:cs="Times New Roman"/>
                      <w:caps w:val="0"/>
                      <w:smallCaps w:val="0"/>
                      <w:color w:val="auto"/>
                      <w:sz w:val="21"/>
                      <w:szCs w:val="21"/>
                      <w:highlight w:val="none"/>
                      <w:lang w:val="en-US" w:eastAsia="zh-CN"/>
                    </w:rPr>
                    <w:t>004</w:t>
                  </w:r>
                </w:p>
              </w:tc>
            </w:tr>
            <w:tr w14:paraId="60E3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62" w:type="pct"/>
                  <w:tcBorders>
                    <w:tl2br w:val="nil"/>
                    <w:tr2bl w:val="nil"/>
                  </w:tcBorders>
                  <w:noWrap w:val="0"/>
                  <w:vAlign w:val="center"/>
                </w:tcPr>
                <w:p w14:paraId="70B0ABD7">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4</w:t>
                  </w:r>
                </w:p>
              </w:tc>
              <w:tc>
                <w:tcPr>
                  <w:tcW w:w="697" w:type="pct"/>
                  <w:tcBorders>
                    <w:tl2br w:val="nil"/>
                    <w:tr2bl w:val="nil"/>
                  </w:tcBorders>
                  <w:noWrap w:val="0"/>
                  <w:vAlign w:val="center"/>
                </w:tcPr>
                <w:p w14:paraId="33920114">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ascii="Times New Roman" w:hAnsi="Times New Roman" w:cs="Times New Roman"/>
                      <w:caps w:val="0"/>
                      <w:smallCaps w:val="0"/>
                      <w:color w:val="auto"/>
                      <w:sz w:val="21"/>
                      <w:szCs w:val="21"/>
                      <w:highlight w:val="none"/>
                      <w:lang w:eastAsia="zh-CN"/>
                    </w:rPr>
                  </w:pPr>
                  <w:r>
                    <w:rPr>
                      <w:rFonts w:hint="eastAsia" w:cs="Times New Roman"/>
                      <w:caps w:val="0"/>
                      <w:smallCaps w:val="0"/>
                      <w:color w:val="auto"/>
                      <w:sz w:val="21"/>
                      <w:szCs w:val="21"/>
                      <w:highlight w:val="none"/>
                      <w:lang w:eastAsia="zh-CN"/>
                    </w:rPr>
                    <w:t>氯化氢</w:t>
                  </w:r>
                </w:p>
              </w:tc>
              <w:tc>
                <w:tcPr>
                  <w:tcW w:w="797" w:type="pct"/>
                  <w:tcBorders>
                    <w:tl2br w:val="nil"/>
                    <w:tr2bl w:val="nil"/>
                  </w:tcBorders>
                  <w:noWrap w:val="0"/>
                  <w:vAlign w:val="center"/>
                </w:tcPr>
                <w:p w14:paraId="34A8D8D8">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Arial" w:hAnsi="Arial" w:eastAsia="宋体" w:cs="Arial"/>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lang w:val="en-US" w:eastAsia="zh-CN"/>
                    </w:rPr>
                    <w:t>7647-01-0</w:t>
                  </w:r>
                </w:p>
              </w:tc>
              <w:tc>
                <w:tcPr>
                  <w:tcW w:w="546" w:type="pct"/>
                  <w:tcBorders>
                    <w:tl2br w:val="nil"/>
                    <w:tr2bl w:val="nil"/>
                  </w:tcBorders>
                  <w:noWrap w:val="0"/>
                  <w:vAlign w:val="center"/>
                </w:tcPr>
                <w:p w14:paraId="1D504745">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ascii="Times New Roman" w:hAnsi="Times New Roman" w:cs="Times New Roman"/>
                      <w:caps w:val="0"/>
                      <w:smallCaps w:val="0"/>
                      <w:color w:val="auto"/>
                      <w:sz w:val="21"/>
                      <w:szCs w:val="21"/>
                      <w:highlight w:val="none"/>
                      <w:lang w:eastAsia="zh-CN"/>
                    </w:rPr>
                  </w:pPr>
                  <w:r>
                    <w:rPr>
                      <w:rFonts w:hint="default" w:ascii="Arial" w:hAnsi="Arial" w:eastAsia="宋体" w:cs="Arial"/>
                      <w:caps w:val="0"/>
                      <w:smallCaps w:val="0"/>
                      <w:color w:val="auto"/>
                      <w:sz w:val="21"/>
                      <w:szCs w:val="21"/>
                      <w:highlight w:val="none"/>
                    </w:rPr>
                    <w:t>⁄</w:t>
                  </w:r>
                </w:p>
              </w:tc>
              <w:tc>
                <w:tcPr>
                  <w:tcW w:w="816" w:type="pct"/>
                  <w:tcBorders>
                    <w:tl2br w:val="nil"/>
                    <w:tr2bl w:val="nil"/>
                  </w:tcBorders>
                  <w:noWrap w:val="0"/>
                  <w:vAlign w:val="center"/>
                </w:tcPr>
                <w:p w14:paraId="116E7A23">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0.00097</w:t>
                  </w:r>
                </w:p>
              </w:tc>
              <w:tc>
                <w:tcPr>
                  <w:tcW w:w="691" w:type="pct"/>
                  <w:tcBorders>
                    <w:tl2br w:val="nil"/>
                    <w:tr2bl w:val="nil"/>
                  </w:tcBorders>
                  <w:noWrap w:val="0"/>
                  <w:vAlign w:val="center"/>
                </w:tcPr>
                <w:p w14:paraId="7EEAD122">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2.5</w:t>
                  </w:r>
                </w:p>
              </w:tc>
              <w:tc>
                <w:tcPr>
                  <w:tcW w:w="1088" w:type="pct"/>
                  <w:tcBorders>
                    <w:tl2br w:val="nil"/>
                    <w:tr2bl w:val="nil"/>
                  </w:tcBorders>
                  <w:noWrap w:val="0"/>
                  <w:vAlign w:val="center"/>
                </w:tcPr>
                <w:p w14:paraId="2753C8FF">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0.0004</w:t>
                  </w:r>
                </w:p>
              </w:tc>
            </w:tr>
            <w:tr w14:paraId="2284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62" w:type="pct"/>
                  <w:tcBorders>
                    <w:tl2br w:val="nil"/>
                    <w:tr2bl w:val="nil"/>
                  </w:tcBorders>
                  <w:noWrap w:val="0"/>
                  <w:vAlign w:val="center"/>
                </w:tcPr>
                <w:p w14:paraId="66826CF1">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5</w:t>
                  </w:r>
                </w:p>
              </w:tc>
              <w:tc>
                <w:tcPr>
                  <w:tcW w:w="697" w:type="pct"/>
                  <w:tcBorders>
                    <w:tl2br w:val="nil"/>
                    <w:tr2bl w:val="nil"/>
                  </w:tcBorders>
                  <w:noWrap w:val="0"/>
                  <w:vAlign w:val="center"/>
                </w:tcPr>
                <w:p w14:paraId="099FB1C0">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cs="Times New Roman"/>
                      <w:caps w:val="0"/>
                      <w:smallCaps w:val="0"/>
                      <w:color w:val="auto"/>
                      <w:sz w:val="21"/>
                      <w:szCs w:val="21"/>
                      <w:highlight w:val="none"/>
                      <w:lang w:eastAsia="zh-CN"/>
                    </w:rPr>
                  </w:pPr>
                  <w:r>
                    <w:rPr>
                      <w:rFonts w:hint="eastAsia" w:cs="Times New Roman"/>
                      <w:caps w:val="0"/>
                      <w:smallCaps w:val="0"/>
                      <w:color w:val="auto"/>
                      <w:sz w:val="21"/>
                      <w:szCs w:val="21"/>
                      <w:highlight w:val="none"/>
                      <w:lang w:eastAsia="zh-CN"/>
                    </w:rPr>
                    <w:t>氟化氢</w:t>
                  </w:r>
                </w:p>
              </w:tc>
              <w:tc>
                <w:tcPr>
                  <w:tcW w:w="797" w:type="pct"/>
                  <w:tcBorders>
                    <w:tl2br w:val="nil"/>
                    <w:tr2bl w:val="nil"/>
                  </w:tcBorders>
                  <w:noWrap w:val="0"/>
                  <w:vAlign w:val="center"/>
                </w:tcPr>
                <w:p w14:paraId="08ABE19E">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eastAsia="宋体" w:cs="Times New Roman"/>
                      <w:caps w:val="0"/>
                      <w:smallCaps w:val="0"/>
                      <w:color w:val="auto"/>
                      <w:sz w:val="21"/>
                      <w:szCs w:val="21"/>
                      <w:highlight w:val="none"/>
                      <w:lang w:val="en-US" w:eastAsia="zh-CN"/>
                    </w:rPr>
                    <w:t>7664-39-3</w:t>
                  </w:r>
                </w:p>
              </w:tc>
              <w:tc>
                <w:tcPr>
                  <w:tcW w:w="546" w:type="pct"/>
                  <w:tcBorders>
                    <w:tl2br w:val="nil"/>
                    <w:tr2bl w:val="nil"/>
                  </w:tcBorders>
                  <w:noWrap w:val="0"/>
                  <w:vAlign w:val="center"/>
                </w:tcPr>
                <w:p w14:paraId="690F0D55">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ascii="Times New Roman" w:hAnsi="Times New Roman" w:cs="Times New Roman"/>
                      <w:caps w:val="0"/>
                      <w:smallCaps w:val="0"/>
                      <w:color w:val="auto"/>
                      <w:sz w:val="21"/>
                      <w:szCs w:val="21"/>
                      <w:highlight w:val="none"/>
                      <w:lang w:eastAsia="zh-CN"/>
                    </w:rPr>
                  </w:pPr>
                  <w:r>
                    <w:rPr>
                      <w:rFonts w:hint="default" w:ascii="Arial" w:hAnsi="Arial" w:eastAsia="宋体" w:cs="Arial"/>
                      <w:caps w:val="0"/>
                      <w:smallCaps w:val="0"/>
                      <w:color w:val="auto"/>
                      <w:sz w:val="21"/>
                      <w:szCs w:val="21"/>
                      <w:highlight w:val="none"/>
                    </w:rPr>
                    <w:t>⁄</w:t>
                  </w:r>
                </w:p>
              </w:tc>
              <w:tc>
                <w:tcPr>
                  <w:tcW w:w="816" w:type="pct"/>
                  <w:tcBorders>
                    <w:tl2br w:val="nil"/>
                    <w:tr2bl w:val="nil"/>
                  </w:tcBorders>
                  <w:noWrap w:val="0"/>
                  <w:vAlign w:val="center"/>
                </w:tcPr>
                <w:p w14:paraId="1030FD4A">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0.00025</w:t>
                  </w:r>
                </w:p>
              </w:tc>
              <w:tc>
                <w:tcPr>
                  <w:tcW w:w="691" w:type="pct"/>
                  <w:tcBorders>
                    <w:tl2br w:val="nil"/>
                    <w:tr2bl w:val="nil"/>
                  </w:tcBorders>
                  <w:noWrap w:val="0"/>
                  <w:vAlign w:val="center"/>
                </w:tcPr>
                <w:p w14:paraId="3D081518">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eastAsia" w:cs="Times New Roman"/>
                      <w:caps w:val="0"/>
                      <w:smallCaps w:val="0"/>
                      <w:color w:val="auto"/>
                      <w:sz w:val="21"/>
                      <w:szCs w:val="21"/>
                      <w:highlight w:val="none"/>
                      <w:lang w:val="en-US" w:eastAsia="zh-CN"/>
                    </w:rPr>
                  </w:pPr>
                  <w:r>
                    <w:rPr>
                      <w:rFonts w:hint="default" w:ascii="Arial" w:hAnsi="Arial" w:eastAsia="宋体" w:cs="Arial"/>
                      <w:caps w:val="0"/>
                      <w:smallCaps w:val="0"/>
                      <w:color w:val="auto"/>
                      <w:sz w:val="21"/>
                      <w:szCs w:val="21"/>
                      <w:highlight w:val="none"/>
                    </w:rPr>
                    <w:t>⁄</w:t>
                  </w:r>
                </w:p>
              </w:tc>
              <w:tc>
                <w:tcPr>
                  <w:tcW w:w="1088" w:type="pct"/>
                  <w:tcBorders>
                    <w:tl2br w:val="nil"/>
                    <w:tr2bl w:val="nil"/>
                  </w:tcBorders>
                  <w:noWrap w:val="0"/>
                  <w:vAlign w:val="center"/>
                </w:tcPr>
                <w:p w14:paraId="7C86690D">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w:t>
                  </w:r>
                </w:p>
              </w:tc>
            </w:tr>
            <w:tr w14:paraId="7C81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911" w:type="pct"/>
                  <w:gridSpan w:val="6"/>
                  <w:tcBorders>
                    <w:tl2br w:val="nil"/>
                    <w:tr2bl w:val="nil"/>
                  </w:tcBorders>
                  <w:noWrap w:val="0"/>
                  <w:vAlign w:val="center"/>
                </w:tcPr>
                <w:p w14:paraId="4459F9F9">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cs="Times New Roman"/>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合计</w:t>
                  </w:r>
                </w:p>
              </w:tc>
              <w:tc>
                <w:tcPr>
                  <w:tcW w:w="1088" w:type="pct"/>
                  <w:tcBorders>
                    <w:tl2br w:val="nil"/>
                    <w:tr2bl w:val="nil"/>
                  </w:tcBorders>
                  <w:noWrap w:val="0"/>
                  <w:vAlign w:val="center"/>
                </w:tcPr>
                <w:p w14:paraId="7703F33B">
                  <w:pPr>
                    <w:keepNext w:val="0"/>
                    <w:keepLines w:val="0"/>
                    <w:pageBreakBefore w:val="0"/>
                    <w:widowControl w:val="0"/>
                    <w:shd w:val="clear" w:color="auto" w:fill="auto"/>
                    <w:kinsoku/>
                    <w:wordWrap/>
                    <w:overflowPunct/>
                    <w:topLinePunct w:val="0"/>
                    <w:autoSpaceDE/>
                    <w:autoSpaceDN/>
                    <w:bidi w:val="0"/>
                    <w:snapToGrid w:val="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0.4675</w:t>
                  </w:r>
                </w:p>
              </w:tc>
            </w:tr>
          </w:tbl>
          <w:p w14:paraId="36F025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aps w:val="0"/>
                <w:smallCaps w:val="0"/>
                <w:color w:val="auto"/>
                <w:sz w:val="24"/>
                <w:highlight w:val="none"/>
                <w:lang w:val="en-US" w:eastAsia="zh-CN"/>
              </w:rPr>
            </w:pPr>
            <w:r>
              <w:rPr>
                <w:rFonts w:hint="default" w:ascii="Times New Roman" w:hAnsi="Times New Roman" w:eastAsia="宋体" w:cs="Times New Roman"/>
                <w:caps w:val="0"/>
                <w:smallCaps w:val="0"/>
                <w:color w:val="auto"/>
                <w:sz w:val="24"/>
                <w:highlight w:val="none"/>
                <w:lang w:val="zh-CN"/>
              </w:rPr>
              <w:t>根据《建设项目环境风险评价技术导则》HJ/T169-2018及上述计算可知，本项目Q=</w:t>
            </w:r>
            <w:r>
              <w:rPr>
                <w:rFonts w:hint="eastAsia" w:cs="Times New Roman"/>
                <w:caps w:val="0"/>
                <w:smallCaps w:val="0"/>
                <w:color w:val="auto"/>
                <w:sz w:val="24"/>
                <w:highlight w:val="none"/>
                <w:lang w:val="en-US" w:eastAsia="zh-CN"/>
              </w:rPr>
              <w:t>0.4675</w:t>
            </w:r>
            <w:r>
              <w:rPr>
                <w:rFonts w:hint="default" w:ascii="Times New Roman" w:hAnsi="Times New Roman" w:eastAsia="宋体" w:cs="Times New Roman"/>
                <w:caps w:val="0"/>
                <w:smallCaps w:val="0"/>
                <w:color w:val="auto"/>
                <w:sz w:val="24"/>
                <w:highlight w:val="none"/>
                <w:lang w:val="zh-CN"/>
              </w:rPr>
              <w:t>&lt;1，项目</w:t>
            </w:r>
            <w:r>
              <w:rPr>
                <w:rFonts w:hint="eastAsia" w:ascii="Times New Roman" w:hAnsi="Times New Roman" w:eastAsia="宋体" w:cs="Times New Roman"/>
                <w:caps w:val="0"/>
                <w:smallCaps w:val="0"/>
                <w:color w:val="auto"/>
                <w:sz w:val="24"/>
                <w:highlight w:val="none"/>
                <w:lang w:val="zh-CN" w:eastAsia="zh-CN"/>
              </w:rPr>
              <w:t>涉及的危险物质厂区最大储存量</w:t>
            </w:r>
            <w:r>
              <w:rPr>
                <w:rFonts w:hint="default" w:ascii="Times New Roman" w:hAnsi="Times New Roman" w:eastAsia="宋体" w:cs="Times New Roman"/>
                <w:caps w:val="0"/>
                <w:smallCaps w:val="0"/>
                <w:color w:val="auto"/>
                <w:sz w:val="24"/>
                <w:highlight w:val="none"/>
                <w:lang w:val="zh-CN"/>
              </w:rPr>
              <w:t>均低于临界量，危险物质Q值总</w:t>
            </w:r>
            <w:r>
              <w:rPr>
                <w:rFonts w:hint="eastAsia" w:ascii="Times New Roman" w:hAnsi="Times New Roman" w:eastAsia="宋体" w:cs="Times New Roman"/>
                <w:caps w:val="0"/>
                <w:smallCaps w:val="0"/>
                <w:color w:val="auto"/>
                <w:sz w:val="24"/>
                <w:highlight w:val="none"/>
                <w:lang w:val="zh-CN" w:eastAsia="zh-CN"/>
              </w:rPr>
              <w:t>和</w:t>
            </w:r>
            <w:r>
              <w:rPr>
                <w:rFonts w:hint="default" w:ascii="Times New Roman" w:hAnsi="Times New Roman" w:eastAsia="宋体" w:cs="Times New Roman"/>
                <w:caps w:val="0"/>
                <w:smallCaps w:val="0"/>
                <w:color w:val="auto"/>
                <w:sz w:val="24"/>
                <w:highlight w:val="none"/>
                <w:lang w:val="zh-CN"/>
              </w:rPr>
              <w:t>也小于1，故项目环境风险潜势为Ⅰ。</w:t>
            </w:r>
          </w:p>
          <w:p w14:paraId="072331E5">
            <w:pPr>
              <w:keepNext w:val="0"/>
              <w:keepLines w:val="0"/>
              <w:pageBreakBefore w:val="0"/>
              <w:widowControl w:val="0"/>
              <w:kinsoku/>
              <w:wordWrap/>
              <w:overflowPunct/>
              <w:topLinePunct w:val="0"/>
              <w:autoSpaceDE/>
              <w:autoSpaceDN/>
              <w:bidi w:val="0"/>
              <w:adjustRightInd w:val="0"/>
              <w:snapToGrid w:val="0"/>
              <w:spacing w:line="360" w:lineRule="auto"/>
              <w:ind w:left="479" w:leftChars="228" w:firstLine="0" w:firstLineChars="0"/>
              <w:textAlignment w:val="auto"/>
              <w:rPr>
                <w:rFonts w:hint="default" w:ascii="Times New Roman" w:hAnsi="Times New Roman" w:eastAsia="宋体" w:cs="Times New Roman"/>
                <w:b/>
                <w:bCs/>
                <w:caps w:val="0"/>
                <w:smallCaps w:val="0"/>
                <w:color w:val="auto"/>
                <w:sz w:val="24"/>
                <w:highlight w:val="none"/>
                <w:lang w:val="zh-CN"/>
              </w:rPr>
            </w:pPr>
            <w:r>
              <w:rPr>
                <w:rFonts w:hint="eastAsia" w:ascii="Times New Roman" w:hAnsi="Times New Roman" w:eastAsia="宋体" w:cs="Times New Roman"/>
                <w:b/>
                <w:bCs/>
                <w:caps w:val="0"/>
                <w:smallCaps w:val="0"/>
                <w:color w:val="auto"/>
                <w:sz w:val="24"/>
                <w:highlight w:val="none"/>
                <w:lang w:val="zh-CN" w:eastAsia="zh-CN"/>
              </w:rPr>
              <w:t>（</w:t>
            </w:r>
            <w:r>
              <w:rPr>
                <w:rFonts w:hint="eastAsia" w:ascii="Times New Roman" w:hAnsi="Times New Roman" w:eastAsia="宋体" w:cs="Times New Roman"/>
                <w:b/>
                <w:bCs/>
                <w:caps w:val="0"/>
                <w:smallCaps w:val="0"/>
                <w:color w:val="auto"/>
                <w:sz w:val="24"/>
                <w:highlight w:val="none"/>
                <w:lang w:val="en-US" w:eastAsia="zh-CN"/>
              </w:rPr>
              <w:t>4</w:t>
            </w:r>
            <w:r>
              <w:rPr>
                <w:rFonts w:hint="eastAsia" w:ascii="Times New Roman" w:hAnsi="Times New Roman" w:eastAsia="宋体" w:cs="Times New Roman"/>
                <w:b/>
                <w:bCs/>
                <w:caps w:val="0"/>
                <w:smallCaps w:val="0"/>
                <w:color w:val="auto"/>
                <w:sz w:val="24"/>
                <w:highlight w:val="none"/>
                <w:lang w:val="zh-CN" w:eastAsia="zh-CN"/>
              </w:rPr>
              <w:t>）</w:t>
            </w:r>
            <w:r>
              <w:rPr>
                <w:rFonts w:hint="default" w:ascii="Times New Roman" w:hAnsi="Times New Roman" w:eastAsia="宋体" w:cs="Times New Roman"/>
                <w:b/>
                <w:bCs/>
                <w:caps w:val="0"/>
                <w:smallCaps w:val="0"/>
                <w:color w:val="auto"/>
                <w:sz w:val="24"/>
                <w:highlight w:val="none"/>
                <w:lang w:val="zh-CN"/>
              </w:rPr>
              <w:t>环境风险评价工作等级</w:t>
            </w:r>
          </w:p>
          <w:p w14:paraId="14BE0228">
            <w:pPr>
              <w:keepNext w:val="0"/>
              <w:keepLines w:val="0"/>
              <w:pageBreakBefore w:val="0"/>
              <w:widowControl w:val="0"/>
              <w:kinsoku/>
              <w:wordWrap/>
              <w:overflowPunct/>
              <w:topLinePunct w:val="0"/>
              <w:autoSpaceDE/>
              <w:autoSpaceDN/>
              <w:bidi w:val="0"/>
              <w:adjustRightInd w:val="0"/>
              <w:snapToGrid w:val="0"/>
              <w:spacing w:line="360" w:lineRule="auto"/>
              <w:ind w:left="479" w:leftChars="228" w:firstLine="0" w:firstLineChars="0"/>
              <w:textAlignment w:val="auto"/>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caps w:val="0"/>
                <w:smallCaps w:val="0"/>
                <w:color w:val="auto"/>
                <w:sz w:val="24"/>
                <w:highlight w:val="none"/>
                <w:lang w:val="zh-CN"/>
              </w:rPr>
              <w:t>环境风险评价等级按环境风险潜势，按下表确定。</w:t>
            </w:r>
          </w:p>
          <w:p w14:paraId="5213ED29">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eastAsia" w:ascii="Times New Roman" w:hAnsi="Times New Roman" w:eastAsia="宋体" w:cs="Times New Roman"/>
                <w:b/>
                <w:bCs/>
                <w:color w:val="auto"/>
                <w:kern w:val="0"/>
                <w:highlight w:val="none"/>
                <w:lang w:val="en-US" w:eastAsia="zh-CN"/>
              </w:rPr>
              <w:t>4-</w:t>
            </w:r>
            <w:r>
              <w:rPr>
                <w:rFonts w:hint="eastAsia" w:cs="Times New Roman"/>
                <w:b/>
                <w:bCs/>
                <w:color w:val="auto"/>
                <w:kern w:val="0"/>
                <w:highlight w:val="none"/>
                <w:lang w:val="en-US" w:eastAsia="zh-CN"/>
              </w:rPr>
              <w:t>23</w:t>
            </w:r>
            <w:r>
              <w:rPr>
                <w:rFonts w:hint="default" w:ascii="Times New Roman" w:hAnsi="Times New Roman" w:eastAsia="宋体" w:cs="Times New Roman"/>
                <w:b/>
                <w:bCs/>
                <w:color w:val="auto"/>
                <w:kern w:val="0"/>
                <w:highlight w:val="none"/>
              </w:rPr>
              <w:t xml:space="preserve">  环境风险评价等级划分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59"/>
              <w:gridCol w:w="1659"/>
              <w:gridCol w:w="1659"/>
              <w:gridCol w:w="1660"/>
            </w:tblGrid>
            <w:tr w14:paraId="78D7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59" w:type="dxa"/>
                  <w:noWrap w:val="0"/>
                  <w:vAlign w:val="center"/>
                </w:tcPr>
                <w:p w14:paraId="590315BC">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环境风险潜势</w:t>
                  </w:r>
                </w:p>
              </w:tc>
              <w:tc>
                <w:tcPr>
                  <w:tcW w:w="1659" w:type="dxa"/>
                  <w:noWrap w:val="0"/>
                  <w:vAlign w:val="center"/>
                </w:tcPr>
                <w:p w14:paraId="5B715947">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Ⅳ、Ⅳ</w:t>
                  </w:r>
                  <w:r>
                    <w:rPr>
                      <w:rFonts w:hint="default" w:ascii="Times New Roman" w:hAnsi="Times New Roman" w:eastAsia="宋体" w:cs="Times New Roman"/>
                      <w:b/>
                      <w:color w:val="auto"/>
                      <w:kern w:val="0"/>
                      <w:sz w:val="21"/>
                      <w:szCs w:val="21"/>
                      <w:highlight w:val="none"/>
                      <w:vertAlign w:val="superscript"/>
                    </w:rPr>
                    <w:t>+</w:t>
                  </w:r>
                </w:p>
              </w:tc>
              <w:tc>
                <w:tcPr>
                  <w:tcW w:w="1659" w:type="dxa"/>
                  <w:noWrap w:val="0"/>
                  <w:vAlign w:val="center"/>
                </w:tcPr>
                <w:p w14:paraId="4C6B9D98">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Ⅲ</w:t>
                  </w:r>
                </w:p>
              </w:tc>
              <w:tc>
                <w:tcPr>
                  <w:tcW w:w="1659" w:type="dxa"/>
                  <w:noWrap w:val="0"/>
                  <w:vAlign w:val="center"/>
                </w:tcPr>
                <w:p w14:paraId="03125D46">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Ⅱ</w:t>
                  </w:r>
                </w:p>
              </w:tc>
              <w:tc>
                <w:tcPr>
                  <w:tcW w:w="1660" w:type="dxa"/>
                  <w:noWrap w:val="0"/>
                  <w:vAlign w:val="center"/>
                </w:tcPr>
                <w:p w14:paraId="26F7D2CD">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Ⅰ</w:t>
                  </w:r>
                </w:p>
              </w:tc>
            </w:tr>
            <w:tr w14:paraId="59D5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659" w:type="dxa"/>
                  <w:noWrap w:val="0"/>
                  <w:vAlign w:val="center"/>
                </w:tcPr>
                <w:p w14:paraId="4B44D081">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评价工作等级</w:t>
                  </w:r>
                </w:p>
              </w:tc>
              <w:tc>
                <w:tcPr>
                  <w:tcW w:w="1659" w:type="dxa"/>
                  <w:noWrap w:val="0"/>
                  <w:vAlign w:val="center"/>
                </w:tcPr>
                <w:p w14:paraId="285540FE">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一</w:t>
                  </w:r>
                </w:p>
              </w:tc>
              <w:tc>
                <w:tcPr>
                  <w:tcW w:w="1659" w:type="dxa"/>
                  <w:noWrap w:val="0"/>
                  <w:vAlign w:val="center"/>
                </w:tcPr>
                <w:p w14:paraId="5ACB5199">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二</w:t>
                  </w:r>
                </w:p>
              </w:tc>
              <w:tc>
                <w:tcPr>
                  <w:tcW w:w="1659" w:type="dxa"/>
                  <w:noWrap w:val="0"/>
                  <w:vAlign w:val="center"/>
                </w:tcPr>
                <w:p w14:paraId="0C694D8D">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三</w:t>
                  </w:r>
                </w:p>
              </w:tc>
              <w:tc>
                <w:tcPr>
                  <w:tcW w:w="1660" w:type="dxa"/>
                  <w:noWrap w:val="0"/>
                  <w:vAlign w:val="center"/>
                </w:tcPr>
                <w:p w14:paraId="3A8846C4">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简单分析</w:t>
                  </w:r>
                </w:p>
              </w:tc>
            </w:tr>
            <w:tr w14:paraId="5611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296" w:type="dxa"/>
                  <w:gridSpan w:val="5"/>
                  <w:noWrap w:val="0"/>
                  <w:vAlign w:val="center"/>
                </w:tcPr>
                <w:p w14:paraId="529EA97F">
                  <w:pPr>
                    <w:adjustRightInd w:val="0"/>
                    <w:snapToGrid w:val="0"/>
                    <w:jc w:val="left"/>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a是相对于详细评价工作内容而言，在描述危险物质、环境影响途径、环境危害后果、风险防范措施等方面给出定性的说明。</w:t>
                  </w:r>
                </w:p>
              </w:tc>
            </w:tr>
          </w:tbl>
          <w:p w14:paraId="057559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color w:val="auto"/>
                <w:sz w:val="24"/>
                <w:highlight w:val="none"/>
              </w:rPr>
              <w:t>根据计算，本项目Q&lt;1</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环境风险潜势为</w:t>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ROMAN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I</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，根据表</w:t>
            </w:r>
            <w:r>
              <w:rPr>
                <w:rFonts w:hint="eastAsia"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23</w:t>
            </w:r>
            <w:r>
              <w:rPr>
                <w:rFonts w:hint="default" w:ascii="Times New Roman" w:hAnsi="Times New Roman" w:eastAsia="宋体" w:cs="Times New Roman"/>
                <w:color w:val="auto"/>
                <w:sz w:val="24"/>
                <w:highlight w:val="none"/>
              </w:rPr>
              <w:t>划分本项目评价工作等级为简单分析。</w:t>
            </w:r>
          </w:p>
          <w:p w14:paraId="16C9675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lang w:eastAsia="zh-CN"/>
              </w:rPr>
              <w:t>（</w:t>
            </w:r>
            <w:r>
              <w:rPr>
                <w:rFonts w:hint="eastAsia" w:ascii="Times New Roman" w:hAnsi="Times New Roman" w:eastAsia="宋体" w:cs="Times New Roman"/>
                <w:b/>
                <w:bCs/>
                <w:color w:val="auto"/>
                <w:kern w:val="0"/>
                <w:sz w:val="24"/>
                <w:highlight w:val="none"/>
                <w:lang w:val="en-US" w:eastAsia="zh-CN"/>
              </w:rPr>
              <w:t>5</w:t>
            </w:r>
            <w:r>
              <w:rPr>
                <w:rFonts w:hint="eastAsia" w:ascii="Times New Roman" w:hAnsi="Times New Roman" w:eastAsia="宋体" w:cs="Times New Roman"/>
                <w:b/>
                <w:bCs/>
                <w:color w:val="auto"/>
                <w:kern w:val="0"/>
                <w:sz w:val="24"/>
                <w:highlight w:val="none"/>
                <w:lang w:eastAsia="zh-CN"/>
              </w:rPr>
              <w:t>）</w:t>
            </w:r>
            <w:r>
              <w:rPr>
                <w:rFonts w:hint="default" w:ascii="Times New Roman" w:hAnsi="Times New Roman" w:eastAsia="宋体" w:cs="Times New Roman"/>
                <w:b/>
                <w:bCs/>
                <w:color w:val="auto"/>
                <w:kern w:val="0"/>
                <w:sz w:val="24"/>
                <w:highlight w:val="none"/>
              </w:rPr>
              <w:t>环境风险保护目标</w:t>
            </w:r>
          </w:p>
          <w:p w14:paraId="669954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eastAsia="zh-CN"/>
              </w:rPr>
            </w:pPr>
            <w:r>
              <w:rPr>
                <w:rFonts w:hint="default" w:ascii="Times New Roman" w:hAnsi="Times New Roman" w:eastAsia="宋体" w:cs="Times New Roman"/>
                <w:bCs/>
                <w:color w:val="auto"/>
                <w:kern w:val="0"/>
                <w:sz w:val="24"/>
                <w:highlight w:val="none"/>
              </w:rPr>
              <w:t>项目环境风险保护目标，按环境风险影响范围500m设定，见下表所示。</w:t>
            </w:r>
          </w:p>
          <w:p w14:paraId="615E49A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kern w:val="0"/>
                <w:sz w:val="24"/>
                <w:highlight w:val="none"/>
              </w:rPr>
            </w:pPr>
            <w:r>
              <w:rPr>
                <w:rFonts w:hint="default" w:ascii="Times New Roman" w:hAnsi="Times New Roman" w:cs="Times New Roman"/>
                <w:b/>
                <w:bCs/>
                <w:color w:val="auto"/>
                <w:sz w:val="21"/>
                <w:szCs w:val="21"/>
                <w:highlight w:val="none"/>
                <w:lang w:eastAsia="zh-CN"/>
              </w:rPr>
              <w:t>表</w:t>
            </w:r>
            <w:r>
              <w:rPr>
                <w:rFonts w:hint="eastAsia" w:ascii="Times New Roman" w:hAnsi="Times New Roman"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24</w:t>
            </w:r>
            <w:r>
              <w:rPr>
                <w:rFonts w:hint="default" w:ascii="Times New Roman" w:hAnsi="Times New Roman" w:cs="Times New Roman"/>
                <w:b/>
                <w:bCs/>
                <w:color w:val="auto"/>
                <w:sz w:val="21"/>
                <w:szCs w:val="21"/>
                <w:highlight w:val="none"/>
                <w:lang w:val="en-US" w:eastAsia="zh-CN"/>
              </w:rPr>
              <w:t xml:space="preserve">  项目周围主要环境敏感目标概况</w:t>
            </w:r>
          </w:p>
          <w:tbl>
            <w:tblPr>
              <w:tblStyle w:val="25"/>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2"/>
              <w:gridCol w:w="1845"/>
              <w:gridCol w:w="1450"/>
              <w:gridCol w:w="1265"/>
              <w:gridCol w:w="1110"/>
              <w:gridCol w:w="1617"/>
            </w:tblGrid>
            <w:tr w14:paraId="2EC1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61" w:type="pct"/>
                  <w:noWrap w:val="0"/>
                  <w:vAlign w:val="center"/>
                </w:tcPr>
                <w:p w14:paraId="6A1BA1BE">
                  <w:pPr>
                    <w:pStyle w:val="88"/>
                    <w:spacing w:after="0" w:afterLines="0" w:line="240" w:lineRule="auto"/>
                    <w:ind w:firstLine="0"/>
                    <w:jc w:val="center"/>
                    <w:rPr>
                      <w:rFonts w:hint="eastAsia" w:ascii="Times New Roman" w:hAnsi="Times New Roman" w:eastAsia="宋体" w:cs="Times New Roman"/>
                      <w:b/>
                      <w:bCs/>
                      <w:caps w:val="0"/>
                      <w:smallCaps w:val="0"/>
                      <w:color w:val="auto"/>
                      <w:spacing w:val="0"/>
                      <w:sz w:val="21"/>
                      <w:szCs w:val="21"/>
                      <w:highlight w:val="none"/>
                      <w:lang w:eastAsia="zh-CN"/>
                    </w:rPr>
                  </w:pPr>
                  <w:r>
                    <w:rPr>
                      <w:rFonts w:hint="eastAsia" w:ascii="Times New Roman" w:hAnsi="Times New Roman" w:eastAsia="宋体" w:cs="Times New Roman"/>
                      <w:b/>
                      <w:bCs/>
                      <w:caps w:val="0"/>
                      <w:smallCaps w:val="0"/>
                      <w:color w:val="auto"/>
                      <w:spacing w:val="0"/>
                      <w:sz w:val="21"/>
                      <w:szCs w:val="21"/>
                      <w:highlight w:val="none"/>
                      <w:lang w:eastAsia="zh-CN"/>
                    </w:rPr>
                    <w:t>类比</w:t>
                  </w:r>
                </w:p>
              </w:tc>
              <w:tc>
                <w:tcPr>
                  <w:tcW w:w="1098" w:type="pct"/>
                  <w:noWrap w:val="0"/>
                  <w:vAlign w:val="center"/>
                </w:tcPr>
                <w:p w14:paraId="07E66BD6">
                  <w:pPr>
                    <w:pStyle w:val="88"/>
                    <w:spacing w:after="0" w:afterLines="0" w:line="240" w:lineRule="auto"/>
                    <w:ind w:firstLine="0"/>
                    <w:jc w:val="center"/>
                    <w:rPr>
                      <w:rFonts w:hint="default" w:ascii="Times New Roman" w:hAnsi="Times New Roman" w:eastAsia="宋体" w:cs="Times New Roman"/>
                      <w:b/>
                      <w:bCs/>
                      <w:caps w:val="0"/>
                      <w:smallCaps w:val="0"/>
                      <w:color w:val="auto"/>
                      <w:spacing w:val="0"/>
                      <w:sz w:val="21"/>
                      <w:szCs w:val="21"/>
                      <w:highlight w:val="none"/>
                    </w:rPr>
                  </w:pPr>
                  <w:r>
                    <w:rPr>
                      <w:rFonts w:hint="eastAsia" w:ascii="Times New Roman" w:hAnsi="Times New Roman" w:eastAsia="宋体" w:cs="Times New Roman"/>
                      <w:b/>
                      <w:bCs/>
                      <w:caps w:val="0"/>
                      <w:smallCaps w:val="0"/>
                      <w:color w:val="auto"/>
                      <w:spacing w:val="0"/>
                      <w:sz w:val="21"/>
                      <w:szCs w:val="21"/>
                      <w:highlight w:val="none"/>
                      <w:lang w:eastAsia="zh-CN"/>
                    </w:rPr>
                    <w:t>敏感</w:t>
                  </w:r>
                  <w:r>
                    <w:rPr>
                      <w:rFonts w:hint="default" w:ascii="Times New Roman" w:hAnsi="Times New Roman" w:eastAsia="宋体" w:cs="Times New Roman"/>
                      <w:b/>
                      <w:bCs/>
                      <w:caps w:val="0"/>
                      <w:smallCaps w:val="0"/>
                      <w:color w:val="auto"/>
                      <w:spacing w:val="0"/>
                      <w:sz w:val="21"/>
                      <w:szCs w:val="21"/>
                      <w:highlight w:val="none"/>
                    </w:rPr>
                    <w:t>目标</w:t>
                  </w:r>
                </w:p>
              </w:tc>
              <w:tc>
                <w:tcPr>
                  <w:tcW w:w="863" w:type="pct"/>
                  <w:noWrap w:val="0"/>
                  <w:vAlign w:val="center"/>
                </w:tcPr>
                <w:p w14:paraId="2D5EF512">
                  <w:pPr>
                    <w:pStyle w:val="88"/>
                    <w:spacing w:after="0" w:afterLines="0" w:line="240" w:lineRule="auto"/>
                    <w:ind w:firstLine="0"/>
                    <w:jc w:val="center"/>
                    <w:rPr>
                      <w:rFonts w:hint="default" w:ascii="Times New Roman" w:hAnsi="Times New Roman" w:eastAsia="宋体" w:cs="Times New Roman"/>
                      <w:b/>
                      <w:bCs/>
                      <w:caps w:val="0"/>
                      <w:smallCaps w:val="0"/>
                      <w:color w:val="auto"/>
                      <w:spacing w:val="0"/>
                      <w:sz w:val="21"/>
                      <w:szCs w:val="21"/>
                      <w:highlight w:val="none"/>
                    </w:rPr>
                  </w:pPr>
                  <w:r>
                    <w:rPr>
                      <w:rFonts w:hint="eastAsia" w:ascii="Times New Roman" w:hAnsi="Times New Roman" w:eastAsia="宋体" w:cs="Times New Roman"/>
                      <w:b/>
                      <w:bCs/>
                      <w:caps w:val="0"/>
                      <w:smallCaps w:val="0"/>
                      <w:color w:val="auto"/>
                      <w:spacing w:val="0"/>
                      <w:sz w:val="21"/>
                      <w:szCs w:val="21"/>
                      <w:highlight w:val="none"/>
                      <w:lang w:eastAsia="zh-CN"/>
                    </w:rPr>
                    <w:t>相对</w:t>
                  </w:r>
                  <w:r>
                    <w:rPr>
                      <w:rFonts w:hint="default" w:ascii="Times New Roman" w:hAnsi="Times New Roman" w:eastAsia="宋体" w:cs="Times New Roman"/>
                      <w:b/>
                      <w:bCs/>
                      <w:caps w:val="0"/>
                      <w:smallCaps w:val="0"/>
                      <w:color w:val="auto"/>
                      <w:spacing w:val="0"/>
                      <w:sz w:val="21"/>
                      <w:szCs w:val="21"/>
                      <w:highlight w:val="none"/>
                    </w:rPr>
                    <w:t>方位</w:t>
                  </w:r>
                </w:p>
              </w:tc>
              <w:tc>
                <w:tcPr>
                  <w:tcW w:w="753" w:type="pct"/>
                  <w:noWrap w:val="0"/>
                  <w:vAlign w:val="center"/>
                </w:tcPr>
                <w:p w14:paraId="7ED2E991">
                  <w:pPr>
                    <w:pStyle w:val="88"/>
                    <w:spacing w:after="0" w:afterLines="0" w:line="240" w:lineRule="auto"/>
                    <w:ind w:firstLine="0"/>
                    <w:jc w:val="center"/>
                    <w:rPr>
                      <w:rFonts w:hint="default" w:ascii="Times New Roman" w:hAnsi="Times New Roman" w:eastAsia="宋体" w:cs="Times New Roman"/>
                      <w:b/>
                      <w:bCs/>
                      <w:caps w:val="0"/>
                      <w:smallCaps w:val="0"/>
                      <w:color w:val="auto"/>
                      <w:spacing w:val="0"/>
                      <w:sz w:val="21"/>
                      <w:szCs w:val="21"/>
                      <w:highlight w:val="none"/>
                    </w:rPr>
                  </w:pPr>
                  <w:r>
                    <w:rPr>
                      <w:rFonts w:hint="eastAsia" w:ascii="Times New Roman" w:hAnsi="Times New Roman" w:eastAsia="宋体" w:cs="Times New Roman"/>
                      <w:b/>
                      <w:bCs/>
                      <w:caps w:val="0"/>
                      <w:smallCaps w:val="0"/>
                      <w:color w:val="auto"/>
                      <w:spacing w:val="0"/>
                      <w:sz w:val="21"/>
                      <w:szCs w:val="21"/>
                      <w:highlight w:val="none"/>
                      <w:lang w:eastAsia="zh-CN"/>
                    </w:rPr>
                    <w:t>直线</w:t>
                  </w:r>
                  <w:r>
                    <w:rPr>
                      <w:rFonts w:hint="default" w:ascii="Times New Roman" w:hAnsi="Times New Roman" w:eastAsia="宋体" w:cs="Times New Roman"/>
                      <w:b/>
                      <w:bCs/>
                      <w:caps w:val="0"/>
                      <w:smallCaps w:val="0"/>
                      <w:color w:val="auto"/>
                      <w:spacing w:val="0"/>
                      <w:sz w:val="21"/>
                      <w:szCs w:val="21"/>
                      <w:highlight w:val="none"/>
                    </w:rPr>
                    <w:t>距离</w:t>
                  </w:r>
                </w:p>
              </w:tc>
              <w:tc>
                <w:tcPr>
                  <w:tcW w:w="660" w:type="pct"/>
                  <w:noWrap w:val="0"/>
                  <w:vAlign w:val="center"/>
                </w:tcPr>
                <w:p w14:paraId="0E539083">
                  <w:pPr>
                    <w:keepNext w:val="0"/>
                    <w:keepLines w:val="0"/>
                    <w:pageBreakBefore w:val="0"/>
                    <w:widowControl/>
                    <w:kinsoku/>
                    <w:wordWrap/>
                    <w:overflowPunct/>
                    <w:topLinePunct w:val="0"/>
                    <w:autoSpaceDE/>
                    <w:autoSpaceDN/>
                    <w:bidi w:val="0"/>
                    <w:adjustRightInd/>
                    <w:snapToGrid w:val="0"/>
                    <w:jc w:val="center"/>
                    <w:textAlignment w:val="auto"/>
                    <w:outlineLvl w:val="9"/>
                    <w:rPr>
                      <w:rFonts w:hint="default" w:ascii="Times New Roman" w:hAnsi="Times New Roman" w:eastAsia="宋体" w:cs="Times New Roman"/>
                      <w:b/>
                      <w:bCs/>
                      <w:caps w:val="0"/>
                      <w:smallCaps w:val="0"/>
                      <w:color w:val="auto"/>
                      <w:spacing w:val="0"/>
                      <w:sz w:val="21"/>
                      <w:szCs w:val="21"/>
                      <w:highlight w:val="none"/>
                    </w:rPr>
                  </w:pPr>
                  <w:r>
                    <w:rPr>
                      <w:rFonts w:hint="default" w:ascii="Times New Roman" w:hAnsi="Times New Roman" w:eastAsia="宋体" w:cs="Times New Roman"/>
                      <w:b/>
                      <w:bCs/>
                      <w:color w:val="auto"/>
                      <w:sz w:val="21"/>
                      <w:szCs w:val="21"/>
                      <w:highlight w:val="none"/>
                      <w:lang w:eastAsia="zh-CN"/>
                    </w:rPr>
                    <w:t>属性</w:t>
                  </w:r>
                </w:p>
              </w:tc>
              <w:tc>
                <w:tcPr>
                  <w:tcW w:w="962" w:type="pct"/>
                  <w:noWrap w:val="0"/>
                  <w:vAlign w:val="center"/>
                </w:tcPr>
                <w:p w14:paraId="7C2476D7">
                  <w:pPr>
                    <w:keepNext w:val="0"/>
                    <w:keepLines w:val="0"/>
                    <w:pageBreakBefore w:val="0"/>
                    <w:widowControl/>
                    <w:kinsoku/>
                    <w:wordWrap/>
                    <w:overflowPunct/>
                    <w:topLinePunct w:val="0"/>
                    <w:autoSpaceDE/>
                    <w:autoSpaceDN/>
                    <w:bidi w:val="0"/>
                    <w:adjustRightInd/>
                    <w:snapToGrid w:val="0"/>
                    <w:jc w:val="center"/>
                    <w:textAlignment w:val="auto"/>
                    <w:outlineLvl w:val="9"/>
                    <w:rPr>
                      <w:rFonts w:hint="default" w:ascii="Times New Roman" w:hAnsi="Times New Roman" w:eastAsia="宋体" w:cs="Times New Roman"/>
                      <w:b/>
                      <w:bCs/>
                      <w:caps w:val="0"/>
                      <w:smallCaps w:val="0"/>
                      <w:color w:val="auto"/>
                      <w:spacing w:val="0"/>
                      <w:sz w:val="21"/>
                      <w:szCs w:val="21"/>
                      <w:highlight w:val="none"/>
                    </w:rPr>
                  </w:pPr>
                  <w:r>
                    <w:rPr>
                      <w:rFonts w:hint="default" w:ascii="Times New Roman" w:hAnsi="Times New Roman" w:eastAsia="宋体" w:cs="Times New Roman"/>
                      <w:b/>
                      <w:bCs/>
                      <w:color w:val="auto"/>
                      <w:sz w:val="21"/>
                      <w:szCs w:val="21"/>
                      <w:highlight w:val="none"/>
                      <w:lang w:eastAsia="zh-CN"/>
                    </w:rPr>
                    <w:t>人数（人）</w:t>
                  </w:r>
                </w:p>
              </w:tc>
            </w:tr>
            <w:tr w14:paraId="701C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1" w:type="pct"/>
                  <w:noWrap w:val="0"/>
                  <w:vAlign w:val="center"/>
                </w:tcPr>
                <w:p w14:paraId="7C963C1C">
                  <w:pPr>
                    <w:pStyle w:val="88"/>
                    <w:spacing w:after="0" w:afterLines="0" w:line="240" w:lineRule="auto"/>
                    <w:ind w:firstLine="0"/>
                    <w:jc w:val="center"/>
                    <w:rPr>
                      <w:rFonts w:hint="eastAsia" w:ascii="Times New Roman" w:hAnsi="Times New Roman" w:eastAsia="宋体" w:cs="Times New Roman"/>
                      <w:caps w:val="0"/>
                      <w:smallCaps w:val="0"/>
                      <w:color w:val="auto"/>
                      <w:spacing w:val="0"/>
                      <w:sz w:val="21"/>
                      <w:szCs w:val="21"/>
                      <w:highlight w:val="none"/>
                      <w:lang w:val="en-US" w:eastAsia="zh-CN"/>
                    </w:rPr>
                  </w:pPr>
                  <w:r>
                    <w:rPr>
                      <w:rFonts w:hint="eastAsia" w:ascii="Times New Roman" w:hAnsi="Times New Roman" w:eastAsia="宋体" w:cs="Times New Roman"/>
                      <w:caps w:val="0"/>
                      <w:smallCaps w:val="0"/>
                      <w:color w:val="auto"/>
                      <w:spacing w:val="0"/>
                      <w:sz w:val="21"/>
                      <w:szCs w:val="21"/>
                      <w:highlight w:val="none"/>
                      <w:lang w:eastAsia="zh-CN"/>
                    </w:rPr>
                    <w:t>环境空气</w:t>
                  </w:r>
                </w:p>
              </w:tc>
              <w:tc>
                <w:tcPr>
                  <w:tcW w:w="1098" w:type="pct"/>
                  <w:noWrap w:val="0"/>
                  <w:vAlign w:val="center"/>
                </w:tcPr>
                <w:p w14:paraId="075AEEBD">
                  <w:pPr>
                    <w:pStyle w:val="69"/>
                    <w:spacing w:before="60"/>
                    <w:jc w:val="center"/>
                    <w:rPr>
                      <w:rFonts w:hint="default" w:ascii="Times New Roman" w:hAnsi="Times New Roman" w:eastAsia="宋体" w:cs="Times New Roman"/>
                      <w:caps w:val="0"/>
                      <w:smallCaps w:val="0"/>
                      <w:color w:val="auto"/>
                      <w:sz w:val="21"/>
                      <w:szCs w:val="21"/>
                      <w:highlight w:val="none"/>
                    </w:rPr>
                  </w:pPr>
                  <w:r>
                    <w:rPr>
                      <w:rFonts w:hint="eastAsia" w:ascii="Times New Roman" w:hAnsi="Times New Roman" w:cs="Times New Roman"/>
                      <w:caps w:val="0"/>
                      <w:smallCaps w:val="0"/>
                      <w:color w:val="auto"/>
                      <w:sz w:val="21"/>
                      <w:szCs w:val="21"/>
                      <w:highlight w:val="none"/>
                      <w:lang w:val="en-US" w:eastAsia="zh-CN"/>
                    </w:rPr>
                    <w:t>深沟村</w:t>
                  </w:r>
                </w:p>
              </w:tc>
              <w:tc>
                <w:tcPr>
                  <w:tcW w:w="863" w:type="pct"/>
                  <w:noWrap w:val="0"/>
                  <w:vAlign w:val="center"/>
                </w:tcPr>
                <w:p w14:paraId="7002431E">
                  <w:pPr>
                    <w:pStyle w:val="88"/>
                    <w:spacing w:after="0" w:afterLines="0"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rPr>
                  </w:pPr>
                  <w:r>
                    <w:rPr>
                      <w:rFonts w:hint="eastAsia" w:ascii="Times New Roman" w:hAnsi="Times New Roman" w:eastAsia="宋体" w:cs="Times New Roman"/>
                      <w:caps w:val="0"/>
                      <w:smallCaps w:val="0"/>
                      <w:color w:val="auto"/>
                      <w:spacing w:val="-4"/>
                      <w:sz w:val="21"/>
                      <w:szCs w:val="21"/>
                      <w:highlight w:val="none"/>
                      <w:lang w:val="en-US" w:eastAsia="zh-CN"/>
                    </w:rPr>
                    <w:t>东南侧</w:t>
                  </w:r>
                </w:p>
              </w:tc>
              <w:tc>
                <w:tcPr>
                  <w:tcW w:w="753" w:type="pct"/>
                  <w:noWrap w:val="0"/>
                  <w:vAlign w:val="center"/>
                </w:tcPr>
                <w:p w14:paraId="4574AD28">
                  <w:pPr>
                    <w:pStyle w:val="88"/>
                    <w:spacing w:after="0" w:afterLines="0"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rPr>
                  </w:pPr>
                  <w:r>
                    <w:rPr>
                      <w:rFonts w:hint="eastAsia" w:ascii="Times New Roman" w:hAnsi="Times New Roman" w:cs="Times New Roman"/>
                      <w:caps w:val="0"/>
                      <w:smallCaps w:val="0"/>
                      <w:color w:val="auto"/>
                      <w:spacing w:val="-4"/>
                      <w:sz w:val="21"/>
                      <w:szCs w:val="21"/>
                      <w:highlight w:val="none"/>
                      <w:lang w:val="en-US" w:eastAsia="zh-CN"/>
                    </w:rPr>
                    <w:t>320</w:t>
                  </w:r>
                  <w:r>
                    <w:rPr>
                      <w:rFonts w:hint="default" w:ascii="Times New Roman" w:hAnsi="Times New Roman" w:eastAsia="宋体" w:cs="Times New Roman"/>
                      <w:caps w:val="0"/>
                      <w:smallCaps w:val="0"/>
                      <w:color w:val="auto"/>
                      <w:spacing w:val="-4"/>
                      <w:sz w:val="21"/>
                      <w:szCs w:val="21"/>
                      <w:highlight w:val="none"/>
                    </w:rPr>
                    <w:t>m</w:t>
                  </w:r>
                </w:p>
              </w:tc>
              <w:tc>
                <w:tcPr>
                  <w:tcW w:w="660" w:type="pct"/>
                  <w:noWrap w:val="0"/>
                  <w:vAlign w:val="center"/>
                </w:tcPr>
                <w:p w14:paraId="57D6FB4B">
                  <w:pPr>
                    <w:pStyle w:val="88"/>
                    <w:spacing w:after="0" w:afterLines="0" w:line="240" w:lineRule="auto"/>
                    <w:ind w:firstLine="0" w:firstLineChars="0"/>
                    <w:jc w:val="center"/>
                    <w:rPr>
                      <w:rFonts w:hint="default" w:ascii="Times New Roman" w:hAnsi="Times New Roman" w:eastAsia="宋体" w:cs="Times New Roman"/>
                      <w:caps w:val="0"/>
                      <w:smallCaps w:val="0"/>
                      <w:color w:val="auto"/>
                      <w:sz w:val="21"/>
                      <w:szCs w:val="21"/>
                      <w:highlight w:val="none"/>
                    </w:rPr>
                  </w:pPr>
                  <w:r>
                    <w:rPr>
                      <w:rFonts w:hint="eastAsia" w:ascii="Times New Roman" w:hAnsi="Times New Roman" w:eastAsia="宋体" w:cs="Times New Roman"/>
                      <w:caps w:val="0"/>
                      <w:smallCaps w:val="0"/>
                      <w:color w:val="auto"/>
                      <w:spacing w:val="-4"/>
                      <w:sz w:val="21"/>
                      <w:szCs w:val="21"/>
                      <w:highlight w:val="none"/>
                      <w:lang w:eastAsia="zh-CN"/>
                    </w:rPr>
                    <w:t>居民</w:t>
                  </w:r>
                </w:p>
              </w:tc>
              <w:tc>
                <w:tcPr>
                  <w:tcW w:w="962" w:type="pct"/>
                  <w:noWrap w:val="0"/>
                  <w:vAlign w:val="center"/>
                </w:tcPr>
                <w:p w14:paraId="54DAF245">
                  <w:pPr>
                    <w:pStyle w:val="88"/>
                    <w:spacing w:after="0" w:afterLines="0" w:line="240" w:lineRule="auto"/>
                    <w:ind w:firstLine="0" w:firstLineChars="0"/>
                    <w:jc w:val="center"/>
                    <w:rPr>
                      <w:rFonts w:hint="default" w:ascii="Times New Roman" w:hAnsi="Times New Roman" w:eastAsia="宋体" w:cs="Times New Roman"/>
                      <w:caps w:val="0"/>
                      <w:smallCaps w:val="0"/>
                      <w:color w:val="auto"/>
                      <w:spacing w:val="0"/>
                      <w:sz w:val="21"/>
                      <w:szCs w:val="21"/>
                      <w:highlight w:val="none"/>
                    </w:rPr>
                  </w:pPr>
                  <w:r>
                    <w:rPr>
                      <w:rFonts w:hint="eastAsia" w:ascii="Times New Roman" w:hAnsi="Times New Roman" w:eastAsia="宋体" w:cs="Times New Roman"/>
                      <w:caps w:val="0"/>
                      <w:smallCaps w:val="0"/>
                      <w:color w:val="auto"/>
                      <w:sz w:val="21"/>
                      <w:szCs w:val="21"/>
                      <w:highlight w:val="none"/>
                      <w:lang w:eastAsia="zh-CN"/>
                    </w:rPr>
                    <w:t>约</w:t>
                  </w:r>
                  <w:r>
                    <w:rPr>
                      <w:rFonts w:hint="eastAsia" w:ascii="Times New Roman" w:hAnsi="Times New Roman" w:cs="Times New Roman"/>
                      <w:caps w:val="0"/>
                      <w:smallCaps w:val="0"/>
                      <w:color w:val="auto"/>
                      <w:sz w:val="21"/>
                      <w:szCs w:val="21"/>
                      <w:highlight w:val="none"/>
                      <w:lang w:val="en-US" w:eastAsia="zh-CN"/>
                    </w:rPr>
                    <w:t>3</w:t>
                  </w:r>
                  <w:r>
                    <w:rPr>
                      <w:rFonts w:hint="eastAsia" w:ascii="Times New Roman" w:hAnsi="Times New Roman" w:eastAsia="宋体" w:cs="Times New Roman"/>
                      <w:caps w:val="0"/>
                      <w:smallCaps w:val="0"/>
                      <w:color w:val="auto"/>
                      <w:sz w:val="21"/>
                      <w:szCs w:val="21"/>
                      <w:highlight w:val="none"/>
                      <w:lang w:val="en-US" w:eastAsia="zh-CN"/>
                    </w:rPr>
                    <w:t>00人</w:t>
                  </w:r>
                </w:p>
              </w:tc>
            </w:tr>
          </w:tbl>
          <w:p w14:paraId="0186BF64">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right="0" w:firstLine="482" w:firstLineChars="20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w:t>
            </w:r>
            <w:r>
              <w:rPr>
                <w:rFonts w:hint="eastAsia" w:eastAsia="宋体" w:cs="Times New Roman"/>
                <w:b/>
                <w:bCs/>
                <w:color w:val="auto"/>
                <w:sz w:val="24"/>
                <w:szCs w:val="28"/>
                <w:highlight w:val="none"/>
                <w:lang w:val="en-US" w:eastAsia="zh-CN"/>
              </w:rPr>
              <w:t>6</w:t>
            </w:r>
            <w:r>
              <w:rPr>
                <w:rFonts w:hint="default" w:ascii="Times New Roman" w:hAnsi="Times New Roman" w:eastAsia="宋体" w:cs="Times New Roman"/>
                <w:b/>
                <w:bCs/>
                <w:color w:val="auto"/>
                <w:sz w:val="24"/>
                <w:szCs w:val="28"/>
                <w:highlight w:val="none"/>
                <w:lang w:val="en-US" w:eastAsia="zh-CN"/>
              </w:rPr>
              <w:t>）环境风险识别</w:t>
            </w:r>
          </w:p>
          <w:p w14:paraId="35C1EF2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①物质危险性识别</w:t>
            </w:r>
          </w:p>
          <w:p w14:paraId="5FA0D50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对照《建设项目环境分项评价技术导则》（HJ/T169-2018）附录B中危险物质中所列危险化学品，根据本项目生产过程中的原辅物料、中间产品、最终产品等按物质危险性、毒理指标和毒性等级分析，并考虑其燃烧爆炸性，项目主要的危险物质为</w:t>
            </w:r>
            <w:r>
              <w:rPr>
                <w:rFonts w:hint="eastAsia" w:cs="Times New Roman"/>
                <w:color w:val="auto"/>
                <w:sz w:val="24"/>
                <w:szCs w:val="28"/>
                <w:highlight w:val="none"/>
                <w:lang w:val="en-US" w:eastAsia="zh-CN"/>
              </w:rPr>
              <w:t>硫酸、盐酸、</w:t>
            </w:r>
            <w:r>
              <w:rPr>
                <w:rFonts w:hint="default" w:ascii="Times New Roman" w:hAnsi="Times New Roman" w:cs="Times New Roman"/>
                <w:color w:val="auto"/>
                <w:sz w:val="24"/>
                <w:szCs w:val="28"/>
                <w:highlight w:val="none"/>
                <w:lang w:val="en-US" w:eastAsia="zh-CN"/>
              </w:rPr>
              <w:t>废机油</w:t>
            </w:r>
            <w:r>
              <w:rPr>
                <w:rFonts w:hint="eastAsia" w:cs="Times New Roman"/>
                <w:color w:val="auto"/>
                <w:sz w:val="24"/>
                <w:szCs w:val="28"/>
                <w:highlight w:val="none"/>
                <w:lang w:val="en-US" w:eastAsia="zh-CN"/>
              </w:rPr>
              <w:t>、氯化氢气体和氟化氢气体</w:t>
            </w:r>
            <w:r>
              <w:rPr>
                <w:rFonts w:hint="default" w:ascii="Times New Roman" w:hAnsi="Times New Roman" w:cs="Times New Roman"/>
                <w:color w:val="auto"/>
                <w:sz w:val="24"/>
                <w:szCs w:val="28"/>
                <w:highlight w:val="none"/>
                <w:lang w:val="en-US" w:eastAsia="zh-CN"/>
              </w:rPr>
              <w:t>。</w:t>
            </w:r>
          </w:p>
          <w:p w14:paraId="484D233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②生产系统危险性识别</w:t>
            </w:r>
          </w:p>
          <w:p w14:paraId="663DDE9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项目在生产过程中，主要存在的潜在危险事故为</w:t>
            </w:r>
            <w:r>
              <w:rPr>
                <w:rFonts w:hint="eastAsia" w:ascii="Times New Roman" w:hAnsi="Times New Roman" w:cs="Times New Roman"/>
                <w:color w:val="auto"/>
                <w:sz w:val="24"/>
                <w:highlight w:val="none"/>
                <w:lang w:eastAsia="zh-CN"/>
              </w:rPr>
              <w:t>硫酸</w:t>
            </w:r>
            <w:r>
              <w:rPr>
                <w:rFonts w:hint="eastAsia" w:cs="Times New Roman"/>
                <w:color w:val="auto"/>
                <w:sz w:val="24"/>
                <w:highlight w:val="none"/>
                <w:lang w:eastAsia="zh-CN"/>
              </w:rPr>
              <w:t>、盐酸</w:t>
            </w:r>
            <w:r>
              <w:rPr>
                <w:rFonts w:hint="eastAsia" w:ascii="Times New Roman" w:hAnsi="Times New Roman" w:eastAsia="宋体" w:cs="Times New Roman"/>
                <w:color w:val="auto"/>
                <w:sz w:val="24"/>
                <w:highlight w:val="none"/>
              </w:rPr>
              <w:t>泄漏</w:t>
            </w:r>
            <w:r>
              <w:rPr>
                <w:rFonts w:hint="eastAsia" w:ascii="Times New Roman" w:hAnsi="Times New Roman" w:cs="Times New Roman"/>
                <w:color w:val="auto"/>
                <w:sz w:val="24"/>
                <w:highlight w:val="none"/>
                <w:lang w:eastAsia="zh-CN"/>
              </w:rPr>
              <w:t>事故、</w:t>
            </w:r>
            <w:r>
              <w:rPr>
                <w:rFonts w:hint="default" w:ascii="Times New Roman" w:hAnsi="Times New Roman" w:cs="Times New Roman"/>
                <w:color w:val="auto"/>
                <w:sz w:val="24"/>
                <w:szCs w:val="28"/>
                <w:highlight w:val="none"/>
                <w:lang w:val="en-US" w:eastAsia="zh-CN"/>
              </w:rPr>
              <w:t>废机油</w:t>
            </w:r>
            <w:r>
              <w:rPr>
                <w:rFonts w:hint="eastAsia" w:cs="Times New Roman"/>
                <w:color w:val="auto"/>
                <w:sz w:val="24"/>
                <w:szCs w:val="28"/>
                <w:highlight w:val="none"/>
                <w:lang w:val="en-US" w:eastAsia="zh-CN"/>
              </w:rPr>
              <w:t>暂存泄漏</w:t>
            </w:r>
            <w:r>
              <w:rPr>
                <w:rFonts w:hint="default" w:ascii="Times New Roman" w:hAnsi="Times New Roman" w:cs="Times New Roman"/>
                <w:color w:val="auto"/>
                <w:sz w:val="24"/>
                <w:szCs w:val="28"/>
                <w:highlight w:val="none"/>
                <w:lang w:val="en-US" w:eastAsia="zh-CN"/>
              </w:rPr>
              <w:t>事故</w:t>
            </w:r>
            <w:r>
              <w:rPr>
                <w:rFonts w:hint="eastAsia" w:cs="Times New Roman"/>
                <w:color w:val="auto"/>
                <w:sz w:val="24"/>
                <w:szCs w:val="28"/>
                <w:highlight w:val="none"/>
                <w:lang w:val="en-US" w:eastAsia="zh-CN"/>
              </w:rPr>
              <w:t>、生产废水泄漏事故、碱洗塔处理效率下降、生产过程发生火灾爆炸事故</w:t>
            </w:r>
            <w:r>
              <w:rPr>
                <w:rFonts w:hint="default" w:ascii="Times New Roman" w:hAnsi="Times New Roman" w:cs="Times New Roman"/>
                <w:color w:val="auto"/>
                <w:sz w:val="24"/>
                <w:szCs w:val="28"/>
                <w:highlight w:val="none"/>
                <w:lang w:val="en-US" w:eastAsia="zh-CN"/>
              </w:rPr>
              <w:t>。</w:t>
            </w:r>
          </w:p>
          <w:p w14:paraId="7213C20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③危险物质向环境转移的途径识别</w:t>
            </w:r>
          </w:p>
          <w:p w14:paraId="471C9E3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项目主要的危险物质为</w:t>
            </w:r>
            <w:r>
              <w:rPr>
                <w:rFonts w:hint="eastAsia" w:cs="Times New Roman"/>
                <w:color w:val="auto"/>
                <w:sz w:val="24"/>
                <w:szCs w:val="28"/>
                <w:highlight w:val="none"/>
                <w:lang w:val="en-US" w:eastAsia="zh-CN"/>
              </w:rPr>
              <w:t>硫酸、盐酸、</w:t>
            </w:r>
            <w:r>
              <w:rPr>
                <w:rFonts w:hint="default" w:ascii="Times New Roman" w:hAnsi="Times New Roman" w:cs="Times New Roman"/>
                <w:color w:val="auto"/>
                <w:sz w:val="24"/>
                <w:szCs w:val="28"/>
                <w:highlight w:val="none"/>
                <w:lang w:val="en-US" w:eastAsia="zh-CN"/>
              </w:rPr>
              <w:t>废机油</w:t>
            </w:r>
            <w:r>
              <w:rPr>
                <w:rFonts w:hint="eastAsia" w:cs="Times New Roman"/>
                <w:color w:val="auto"/>
                <w:sz w:val="24"/>
                <w:szCs w:val="28"/>
                <w:highlight w:val="none"/>
                <w:lang w:val="en-US" w:eastAsia="zh-CN"/>
              </w:rPr>
              <w:t>、氯化氢气体、氟化氢气体、生产废水、火灾爆炸产生的次生污染物</w:t>
            </w:r>
            <w:r>
              <w:rPr>
                <w:rFonts w:hint="default" w:ascii="Times New Roman" w:hAnsi="Times New Roman" w:cs="Times New Roman"/>
                <w:color w:val="auto"/>
                <w:sz w:val="24"/>
                <w:szCs w:val="28"/>
                <w:highlight w:val="none"/>
                <w:lang w:val="en-US" w:eastAsia="zh-CN"/>
              </w:rPr>
              <w:t>。其中</w:t>
            </w:r>
            <w:r>
              <w:rPr>
                <w:rFonts w:hint="eastAsia" w:cs="Times New Roman"/>
                <w:color w:val="auto"/>
                <w:sz w:val="24"/>
                <w:szCs w:val="28"/>
                <w:highlight w:val="none"/>
                <w:lang w:val="en-US" w:eastAsia="zh-CN"/>
              </w:rPr>
              <w:t>硫酸、盐酸存放于危化品库，</w:t>
            </w:r>
            <w:r>
              <w:rPr>
                <w:rFonts w:hint="default" w:ascii="Times New Roman" w:hAnsi="Times New Roman" w:cs="Times New Roman"/>
                <w:color w:val="auto"/>
                <w:sz w:val="24"/>
                <w:szCs w:val="28"/>
                <w:highlight w:val="none"/>
                <w:lang w:val="en-US" w:eastAsia="zh-CN"/>
              </w:rPr>
              <w:t>废机油暂存于危废暂存间，</w:t>
            </w:r>
            <w:r>
              <w:rPr>
                <w:rFonts w:hint="eastAsia" w:cs="Times New Roman"/>
                <w:color w:val="auto"/>
                <w:sz w:val="24"/>
                <w:szCs w:val="28"/>
                <w:highlight w:val="none"/>
                <w:lang w:val="en-US" w:eastAsia="zh-CN"/>
              </w:rPr>
              <w:t>氯化氢气体和氟化氢气体</w:t>
            </w:r>
            <w:r>
              <w:rPr>
                <w:rFonts w:hint="default" w:ascii="Times New Roman" w:hAnsi="Times New Roman" w:eastAsia="宋体" w:cs="Times New Roman"/>
                <w:color w:val="auto"/>
                <w:sz w:val="24"/>
                <w:szCs w:val="24"/>
                <w:highlight w:val="none"/>
                <w:lang w:val="zh-CN" w:eastAsia="zh-CN"/>
              </w:rPr>
              <w:t>由</w:t>
            </w:r>
            <w:r>
              <w:rPr>
                <w:rFonts w:hint="eastAsia" w:cs="Times New Roman"/>
                <w:color w:val="auto"/>
                <w:sz w:val="24"/>
                <w:szCs w:val="24"/>
                <w:highlight w:val="none"/>
                <w:lang w:val="zh-CN" w:eastAsia="zh-CN"/>
              </w:rPr>
              <w:t>封</w:t>
            </w:r>
            <w:r>
              <w:rPr>
                <w:rFonts w:hint="default" w:ascii="Times New Roman" w:hAnsi="Times New Roman" w:eastAsia="宋体" w:cs="Times New Roman"/>
                <w:color w:val="auto"/>
                <w:sz w:val="24"/>
                <w:szCs w:val="24"/>
                <w:highlight w:val="none"/>
                <w:lang w:val="zh-CN" w:eastAsia="zh-CN"/>
              </w:rPr>
              <w:t>闭生产</w:t>
            </w:r>
            <w:r>
              <w:rPr>
                <w:rFonts w:hint="eastAsia" w:cs="Times New Roman"/>
                <w:color w:val="auto"/>
                <w:sz w:val="24"/>
                <w:szCs w:val="24"/>
                <w:highlight w:val="none"/>
                <w:lang w:val="zh-CN" w:eastAsia="zh-CN"/>
              </w:rPr>
              <w:t>车间</w:t>
            </w:r>
            <w:r>
              <w:rPr>
                <w:rFonts w:hint="default" w:ascii="Times New Roman" w:hAnsi="Times New Roman" w:eastAsia="宋体" w:cs="Times New Roman"/>
                <w:color w:val="auto"/>
                <w:sz w:val="24"/>
                <w:szCs w:val="24"/>
                <w:highlight w:val="none"/>
                <w:lang w:val="en-US" w:eastAsia="zh-CN"/>
              </w:rPr>
              <w:t>集气管道</w:t>
            </w:r>
            <w:r>
              <w:rPr>
                <w:rFonts w:hint="default" w:ascii="Times New Roman" w:hAnsi="Times New Roman" w:eastAsia="宋体" w:cs="Times New Roman"/>
                <w:color w:val="auto"/>
                <w:sz w:val="24"/>
                <w:szCs w:val="24"/>
                <w:highlight w:val="none"/>
                <w:lang w:val="zh-CN" w:eastAsia="zh-CN"/>
              </w:rPr>
              <w:t>收集后，</w:t>
            </w:r>
            <w:r>
              <w:rPr>
                <w:rFonts w:hint="eastAsia" w:ascii="Times New Roman" w:hAnsi="Times New Roman" w:eastAsia="宋体" w:cs="Times New Roman"/>
                <w:color w:val="auto"/>
                <w:sz w:val="24"/>
                <w:szCs w:val="24"/>
                <w:highlight w:val="none"/>
                <w:lang w:val="zh-CN" w:eastAsia="zh-CN"/>
              </w:rPr>
              <w:t>通过</w:t>
            </w:r>
            <w:r>
              <w:rPr>
                <w:rFonts w:hint="default" w:ascii="Times New Roman" w:hAnsi="Times New Roman" w:eastAsia="宋体" w:cs="Times New Roman"/>
                <w:color w:val="auto"/>
                <w:sz w:val="24"/>
                <w:szCs w:val="24"/>
                <w:highlight w:val="none"/>
                <w:lang w:val="zh-CN" w:eastAsia="zh-CN"/>
              </w:rPr>
              <w:t>一套碱液喷淋洗涤塔废气治理设施处理</w:t>
            </w:r>
            <w:r>
              <w:rPr>
                <w:rFonts w:hint="eastAsia"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zh-CN" w:eastAsia="zh-CN"/>
              </w:rPr>
              <w:t>后</w:t>
            </w:r>
            <w:r>
              <w:rPr>
                <w:rFonts w:hint="default" w:ascii="Times New Roman" w:hAnsi="Times New Roman" w:eastAsia="宋体" w:cs="Times New Roman"/>
                <w:color w:val="auto"/>
                <w:sz w:val="24"/>
                <w:szCs w:val="24"/>
                <w:highlight w:val="none"/>
                <w:lang w:val="zh-CN" w:eastAsia="zh-CN"/>
              </w:rPr>
              <w:t>经15m高排气筒（</w:t>
            </w:r>
            <w:r>
              <w:rPr>
                <w:rFonts w:hint="default" w:ascii="Times New Roman" w:hAnsi="Times New Roman" w:eastAsia="宋体" w:cs="Times New Roman"/>
                <w:color w:val="auto"/>
                <w:sz w:val="24"/>
                <w:szCs w:val="24"/>
                <w:highlight w:val="none"/>
                <w:lang w:val="en-US" w:eastAsia="zh-CN"/>
              </w:rPr>
              <w:t>DA002</w:t>
            </w:r>
            <w:r>
              <w:rPr>
                <w:rFonts w:hint="default" w:ascii="Times New Roman" w:hAnsi="Times New Roman" w:eastAsia="宋体" w:cs="Times New Roman"/>
                <w:color w:val="auto"/>
                <w:sz w:val="24"/>
                <w:szCs w:val="24"/>
                <w:highlight w:val="none"/>
                <w:lang w:val="zh-CN" w:eastAsia="zh-CN"/>
              </w:rPr>
              <w:t>）排放</w:t>
            </w:r>
            <w:r>
              <w:rPr>
                <w:rFonts w:hint="eastAsia" w:cs="Times New Roman"/>
                <w:color w:val="auto"/>
                <w:sz w:val="24"/>
                <w:szCs w:val="28"/>
                <w:highlight w:val="none"/>
                <w:lang w:val="en-US" w:eastAsia="zh-CN"/>
              </w:rPr>
              <w:t>，生产废水</w:t>
            </w:r>
            <w:r>
              <w:rPr>
                <w:rFonts w:hint="eastAsia" w:ascii="Times New Roman" w:hAnsi="Times New Roman" w:eastAsia="宋体" w:cs="Times New Roman"/>
                <w:color w:val="auto"/>
                <w:sz w:val="24"/>
                <w:highlight w:val="none"/>
                <w:lang w:val="en-US" w:eastAsia="zh-CN"/>
              </w:rPr>
              <w:t>经收集后统一进入调节池、生产废水处理设施处理达标后回用于水洗补水</w:t>
            </w:r>
            <w:r>
              <w:rPr>
                <w:rFonts w:hint="eastAsia" w:cs="Times New Roman"/>
                <w:color w:val="auto"/>
                <w:sz w:val="24"/>
                <w:szCs w:val="28"/>
                <w:highlight w:val="none"/>
                <w:lang w:val="en-US" w:eastAsia="zh-CN"/>
              </w:rPr>
              <w:t>，生产废水泄漏</w:t>
            </w:r>
            <w:r>
              <w:rPr>
                <w:rFonts w:hint="default" w:ascii="Times New Roman" w:hAnsi="Times New Roman" w:cs="Times New Roman"/>
                <w:color w:val="auto"/>
                <w:sz w:val="24"/>
                <w:szCs w:val="28"/>
                <w:highlight w:val="none"/>
                <w:lang w:val="en-US" w:eastAsia="zh-CN"/>
              </w:rPr>
              <w:t>后主要是通过入渗地表污染土壤、地表水和地下水环境。</w:t>
            </w:r>
            <w:r>
              <w:rPr>
                <w:rFonts w:hint="eastAsia" w:cs="Times New Roman"/>
                <w:color w:val="auto"/>
                <w:sz w:val="24"/>
                <w:szCs w:val="28"/>
                <w:highlight w:val="none"/>
                <w:lang w:val="en-US" w:eastAsia="zh-CN"/>
              </w:rPr>
              <w:t>火灾爆炸后次生污染物</w:t>
            </w:r>
            <w:r>
              <w:rPr>
                <w:rFonts w:hint="default" w:ascii="Times New Roman" w:hAnsi="Times New Roman" w:cs="Times New Roman"/>
                <w:color w:val="auto"/>
                <w:sz w:val="24"/>
                <w:szCs w:val="28"/>
                <w:highlight w:val="none"/>
                <w:lang w:val="en-US" w:eastAsia="zh-CN"/>
              </w:rPr>
              <w:t>是通过</w:t>
            </w:r>
            <w:r>
              <w:rPr>
                <w:rFonts w:hint="eastAsia" w:ascii="Times New Roman" w:hAnsi="Times New Roman" w:cs="Times New Roman"/>
                <w:color w:val="auto"/>
                <w:sz w:val="24"/>
                <w:szCs w:val="28"/>
                <w:highlight w:val="none"/>
                <w:lang w:val="en-US" w:eastAsia="zh-CN"/>
              </w:rPr>
              <w:t>空气扩散至大气环境、</w:t>
            </w:r>
            <w:r>
              <w:rPr>
                <w:rFonts w:hint="default" w:ascii="Times New Roman" w:hAnsi="Times New Roman" w:cs="Times New Roman"/>
                <w:color w:val="auto"/>
                <w:sz w:val="24"/>
                <w:szCs w:val="28"/>
                <w:highlight w:val="none"/>
                <w:lang w:val="en-US" w:eastAsia="zh-CN"/>
              </w:rPr>
              <w:t>入渗地表污染土壤、地表水和地下水环境。</w:t>
            </w:r>
          </w:p>
          <w:p w14:paraId="516EC3D2">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w:t>
            </w:r>
            <w:r>
              <w:rPr>
                <w:rFonts w:hint="eastAsia" w:eastAsia="宋体" w:cs="Times New Roman"/>
                <w:b/>
                <w:bCs/>
                <w:color w:val="auto"/>
                <w:sz w:val="24"/>
                <w:szCs w:val="28"/>
                <w:highlight w:val="none"/>
                <w:lang w:val="en-US" w:eastAsia="zh-CN"/>
              </w:rPr>
              <w:t>7</w:t>
            </w:r>
            <w:r>
              <w:rPr>
                <w:rFonts w:hint="default" w:ascii="Times New Roman" w:hAnsi="Times New Roman" w:eastAsia="宋体" w:cs="Times New Roman"/>
                <w:b/>
                <w:bCs/>
                <w:color w:val="auto"/>
                <w:sz w:val="24"/>
                <w:szCs w:val="28"/>
                <w:highlight w:val="none"/>
                <w:lang w:val="en-US" w:eastAsia="zh-CN"/>
              </w:rPr>
              <w:t>）环境风险分析</w:t>
            </w:r>
          </w:p>
          <w:p w14:paraId="5CD61CB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①地表水、地下水、土壤环境风险分析</w:t>
            </w:r>
          </w:p>
          <w:p w14:paraId="365D1DD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项目对地表水、地下水、土壤环境的风险影响主要是</w:t>
            </w:r>
            <w:r>
              <w:rPr>
                <w:rFonts w:hint="eastAsia" w:cs="Times New Roman"/>
                <w:color w:val="auto"/>
                <w:sz w:val="24"/>
                <w:szCs w:val="28"/>
                <w:highlight w:val="none"/>
                <w:lang w:val="en-US" w:eastAsia="zh-CN"/>
              </w:rPr>
              <w:t>硫酸、盐酸、</w:t>
            </w:r>
            <w:r>
              <w:rPr>
                <w:rFonts w:hint="default" w:ascii="Times New Roman" w:hAnsi="Times New Roman" w:cs="Times New Roman"/>
                <w:color w:val="auto"/>
                <w:sz w:val="24"/>
                <w:szCs w:val="28"/>
                <w:highlight w:val="none"/>
                <w:lang w:val="en-US" w:eastAsia="zh-CN"/>
              </w:rPr>
              <w:t>废机油</w:t>
            </w:r>
            <w:r>
              <w:rPr>
                <w:rFonts w:hint="eastAsia" w:cs="Times New Roman"/>
                <w:color w:val="auto"/>
                <w:sz w:val="24"/>
                <w:szCs w:val="28"/>
                <w:highlight w:val="none"/>
                <w:lang w:val="en-US" w:eastAsia="zh-CN"/>
              </w:rPr>
              <w:t>、生产废水</w:t>
            </w:r>
            <w:r>
              <w:rPr>
                <w:rFonts w:hint="default" w:ascii="Times New Roman" w:hAnsi="Times New Roman" w:cs="Times New Roman"/>
                <w:color w:val="auto"/>
                <w:sz w:val="24"/>
                <w:szCs w:val="28"/>
                <w:highlight w:val="none"/>
                <w:lang w:val="en-US" w:eastAsia="zh-CN"/>
              </w:rPr>
              <w:t>储存</w:t>
            </w:r>
            <w:r>
              <w:rPr>
                <w:rFonts w:hint="eastAsia" w:cs="Times New Roman"/>
                <w:color w:val="auto"/>
                <w:sz w:val="24"/>
                <w:szCs w:val="28"/>
                <w:highlight w:val="none"/>
                <w:lang w:val="en-US" w:eastAsia="zh-CN"/>
              </w:rPr>
              <w:t>及火灾爆炸产生的次生污染物</w:t>
            </w:r>
            <w:r>
              <w:rPr>
                <w:rFonts w:hint="default" w:ascii="Times New Roman" w:hAnsi="Times New Roman" w:cs="Times New Roman"/>
                <w:color w:val="auto"/>
                <w:sz w:val="24"/>
                <w:szCs w:val="28"/>
                <w:highlight w:val="none"/>
                <w:lang w:val="en-US" w:eastAsia="zh-CN"/>
              </w:rPr>
              <w:t>。当发生泄露后，会通过项目区地表入渗，随着时间的推移，造成区域土壤和地下水的污染。</w:t>
            </w:r>
          </w:p>
          <w:p w14:paraId="5583866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t>②大气环境风险分析</w:t>
            </w:r>
          </w:p>
          <w:p w14:paraId="03F86B27">
            <w:pPr>
              <w:pStyle w:val="35"/>
              <w:keepNext w:val="0"/>
              <w:keepLines w:val="0"/>
              <w:suppressLineNumbers w:val="0"/>
              <w:spacing w:before="0" w:beforeAutospacing="0" w:after="0" w:afterAutospacing="0"/>
              <w:ind w:left="0" w:right="0"/>
              <w:jc w:val="both"/>
              <w:rPr>
                <w:rFonts w:hint="default"/>
                <w:color w:val="auto"/>
                <w:highlight w:val="none"/>
                <w:lang w:val="en-US" w:eastAsia="zh-CN"/>
              </w:rPr>
            </w:pPr>
            <w:r>
              <w:rPr>
                <w:rFonts w:hint="default" w:ascii="Times New Roman" w:hAnsi="Times New Roman" w:cs="Times New Roman"/>
                <w:color w:val="auto"/>
                <w:sz w:val="24"/>
                <w:szCs w:val="28"/>
                <w:highlight w:val="none"/>
                <w:lang w:val="en-US" w:eastAsia="zh-CN"/>
              </w:rPr>
              <w:t>项目对</w:t>
            </w:r>
            <w:r>
              <w:rPr>
                <w:rFonts w:hint="eastAsia" w:ascii="Times New Roman" w:hAnsi="Times New Roman" w:cs="Times New Roman"/>
                <w:color w:val="auto"/>
                <w:sz w:val="24"/>
                <w:szCs w:val="28"/>
                <w:highlight w:val="none"/>
                <w:lang w:val="en-US" w:eastAsia="zh-CN"/>
              </w:rPr>
              <w:t>大气</w:t>
            </w:r>
            <w:r>
              <w:rPr>
                <w:rFonts w:hint="default" w:ascii="Times New Roman" w:hAnsi="Times New Roman" w:cs="Times New Roman"/>
                <w:color w:val="auto"/>
                <w:sz w:val="24"/>
                <w:szCs w:val="28"/>
                <w:highlight w:val="none"/>
                <w:lang w:val="en-US" w:eastAsia="zh-CN"/>
              </w:rPr>
              <w:t>环境的风险影响主要是</w:t>
            </w:r>
            <w:r>
              <w:rPr>
                <w:rFonts w:hint="eastAsia" w:cs="Times New Roman"/>
                <w:color w:val="auto"/>
                <w:sz w:val="24"/>
                <w:szCs w:val="28"/>
                <w:highlight w:val="none"/>
                <w:lang w:val="en-US" w:eastAsia="zh-CN"/>
              </w:rPr>
              <w:t>火灾爆炸产生的次生污染物</w:t>
            </w:r>
            <w:r>
              <w:rPr>
                <w:rFonts w:hint="default" w:ascii="Times New Roman" w:hAnsi="Times New Roman" w:cs="Times New Roman"/>
                <w:color w:val="auto"/>
                <w:sz w:val="24"/>
                <w:szCs w:val="28"/>
                <w:highlight w:val="none"/>
                <w:lang w:val="en-US" w:eastAsia="zh-CN"/>
              </w:rPr>
              <w:t>。</w:t>
            </w:r>
            <w:r>
              <w:rPr>
                <w:rFonts w:hint="eastAsia" w:ascii="Times New Roman" w:hAnsi="Times New Roman" w:cs="Times New Roman"/>
                <w:color w:val="auto"/>
                <w:sz w:val="24"/>
                <w:szCs w:val="28"/>
                <w:highlight w:val="none"/>
                <w:lang w:val="en-US" w:eastAsia="zh-CN"/>
              </w:rPr>
              <w:t>次生污染物通过空气扩散至大气环境中污染大气环境</w:t>
            </w:r>
            <w:r>
              <w:rPr>
                <w:rFonts w:hint="default" w:ascii="Times New Roman" w:hAnsi="Times New Roman" w:cs="Times New Roman"/>
                <w:color w:val="auto"/>
                <w:sz w:val="24"/>
                <w:szCs w:val="28"/>
                <w:highlight w:val="none"/>
                <w:lang w:val="en-US" w:eastAsia="zh-CN"/>
              </w:rPr>
              <w:t>。</w:t>
            </w:r>
          </w:p>
          <w:p w14:paraId="037F87E6">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w:t>
            </w:r>
            <w:r>
              <w:rPr>
                <w:rFonts w:hint="eastAsia" w:eastAsia="宋体" w:cs="Times New Roman"/>
                <w:b/>
                <w:bCs/>
                <w:color w:val="auto"/>
                <w:sz w:val="24"/>
                <w:szCs w:val="28"/>
                <w:highlight w:val="none"/>
                <w:lang w:val="en-US" w:eastAsia="zh-CN"/>
              </w:rPr>
              <w:t>8</w:t>
            </w:r>
            <w:r>
              <w:rPr>
                <w:rFonts w:hint="default" w:ascii="Times New Roman" w:hAnsi="Times New Roman" w:eastAsia="宋体" w:cs="Times New Roman"/>
                <w:b/>
                <w:bCs/>
                <w:color w:val="auto"/>
                <w:sz w:val="24"/>
                <w:szCs w:val="28"/>
                <w:highlight w:val="none"/>
                <w:lang w:val="en-US" w:eastAsia="zh-CN"/>
              </w:rPr>
              <w:t>）环境风险防范措施及应急要求</w:t>
            </w:r>
          </w:p>
          <w:p w14:paraId="22358EB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1）危化品</w:t>
            </w:r>
            <w:r>
              <w:rPr>
                <w:rFonts w:hint="eastAsia" w:ascii="Times New Roman" w:hAnsi="Times New Roman" w:eastAsia="宋体" w:cs="Times New Roman"/>
                <w:b/>
                <w:bCs/>
                <w:color w:val="auto"/>
                <w:sz w:val="24"/>
                <w:szCs w:val="28"/>
                <w:highlight w:val="none"/>
                <w:lang w:val="en-US" w:eastAsia="zh-CN"/>
              </w:rPr>
              <w:t>泄漏防范措施</w:t>
            </w:r>
          </w:p>
          <w:p w14:paraId="4C85A63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t>①严格按《危险化学品安全管理条例》的要求，加强对</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的管理；制定</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安全操作规程，要求操作人员严格按操作规程作业；对从事</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作业人员 定期进行安全培训教育；经常性对</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作业场所进行安全检查。</w:t>
            </w:r>
          </w:p>
          <w:p w14:paraId="54B8DB4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t>②仓库及库区应符合储存</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的相关条件</w:t>
            </w:r>
            <w:r>
              <w:rPr>
                <w:rFonts w:hint="eastAsia" w:cs="Times New Roman"/>
                <w:color w:val="auto"/>
                <w:sz w:val="24"/>
                <w:szCs w:val="28"/>
                <w:highlight w:val="none"/>
                <w:lang w:val="en-US" w:eastAsia="zh-CN"/>
              </w:rPr>
              <w:t>（</w:t>
            </w:r>
            <w:r>
              <w:rPr>
                <w:rFonts w:hint="eastAsia" w:ascii="Times New Roman" w:hAnsi="Times New Roman" w:eastAsia="宋体" w:cs="Times New Roman"/>
                <w:color w:val="auto"/>
                <w:sz w:val="24"/>
                <w:szCs w:val="28"/>
                <w:highlight w:val="none"/>
                <w:lang w:val="en-US" w:eastAsia="zh-CN"/>
              </w:rPr>
              <w:t>如防晒、防潮、通风、防雷、 防静电等</w:t>
            </w:r>
            <w:r>
              <w:rPr>
                <w:rFonts w:hint="eastAsia" w:cs="Times New Roman"/>
                <w:color w:val="auto"/>
                <w:sz w:val="24"/>
                <w:szCs w:val="28"/>
                <w:highlight w:val="none"/>
                <w:lang w:val="en-US" w:eastAsia="zh-CN"/>
              </w:rPr>
              <w:t>），</w:t>
            </w:r>
            <w:r>
              <w:rPr>
                <w:rFonts w:hint="eastAsia" w:ascii="Times New Roman" w:hAnsi="Times New Roman" w:eastAsia="宋体" w:cs="Times New Roman"/>
                <w:color w:val="auto"/>
                <w:sz w:val="24"/>
                <w:szCs w:val="28"/>
                <w:highlight w:val="none"/>
                <w:lang w:val="en-US" w:eastAsia="zh-CN"/>
              </w:rPr>
              <w:t>实施</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的储存和使用；在仓库、库区设置明显的防火等级标志， 通道、出入口和通向消防设施的道路保持畅通。同时，</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储存场所应严格按照规定管道、设备材质、阀门及配件，加强现场管理，消除跑、冒、滴、漏；建立健全安全规程及值勤制度，设置通讯、报警装置，确保其处于完好状态；对使用</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的名称、数量进行严格登记；凡储存、使用</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的岗位，都应配置合格的防毒器材、消防器材，并确保其处于完好状态；所有进入储存、使用危险化学品的人员，都必须严格遵守《危险化学品管理制度》。</w:t>
            </w:r>
          </w:p>
          <w:p w14:paraId="21B4EDB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t>③</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存放区必须设置于阴凉、通风的库房，库房必须防渗、防漏、防雨</w:t>
            </w:r>
            <w:r>
              <w:rPr>
                <w:rFonts w:hint="eastAsia" w:cs="Times New Roman"/>
                <w:color w:val="auto"/>
                <w:sz w:val="24"/>
                <w:szCs w:val="28"/>
                <w:highlight w:val="none"/>
                <w:lang w:val="en-US" w:eastAsia="zh-CN"/>
              </w:rPr>
              <w:t>。</w:t>
            </w:r>
          </w:p>
          <w:p w14:paraId="65B2832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t>④危化品存放区设置一个备用容器，当泄漏事故发生时，收集至备用容器内暂存。</w:t>
            </w:r>
          </w:p>
          <w:p w14:paraId="032CA1E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t>⑤</w:t>
            </w:r>
            <w:r>
              <w:rPr>
                <w:rFonts w:hint="eastAsia" w:cs="Times New Roman"/>
                <w:color w:val="auto"/>
                <w:sz w:val="24"/>
                <w:szCs w:val="28"/>
                <w:highlight w:val="none"/>
                <w:lang w:val="en-US" w:eastAsia="zh-CN"/>
              </w:rPr>
              <w:t>危化品</w:t>
            </w:r>
            <w:r>
              <w:rPr>
                <w:rFonts w:hint="eastAsia" w:ascii="Times New Roman" w:hAnsi="Times New Roman" w:eastAsia="宋体" w:cs="Times New Roman"/>
                <w:color w:val="auto"/>
                <w:sz w:val="24"/>
                <w:szCs w:val="28"/>
                <w:highlight w:val="none"/>
                <w:lang w:val="en-US" w:eastAsia="zh-CN"/>
              </w:rPr>
              <w:t>存放区应配备吸附剂等材料，防止发生事故时能对事故进行应急处 理。</w:t>
            </w:r>
          </w:p>
          <w:p w14:paraId="1DF9E64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both"/>
              <w:textAlignment w:val="auto"/>
              <w:rPr>
                <w:rFonts w:hint="eastAsia"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2）火灾防范措施</w:t>
            </w:r>
          </w:p>
          <w:p w14:paraId="3BB62E0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t>①科学配备灭火器材等消防设备。</w:t>
            </w:r>
          </w:p>
          <w:p w14:paraId="0EC39F3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color w:val="auto"/>
                <w:sz w:val="24"/>
                <w:szCs w:val="28"/>
                <w:highlight w:val="none"/>
                <w:lang w:val="en-US" w:eastAsia="zh-CN"/>
              </w:rPr>
              <w:t>②严禁动用明火、各种电热器和能引起电火花的电气设备， 室外门上应挂“</w:t>
            </w:r>
            <w:r>
              <w:rPr>
                <w:rFonts w:hint="eastAsia" w:cs="Times New Roman"/>
                <w:color w:val="auto"/>
                <w:sz w:val="24"/>
                <w:szCs w:val="28"/>
                <w:highlight w:val="none"/>
                <w:lang w:val="en-US" w:eastAsia="zh-CN"/>
              </w:rPr>
              <w:t>严</w:t>
            </w:r>
            <w:r>
              <w:rPr>
                <w:rFonts w:hint="eastAsia" w:ascii="Times New Roman" w:hAnsi="Times New Roman" w:eastAsia="宋体" w:cs="Times New Roman"/>
                <w:color w:val="auto"/>
                <w:sz w:val="24"/>
                <w:szCs w:val="28"/>
                <w:highlight w:val="none"/>
                <w:lang w:val="en-US" w:eastAsia="zh-CN"/>
              </w:rPr>
              <w:t>禁烟火”的警告牌，定期检查完好性。</w:t>
            </w:r>
          </w:p>
          <w:p w14:paraId="7A8D6F0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t>③加强设备电线及接头的检修及维护，防止因线路老化、接触不良等原因造 成火灾事故。</w:t>
            </w:r>
          </w:p>
          <w:p w14:paraId="51D8774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both"/>
              <w:textAlignment w:val="auto"/>
              <w:rPr>
                <w:rFonts w:hint="default"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3）</w:t>
            </w:r>
            <w:r>
              <w:rPr>
                <w:rFonts w:hint="default" w:cs="Times New Roman"/>
                <w:b/>
                <w:bCs/>
                <w:color w:val="auto"/>
                <w:sz w:val="24"/>
                <w:szCs w:val="28"/>
                <w:highlight w:val="none"/>
                <w:lang w:val="en-US" w:eastAsia="zh-CN"/>
              </w:rPr>
              <w:t>地表水、地下水环境风险防范措施</w:t>
            </w:r>
          </w:p>
          <w:p w14:paraId="44B0F372">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highlight w:val="none"/>
                <w:lang w:val="en-US" w:eastAsia="zh-CN"/>
              </w:rPr>
            </w:pPr>
            <w:r>
              <w:rPr>
                <w:rFonts w:hint="default" w:ascii="Times New Roman" w:hAnsi="Times New Roman" w:cs="Times New Roman"/>
                <w:color w:val="auto"/>
                <w:sz w:val="24"/>
                <w:szCs w:val="28"/>
                <w:highlight w:val="none"/>
                <w:lang w:val="en-US" w:eastAsia="zh-CN"/>
              </w:rPr>
              <w:fldChar w:fldCharType="begin"/>
            </w:r>
            <w:r>
              <w:rPr>
                <w:rFonts w:hint="default" w:ascii="Times New Roman" w:hAnsi="Times New Roman" w:cs="Times New Roman"/>
                <w:color w:val="auto"/>
                <w:sz w:val="24"/>
                <w:szCs w:val="28"/>
                <w:highlight w:val="none"/>
                <w:lang w:val="en-US" w:eastAsia="zh-CN"/>
              </w:rPr>
              <w:instrText xml:space="preserve"> = 1 \* GB3 \* MERGEFORMAT </w:instrText>
            </w:r>
            <w:r>
              <w:rPr>
                <w:rFonts w:hint="default" w:ascii="Times New Roman" w:hAnsi="Times New Roman" w:cs="Times New Roman"/>
                <w:color w:val="auto"/>
                <w:sz w:val="24"/>
                <w:szCs w:val="28"/>
                <w:highlight w:val="none"/>
                <w:lang w:val="en-US" w:eastAsia="zh-CN"/>
              </w:rPr>
              <w:fldChar w:fldCharType="separate"/>
            </w:r>
            <w:r>
              <w:rPr>
                <w:rFonts w:hint="default" w:ascii="Times New Roman" w:hAnsi="Times New Roman" w:cs="Times New Roman"/>
                <w:color w:val="auto"/>
                <w:sz w:val="24"/>
                <w:szCs w:val="28"/>
                <w:highlight w:val="none"/>
                <w:lang w:val="en-US" w:eastAsia="zh-CN"/>
              </w:rPr>
              <w:t>①</w:t>
            </w:r>
            <w:r>
              <w:rPr>
                <w:rFonts w:hint="default" w:ascii="Times New Roman" w:hAnsi="Times New Roman" w:cs="Times New Roman"/>
                <w:color w:val="auto"/>
                <w:sz w:val="24"/>
                <w:szCs w:val="28"/>
                <w:highlight w:val="none"/>
                <w:lang w:val="en-US" w:eastAsia="zh-CN"/>
              </w:rPr>
              <w:fldChar w:fldCharType="end"/>
            </w:r>
            <w:r>
              <w:rPr>
                <w:rFonts w:hint="default" w:ascii="Times New Roman" w:hAnsi="Times New Roman" w:cs="Times New Roman"/>
                <w:color w:val="auto"/>
                <w:sz w:val="24"/>
                <w:szCs w:val="28"/>
                <w:highlight w:val="none"/>
                <w:lang w:val="en-US" w:eastAsia="zh-CN"/>
              </w:rPr>
              <w:t>项目区</w:t>
            </w:r>
            <w:r>
              <w:rPr>
                <w:rFonts w:hint="eastAsia" w:ascii="Times New Roman" w:hAnsi="Times New Roman" w:cs="Times New Roman"/>
                <w:color w:val="auto"/>
                <w:sz w:val="24"/>
                <w:szCs w:val="28"/>
                <w:highlight w:val="none"/>
                <w:lang w:val="en-US" w:eastAsia="zh-CN"/>
              </w:rPr>
              <w:t>分区防渗，</w:t>
            </w:r>
            <w:r>
              <w:rPr>
                <w:rFonts w:hint="eastAsia" w:cs="Times New Roman"/>
                <w:color w:val="auto"/>
                <w:sz w:val="24"/>
                <w:szCs w:val="28"/>
                <w:highlight w:val="none"/>
                <w:lang w:val="en-US" w:eastAsia="zh-CN"/>
              </w:rPr>
              <w:t>危化品库、危废暂存间、调节池、事故应急池池体，</w:t>
            </w:r>
            <w:r>
              <w:rPr>
                <w:rFonts w:hint="default" w:ascii="Times New Roman" w:hAnsi="Times New Roman" w:cs="Times New Roman"/>
                <w:color w:val="auto"/>
                <w:sz w:val="24"/>
                <w:szCs w:val="28"/>
                <w:highlight w:val="none"/>
                <w:lang w:val="en-US" w:eastAsia="zh-CN"/>
              </w:rPr>
              <w:t>采用“抗渗混凝土+2mm厚HDPE膜+环氧树脂涂料”进行重点防渗，渗透系数≤10</w:t>
            </w:r>
            <w:r>
              <w:rPr>
                <w:rFonts w:hint="default" w:ascii="Times New Roman" w:hAnsi="Times New Roman" w:cs="Times New Roman"/>
                <w:color w:val="auto"/>
                <w:sz w:val="24"/>
                <w:szCs w:val="28"/>
                <w:highlight w:val="none"/>
                <w:vertAlign w:val="superscript"/>
                <w:lang w:val="en-US" w:eastAsia="zh-CN"/>
              </w:rPr>
              <w:t>-10</w:t>
            </w:r>
            <w:r>
              <w:rPr>
                <w:rFonts w:hint="default" w:ascii="Times New Roman" w:hAnsi="Times New Roman" w:cs="Times New Roman"/>
                <w:color w:val="auto"/>
                <w:sz w:val="24"/>
                <w:szCs w:val="28"/>
                <w:highlight w:val="none"/>
                <w:lang w:val="en-US" w:eastAsia="zh-CN"/>
              </w:rPr>
              <w:t>cm/s</w:t>
            </w:r>
            <w:r>
              <w:rPr>
                <w:rFonts w:hint="eastAsia" w:cs="Times New Roman"/>
                <w:color w:val="auto"/>
                <w:sz w:val="24"/>
                <w:szCs w:val="28"/>
                <w:highlight w:val="none"/>
                <w:lang w:val="en-US" w:eastAsia="zh-CN"/>
              </w:rPr>
              <w:t>；隔油池、化粪池、污水处理站、生产加工区、其他原辅料储存区采用“抗渗混凝土+1.5mm厚HDPE+环氧树脂涂料”进行一般防渗，渗透系数≤10</w:t>
            </w:r>
            <w:r>
              <w:rPr>
                <w:rFonts w:hint="eastAsia" w:cs="Times New Roman"/>
                <w:color w:val="auto"/>
                <w:sz w:val="24"/>
                <w:szCs w:val="28"/>
                <w:highlight w:val="none"/>
                <w:vertAlign w:val="superscript"/>
                <w:lang w:val="en-US" w:eastAsia="zh-CN"/>
              </w:rPr>
              <w:t>-7</w:t>
            </w:r>
            <w:r>
              <w:rPr>
                <w:rFonts w:hint="eastAsia" w:cs="Times New Roman"/>
                <w:color w:val="auto"/>
                <w:sz w:val="24"/>
                <w:szCs w:val="28"/>
                <w:highlight w:val="none"/>
                <w:lang w:val="en-US" w:eastAsia="zh-CN"/>
              </w:rPr>
              <w:t>cm/s；其余生产区、道路及办公区域（除绿化外）进行简单防渗处理，地面进行硬化。</w:t>
            </w:r>
          </w:p>
          <w:p w14:paraId="0052D7D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color w:val="auto"/>
                <w:sz w:val="24"/>
                <w:szCs w:val="28"/>
                <w:highlight w:val="none"/>
                <w:lang w:eastAsia="zh-CN"/>
              </w:rPr>
            </w:pPr>
            <w:r>
              <w:rPr>
                <w:rFonts w:hint="default" w:ascii="Times New Roman" w:hAnsi="Times New Roman" w:cs="Times New Roman"/>
                <w:color w:val="auto"/>
                <w:sz w:val="24"/>
                <w:szCs w:val="28"/>
                <w:highlight w:val="none"/>
                <w:lang w:val="en-US" w:eastAsia="zh-CN"/>
              </w:rPr>
              <w:fldChar w:fldCharType="begin"/>
            </w:r>
            <w:r>
              <w:rPr>
                <w:rFonts w:hint="default" w:ascii="Times New Roman" w:hAnsi="Times New Roman" w:cs="Times New Roman"/>
                <w:color w:val="auto"/>
                <w:sz w:val="24"/>
                <w:szCs w:val="28"/>
                <w:highlight w:val="none"/>
                <w:lang w:val="en-US" w:eastAsia="zh-CN"/>
              </w:rPr>
              <w:instrText xml:space="preserve"> = 2 \* GB3 \* MERGEFORMAT </w:instrText>
            </w:r>
            <w:r>
              <w:rPr>
                <w:rFonts w:hint="default" w:ascii="Times New Roman" w:hAnsi="Times New Roman" w:cs="Times New Roman"/>
                <w:color w:val="auto"/>
                <w:sz w:val="24"/>
                <w:szCs w:val="28"/>
                <w:highlight w:val="none"/>
                <w:lang w:val="en-US" w:eastAsia="zh-CN"/>
              </w:rPr>
              <w:fldChar w:fldCharType="separate"/>
            </w:r>
            <w:r>
              <w:rPr>
                <w:rFonts w:hint="default" w:ascii="Times New Roman" w:hAnsi="Times New Roman" w:cs="Times New Roman"/>
                <w:color w:val="auto"/>
                <w:sz w:val="24"/>
                <w:szCs w:val="28"/>
                <w:highlight w:val="none"/>
                <w:lang w:val="en-US" w:eastAsia="zh-CN"/>
              </w:rPr>
              <w:t>②</w:t>
            </w:r>
            <w:r>
              <w:rPr>
                <w:rFonts w:hint="default" w:ascii="Times New Roman" w:hAnsi="Times New Roman" w:cs="Times New Roman"/>
                <w:color w:val="auto"/>
                <w:sz w:val="24"/>
                <w:szCs w:val="28"/>
                <w:highlight w:val="none"/>
                <w:lang w:val="en-US" w:eastAsia="zh-CN"/>
              </w:rPr>
              <w:fldChar w:fldCharType="end"/>
            </w:r>
            <w:r>
              <w:rPr>
                <w:rFonts w:hint="eastAsia" w:ascii="Times New Roman" w:hAnsi="Times New Roman" w:cs="Times New Roman"/>
                <w:color w:val="auto"/>
                <w:sz w:val="24"/>
                <w:szCs w:val="28"/>
                <w:highlight w:val="none"/>
                <w:lang w:val="en-US" w:eastAsia="zh-CN"/>
              </w:rPr>
              <w:t>危险废物</w:t>
            </w:r>
            <w:r>
              <w:rPr>
                <w:rFonts w:hint="default"/>
                <w:color w:val="auto"/>
                <w:sz w:val="24"/>
                <w:szCs w:val="28"/>
                <w:highlight w:val="none"/>
              </w:rPr>
              <w:t>暂存间严格按照《危险废物贮存污染控制标准》（GB18597-20</w:t>
            </w:r>
            <w:r>
              <w:rPr>
                <w:rFonts w:hint="eastAsia"/>
                <w:color w:val="auto"/>
                <w:sz w:val="24"/>
                <w:szCs w:val="28"/>
                <w:highlight w:val="none"/>
                <w:lang w:val="en-US" w:eastAsia="zh-CN"/>
              </w:rPr>
              <w:t>23</w:t>
            </w:r>
            <w:r>
              <w:rPr>
                <w:rFonts w:hint="default"/>
                <w:color w:val="auto"/>
                <w:sz w:val="24"/>
                <w:szCs w:val="28"/>
                <w:highlight w:val="none"/>
              </w:rPr>
              <w:t>）中的相关要求</w:t>
            </w:r>
            <w:r>
              <w:rPr>
                <w:rFonts w:hint="eastAsia"/>
                <w:color w:val="auto"/>
                <w:sz w:val="24"/>
                <w:szCs w:val="28"/>
                <w:highlight w:val="none"/>
                <w:lang w:val="en-US" w:eastAsia="zh-CN"/>
              </w:rPr>
              <w:t>设置</w:t>
            </w:r>
            <w:r>
              <w:rPr>
                <w:rFonts w:hint="default"/>
                <w:color w:val="auto"/>
                <w:sz w:val="24"/>
                <w:szCs w:val="28"/>
                <w:highlight w:val="none"/>
              </w:rPr>
              <w:t>，</w:t>
            </w:r>
            <w:r>
              <w:rPr>
                <w:rFonts w:hint="default" w:ascii="Times New Roman" w:hAnsi="Times New Roman" w:cs="Times New Roman"/>
                <w:color w:val="auto"/>
                <w:sz w:val="24"/>
                <w:szCs w:val="28"/>
                <w:highlight w:val="none"/>
                <w:lang w:val="en-US" w:eastAsia="zh-CN"/>
              </w:rPr>
              <w:t>地面和四周墙裙脚采用“抗渗混凝土+2mm厚HDPE膜+环氧树脂涂料”进行重点防渗，渗透系数≤10</w:t>
            </w:r>
            <w:r>
              <w:rPr>
                <w:rFonts w:hint="default" w:ascii="Times New Roman" w:hAnsi="Times New Roman" w:cs="Times New Roman"/>
                <w:color w:val="auto"/>
                <w:sz w:val="24"/>
                <w:szCs w:val="28"/>
                <w:highlight w:val="none"/>
                <w:vertAlign w:val="superscript"/>
                <w:lang w:val="en-US" w:eastAsia="zh-CN"/>
              </w:rPr>
              <w:t>-10</w:t>
            </w:r>
            <w:r>
              <w:rPr>
                <w:rFonts w:hint="default" w:ascii="Times New Roman" w:hAnsi="Times New Roman" w:cs="Times New Roman"/>
                <w:color w:val="auto"/>
                <w:sz w:val="24"/>
                <w:szCs w:val="28"/>
                <w:highlight w:val="none"/>
                <w:lang w:val="en-US" w:eastAsia="zh-CN"/>
              </w:rPr>
              <w:t>cm/s</w:t>
            </w:r>
            <w:r>
              <w:rPr>
                <w:rFonts w:hint="eastAsia" w:cs="Times New Roman"/>
                <w:color w:val="auto"/>
                <w:sz w:val="24"/>
                <w:szCs w:val="28"/>
                <w:highlight w:val="none"/>
                <w:lang w:val="en-US" w:eastAsia="zh-CN"/>
              </w:rPr>
              <w:t>，</w:t>
            </w:r>
            <w:r>
              <w:rPr>
                <w:rFonts w:hint="default"/>
                <w:color w:val="auto"/>
                <w:sz w:val="24"/>
                <w:szCs w:val="28"/>
                <w:highlight w:val="none"/>
              </w:rPr>
              <w:t>做好防雨、防渗，防止二次污染，各危险废物根据处理单位要求进行分类收集</w:t>
            </w:r>
            <w:r>
              <w:rPr>
                <w:rFonts w:hint="eastAsia"/>
                <w:color w:val="auto"/>
                <w:sz w:val="24"/>
                <w:szCs w:val="28"/>
                <w:highlight w:val="none"/>
                <w:lang w:eastAsia="zh-CN"/>
              </w:rPr>
              <w:t>。</w:t>
            </w:r>
          </w:p>
          <w:p w14:paraId="1E54F17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4）</w:t>
            </w:r>
            <w:r>
              <w:rPr>
                <w:rFonts w:hint="default" w:ascii="Times New Roman" w:hAnsi="Times New Roman" w:cs="Times New Roman"/>
                <w:b/>
                <w:bCs/>
                <w:color w:val="auto"/>
                <w:sz w:val="24"/>
                <w:szCs w:val="28"/>
                <w:highlight w:val="none"/>
                <w:lang w:val="en-US" w:eastAsia="zh-CN"/>
              </w:rPr>
              <w:t>大气风险防范措施</w:t>
            </w:r>
          </w:p>
          <w:p w14:paraId="010F962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8"/>
                <w:highlight w:val="none"/>
              </w:rPr>
            </w:pPr>
            <w:r>
              <w:rPr>
                <w:rFonts w:hint="default"/>
                <w:color w:val="auto"/>
                <w:sz w:val="24"/>
                <w:szCs w:val="28"/>
                <w:highlight w:val="none"/>
              </w:rPr>
              <w:t>①</w:t>
            </w:r>
            <w:r>
              <w:rPr>
                <w:rFonts w:hint="eastAsia"/>
                <w:color w:val="auto"/>
                <w:sz w:val="24"/>
                <w:szCs w:val="28"/>
                <w:highlight w:val="none"/>
              </w:rPr>
              <w:t>加强对</w:t>
            </w:r>
            <w:r>
              <w:rPr>
                <w:rFonts w:hint="eastAsia"/>
                <w:color w:val="auto"/>
                <w:sz w:val="24"/>
                <w:szCs w:val="28"/>
                <w:highlight w:val="none"/>
                <w:lang w:eastAsia="zh-CN"/>
              </w:rPr>
              <w:t>危化品库和</w:t>
            </w:r>
            <w:r>
              <w:rPr>
                <w:rFonts w:hint="eastAsia"/>
                <w:color w:val="auto"/>
                <w:sz w:val="24"/>
                <w:szCs w:val="28"/>
                <w:highlight w:val="none"/>
              </w:rPr>
              <w:t>危废</w:t>
            </w:r>
            <w:r>
              <w:rPr>
                <w:rFonts w:hint="default"/>
                <w:color w:val="auto"/>
                <w:sz w:val="24"/>
                <w:szCs w:val="28"/>
                <w:highlight w:val="none"/>
              </w:rPr>
              <w:t>暂存</w:t>
            </w:r>
            <w:r>
              <w:rPr>
                <w:rFonts w:hint="eastAsia"/>
                <w:color w:val="auto"/>
                <w:sz w:val="24"/>
                <w:szCs w:val="28"/>
                <w:highlight w:val="none"/>
                <w:lang w:eastAsia="zh-CN"/>
              </w:rPr>
              <w:t>间</w:t>
            </w:r>
            <w:r>
              <w:rPr>
                <w:rFonts w:hint="default"/>
                <w:color w:val="auto"/>
                <w:sz w:val="24"/>
                <w:szCs w:val="28"/>
                <w:highlight w:val="none"/>
              </w:rPr>
              <w:t>的巡查，及时发现泄漏破损，及时采取措施。</w:t>
            </w:r>
          </w:p>
          <w:p w14:paraId="15F8E39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color w:val="auto"/>
                <w:highlight w:val="none"/>
                <w:lang w:val="en-US" w:eastAsia="zh-CN"/>
              </w:rPr>
            </w:pPr>
            <w:r>
              <w:rPr>
                <w:rFonts w:hint="default" w:ascii="Times New Roman" w:hAnsi="Times New Roman" w:eastAsia="宋体" w:cs="Times New Roman"/>
                <w:color w:val="auto"/>
                <w:sz w:val="24"/>
                <w:szCs w:val="28"/>
                <w:highlight w:val="none"/>
                <w:lang w:val="en-US" w:eastAsia="zh-CN"/>
              </w:rPr>
              <w:t>②加强设备电线及接头的检修及维护，防止因线路老化、接触不良等原因造成火灾事故。</w:t>
            </w:r>
          </w:p>
          <w:p w14:paraId="3F186E40">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szCs w:val="28"/>
                <w:highlight w:val="none"/>
                <w:lang w:val="en-US" w:eastAsia="zh-CN"/>
              </w:rPr>
            </w:pPr>
            <w:r>
              <w:rPr>
                <w:rFonts w:hint="eastAsia" w:eastAsia="宋体"/>
                <w:color w:val="auto"/>
                <w:sz w:val="24"/>
                <w:szCs w:val="28"/>
                <w:highlight w:val="none"/>
                <w:lang w:val="en-US" w:eastAsia="zh-CN"/>
              </w:rPr>
              <w:t>③</w:t>
            </w:r>
            <w:r>
              <w:rPr>
                <w:rFonts w:hint="default"/>
                <w:color w:val="auto"/>
                <w:sz w:val="24"/>
                <w:szCs w:val="24"/>
                <w:highlight w:val="none"/>
              </w:rPr>
              <w:t>加强</w:t>
            </w:r>
            <w:r>
              <w:rPr>
                <w:rFonts w:hint="eastAsia"/>
                <w:color w:val="auto"/>
                <w:sz w:val="24"/>
                <w:szCs w:val="24"/>
                <w:highlight w:val="none"/>
                <w:lang w:eastAsia="zh-CN"/>
              </w:rPr>
              <w:t>对废气治理设施的</w:t>
            </w:r>
            <w:r>
              <w:rPr>
                <w:rFonts w:hint="default"/>
                <w:color w:val="auto"/>
                <w:sz w:val="24"/>
                <w:szCs w:val="24"/>
                <w:highlight w:val="none"/>
              </w:rPr>
              <w:t>管理，明确岗位责任制，定期检查、维修、保养设备及构件，确保设备的正常运转。</w:t>
            </w:r>
          </w:p>
          <w:p w14:paraId="6D20A09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5）</w:t>
            </w:r>
            <w:r>
              <w:rPr>
                <w:rFonts w:hint="default" w:ascii="Times New Roman" w:hAnsi="Times New Roman" w:cs="Times New Roman"/>
                <w:b/>
                <w:bCs/>
                <w:color w:val="auto"/>
                <w:sz w:val="24"/>
                <w:szCs w:val="28"/>
                <w:highlight w:val="none"/>
                <w:lang w:val="en-US" w:eastAsia="zh-CN"/>
              </w:rPr>
              <w:t>其他措施</w:t>
            </w:r>
          </w:p>
          <w:p w14:paraId="50A6BCC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fldChar w:fldCharType="begin"/>
            </w:r>
            <w:r>
              <w:rPr>
                <w:rFonts w:hint="default" w:ascii="Times New Roman" w:hAnsi="Times New Roman" w:cs="Times New Roman"/>
                <w:color w:val="auto"/>
                <w:sz w:val="24"/>
                <w:szCs w:val="28"/>
                <w:highlight w:val="none"/>
                <w:lang w:val="en-US" w:eastAsia="zh-CN"/>
              </w:rPr>
              <w:instrText xml:space="preserve"> = 1 \* GB3 \* MERGEFORMAT </w:instrText>
            </w:r>
            <w:r>
              <w:rPr>
                <w:rFonts w:hint="default" w:ascii="Times New Roman" w:hAnsi="Times New Roman" w:cs="Times New Roman"/>
                <w:color w:val="auto"/>
                <w:sz w:val="24"/>
                <w:szCs w:val="28"/>
                <w:highlight w:val="none"/>
                <w:lang w:val="en-US" w:eastAsia="zh-CN"/>
              </w:rPr>
              <w:fldChar w:fldCharType="separate"/>
            </w:r>
            <w:r>
              <w:rPr>
                <w:rFonts w:hint="default" w:ascii="Times New Roman" w:hAnsi="Times New Roman" w:cs="Times New Roman"/>
                <w:color w:val="auto"/>
                <w:sz w:val="24"/>
                <w:szCs w:val="28"/>
                <w:highlight w:val="none"/>
                <w:lang w:val="en-US" w:eastAsia="zh-CN"/>
              </w:rPr>
              <w:t>①</w:t>
            </w:r>
            <w:r>
              <w:rPr>
                <w:rFonts w:hint="default" w:ascii="Times New Roman" w:hAnsi="Times New Roman" w:cs="Times New Roman"/>
                <w:color w:val="auto"/>
                <w:sz w:val="24"/>
                <w:szCs w:val="28"/>
                <w:highlight w:val="none"/>
                <w:lang w:val="en-US" w:eastAsia="zh-CN"/>
              </w:rPr>
              <w:fldChar w:fldCharType="end"/>
            </w:r>
            <w:r>
              <w:rPr>
                <w:rFonts w:hint="default" w:ascii="Times New Roman" w:hAnsi="Times New Roman" w:cs="Times New Roman"/>
                <w:color w:val="auto"/>
                <w:sz w:val="24"/>
                <w:szCs w:val="28"/>
                <w:highlight w:val="none"/>
                <w:lang w:val="en-US" w:eastAsia="zh-CN"/>
              </w:rPr>
              <w:t>严格规范员工操作，做好防护措施，加强职工的安全教育，提高安全素质，严格执行作业规程，严禁无证上岗，严禁违章作业，防止因失误操作造成环境风险事故的发生；</w:t>
            </w:r>
          </w:p>
          <w:p w14:paraId="1B33053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fldChar w:fldCharType="begin"/>
            </w:r>
            <w:r>
              <w:rPr>
                <w:rFonts w:hint="default" w:ascii="Times New Roman" w:hAnsi="Times New Roman" w:cs="Times New Roman"/>
                <w:color w:val="auto"/>
                <w:sz w:val="24"/>
                <w:szCs w:val="28"/>
                <w:highlight w:val="none"/>
                <w:lang w:val="en-US" w:eastAsia="zh-CN"/>
              </w:rPr>
              <w:instrText xml:space="preserve"> = 2 \* GB3 \* MERGEFORMAT </w:instrText>
            </w:r>
            <w:r>
              <w:rPr>
                <w:rFonts w:hint="default" w:ascii="Times New Roman" w:hAnsi="Times New Roman" w:cs="Times New Roman"/>
                <w:color w:val="auto"/>
                <w:sz w:val="24"/>
                <w:szCs w:val="28"/>
                <w:highlight w:val="none"/>
                <w:lang w:val="en-US" w:eastAsia="zh-CN"/>
              </w:rPr>
              <w:fldChar w:fldCharType="separate"/>
            </w:r>
            <w:r>
              <w:rPr>
                <w:rFonts w:hint="default" w:ascii="Times New Roman" w:hAnsi="Times New Roman" w:cs="Times New Roman"/>
                <w:color w:val="auto"/>
                <w:sz w:val="24"/>
                <w:szCs w:val="28"/>
                <w:highlight w:val="none"/>
                <w:lang w:val="en-US" w:eastAsia="zh-CN"/>
              </w:rPr>
              <w:t>②</w:t>
            </w:r>
            <w:r>
              <w:rPr>
                <w:rFonts w:hint="default" w:ascii="Times New Roman" w:hAnsi="Times New Roman" w:cs="Times New Roman"/>
                <w:color w:val="auto"/>
                <w:sz w:val="24"/>
                <w:szCs w:val="28"/>
                <w:highlight w:val="none"/>
                <w:lang w:val="en-US" w:eastAsia="zh-CN"/>
              </w:rPr>
              <w:fldChar w:fldCharType="end"/>
            </w:r>
            <w:r>
              <w:rPr>
                <w:rFonts w:hint="default" w:ascii="Times New Roman" w:hAnsi="Times New Roman" w:cs="Times New Roman"/>
                <w:color w:val="auto"/>
                <w:sz w:val="24"/>
                <w:szCs w:val="28"/>
                <w:highlight w:val="none"/>
                <w:lang w:val="en-US" w:eastAsia="zh-CN"/>
              </w:rPr>
              <w:t>为保证企业及人民生命财产的安全，防止突发性重大化学事故发生，并在发生事故时，能迅速有序地开展救援工作，尽最大努力减少事故的危害和损失，项目应编制相关的应急预案</w:t>
            </w:r>
            <w:r>
              <w:rPr>
                <w:rFonts w:hint="eastAsia" w:cs="Times New Roman"/>
                <w:color w:val="auto"/>
                <w:sz w:val="24"/>
                <w:szCs w:val="28"/>
                <w:highlight w:val="none"/>
                <w:lang w:val="en-US" w:eastAsia="zh-CN"/>
              </w:rPr>
              <w:t>并配备相应的消防物资。</w:t>
            </w:r>
          </w:p>
          <w:p w14:paraId="161E5D6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8"/>
                <w:highlight w:val="none"/>
                <w:lang w:val="zh-CN" w:eastAsia="zh-CN"/>
              </w:rPr>
            </w:pPr>
            <w:r>
              <w:rPr>
                <w:rFonts w:hint="default" w:ascii="Times New Roman" w:hAnsi="Times New Roman" w:cs="Times New Roman"/>
                <w:color w:val="auto"/>
                <w:sz w:val="24"/>
                <w:szCs w:val="28"/>
                <w:highlight w:val="none"/>
                <w:lang w:val="en-US" w:eastAsia="zh-CN"/>
              </w:rPr>
              <w:t>③</w:t>
            </w:r>
            <w:r>
              <w:rPr>
                <w:rFonts w:hint="default" w:ascii="Times New Roman" w:hAnsi="Times New Roman" w:eastAsia="宋体" w:cs="Times New Roman"/>
                <w:color w:val="auto"/>
                <w:sz w:val="24"/>
                <w:szCs w:val="28"/>
                <w:highlight w:val="none"/>
                <w:lang w:val="en-US" w:eastAsia="zh-CN"/>
              </w:rPr>
              <w:t>本项目应按照《突发环境事件应急预案管理暂行办法(环发[2010]113号)》和《企业事业单位突发环境事件应急预案备案管理办法（试行）》（环发[2015]4 号）的相关要求</w:t>
            </w:r>
            <w:r>
              <w:rPr>
                <w:rFonts w:hint="eastAsia" w:cs="Times New Roman"/>
                <w:color w:val="auto"/>
                <w:sz w:val="24"/>
                <w:szCs w:val="28"/>
                <w:highlight w:val="none"/>
                <w:lang w:val="en-US" w:eastAsia="zh-CN"/>
              </w:rPr>
              <w:t>修编</w:t>
            </w:r>
            <w:r>
              <w:rPr>
                <w:rFonts w:hint="default" w:ascii="Times New Roman" w:hAnsi="Times New Roman" w:eastAsia="宋体" w:cs="Times New Roman"/>
                <w:color w:val="auto"/>
                <w:sz w:val="24"/>
                <w:szCs w:val="28"/>
                <w:highlight w:val="none"/>
                <w:lang w:val="en-US" w:eastAsia="zh-CN"/>
              </w:rPr>
              <w:t>应急预案，并报昆明市生态环境局</w:t>
            </w:r>
            <w:r>
              <w:rPr>
                <w:rFonts w:hint="eastAsia" w:ascii="Times New Roman" w:hAnsi="Times New Roman" w:eastAsia="宋体" w:cs="Times New Roman"/>
                <w:color w:val="auto"/>
                <w:sz w:val="24"/>
                <w:szCs w:val="28"/>
                <w:highlight w:val="none"/>
                <w:lang w:val="en-US" w:eastAsia="zh-CN"/>
              </w:rPr>
              <w:t>寻甸</w:t>
            </w:r>
            <w:r>
              <w:rPr>
                <w:rFonts w:hint="default" w:ascii="Times New Roman" w:hAnsi="Times New Roman" w:eastAsia="宋体" w:cs="Times New Roman"/>
                <w:color w:val="auto"/>
                <w:sz w:val="24"/>
                <w:szCs w:val="28"/>
                <w:highlight w:val="none"/>
                <w:lang w:val="en-US" w:eastAsia="zh-CN"/>
              </w:rPr>
              <w:t>分局备案</w:t>
            </w:r>
            <w:r>
              <w:rPr>
                <w:rFonts w:hint="eastAsia" w:cs="Times New Roman"/>
                <w:color w:val="auto"/>
                <w:sz w:val="24"/>
                <w:szCs w:val="28"/>
                <w:highlight w:val="none"/>
                <w:lang w:val="en-US" w:eastAsia="zh-CN"/>
              </w:rPr>
              <w:t>，</w:t>
            </w:r>
            <w:r>
              <w:rPr>
                <w:rFonts w:hint="default" w:ascii="Times New Roman" w:hAnsi="Times New Roman" w:cs="Times New Roman"/>
                <w:color w:val="auto"/>
                <w:sz w:val="24"/>
                <w:szCs w:val="28"/>
                <w:highlight w:val="none"/>
                <w:lang w:val="en-US" w:eastAsia="zh-CN"/>
              </w:rPr>
              <w:t>并定期开展应急演练。</w:t>
            </w:r>
          </w:p>
          <w:p w14:paraId="48AB7566">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w:t>
            </w:r>
            <w:r>
              <w:rPr>
                <w:rFonts w:hint="eastAsia" w:eastAsia="宋体" w:cs="Times New Roman"/>
                <w:b/>
                <w:bCs/>
                <w:color w:val="auto"/>
                <w:sz w:val="24"/>
                <w:szCs w:val="28"/>
                <w:highlight w:val="none"/>
                <w:lang w:val="en-US" w:eastAsia="zh-CN"/>
              </w:rPr>
              <w:t>9</w:t>
            </w:r>
            <w:r>
              <w:rPr>
                <w:rFonts w:hint="default" w:ascii="Times New Roman" w:hAnsi="Times New Roman" w:eastAsia="宋体" w:cs="Times New Roman"/>
                <w:b/>
                <w:bCs/>
                <w:color w:val="auto"/>
                <w:sz w:val="24"/>
                <w:szCs w:val="28"/>
                <w:highlight w:val="none"/>
                <w:lang w:val="en-US" w:eastAsia="zh-CN"/>
              </w:rPr>
              <w:t>）分析结论</w:t>
            </w:r>
          </w:p>
          <w:p w14:paraId="23C3765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根据以上分析，本项目环境风险潜势划分为</w:t>
            </w:r>
            <w:r>
              <w:rPr>
                <w:rFonts w:hint="default" w:ascii="Times New Roman" w:hAnsi="Times New Roman" w:cs="Times New Roman"/>
                <w:color w:val="auto"/>
                <w:sz w:val="24"/>
                <w:szCs w:val="28"/>
                <w:highlight w:val="none"/>
                <w:lang w:val="en-US" w:eastAsia="zh-CN"/>
              </w:rPr>
              <w:fldChar w:fldCharType="begin"/>
            </w:r>
            <w:r>
              <w:rPr>
                <w:rFonts w:hint="default" w:ascii="Times New Roman" w:hAnsi="Times New Roman" w:cs="Times New Roman"/>
                <w:color w:val="auto"/>
                <w:sz w:val="24"/>
                <w:szCs w:val="28"/>
                <w:highlight w:val="none"/>
                <w:lang w:val="en-US" w:eastAsia="zh-CN"/>
              </w:rPr>
              <w:instrText xml:space="preserve"> = 1 \* ROMAN \* MERGEFORMAT </w:instrText>
            </w:r>
            <w:r>
              <w:rPr>
                <w:rFonts w:hint="default" w:ascii="Times New Roman" w:hAnsi="Times New Roman" w:cs="Times New Roman"/>
                <w:color w:val="auto"/>
                <w:sz w:val="24"/>
                <w:szCs w:val="28"/>
                <w:highlight w:val="none"/>
                <w:lang w:val="en-US" w:eastAsia="zh-CN"/>
              </w:rPr>
              <w:fldChar w:fldCharType="separate"/>
            </w:r>
            <w:r>
              <w:rPr>
                <w:rFonts w:hint="default" w:ascii="Times New Roman" w:hAnsi="Times New Roman" w:cs="Times New Roman"/>
                <w:color w:val="auto"/>
                <w:sz w:val="24"/>
                <w:szCs w:val="28"/>
                <w:highlight w:val="none"/>
                <w:lang w:val="en-US" w:eastAsia="zh-CN"/>
              </w:rPr>
              <w:t>I</w:t>
            </w:r>
            <w:r>
              <w:rPr>
                <w:rFonts w:hint="default" w:ascii="Times New Roman" w:hAnsi="Times New Roman" w:cs="Times New Roman"/>
                <w:color w:val="auto"/>
                <w:sz w:val="24"/>
                <w:szCs w:val="28"/>
                <w:highlight w:val="none"/>
                <w:lang w:val="en-US" w:eastAsia="zh-CN"/>
              </w:rPr>
              <w:fldChar w:fldCharType="end"/>
            </w:r>
            <w:r>
              <w:rPr>
                <w:rFonts w:hint="default" w:ascii="Times New Roman" w:hAnsi="Times New Roman" w:cs="Times New Roman"/>
                <w:color w:val="auto"/>
                <w:sz w:val="24"/>
                <w:szCs w:val="28"/>
                <w:highlight w:val="none"/>
                <w:lang w:val="en-US" w:eastAsia="zh-CN"/>
              </w:rPr>
              <w:t>，项目环境风险评价等级为简单分析，项目环境风险在做好应急防范措施的基础上是可控的，可将环境风险事故发生的概率降低到最低。项目环境风险简单分析内容见表</w:t>
            </w:r>
            <w:r>
              <w:rPr>
                <w:rFonts w:hint="eastAsia" w:ascii="Times New Roman" w:hAnsi="Times New Roman" w:cs="Times New Roman"/>
                <w:color w:val="auto"/>
                <w:sz w:val="24"/>
                <w:szCs w:val="28"/>
                <w:highlight w:val="none"/>
                <w:lang w:val="en-US" w:eastAsia="zh-CN"/>
              </w:rPr>
              <w:t>4</w:t>
            </w:r>
            <w:r>
              <w:rPr>
                <w:rFonts w:hint="default" w:ascii="Times New Roman" w:hAnsi="Times New Roman" w:cs="Times New Roman"/>
                <w:color w:val="auto"/>
                <w:sz w:val="24"/>
                <w:szCs w:val="28"/>
                <w:highlight w:val="none"/>
                <w:lang w:val="en-US" w:eastAsia="zh-CN"/>
              </w:rPr>
              <w:t>-</w:t>
            </w:r>
            <w:r>
              <w:rPr>
                <w:rFonts w:hint="eastAsia" w:cs="Times New Roman"/>
                <w:color w:val="auto"/>
                <w:sz w:val="24"/>
                <w:szCs w:val="28"/>
                <w:highlight w:val="none"/>
                <w:lang w:val="en-US" w:eastAsia="zh-CN"/>
              </w:rPr>
              <w:t>25</w:t>
            </w:r>
            <w:r>
              <w:rPr>
                <w:rFonts w:hint="default" w:ascii="Times New Roman" w:hAnsi="Times New Roman" w:cs="Times New Roman"/>
                <w:color w:val="auto"/>
                <w:sz w:val="24"/>
                <w:szCs w:val="28"/>
                <w:highlight w:val="none"/>
                <w:lang w:val="en-US" w:eastAsia="zh-CN"/>
              </w:rPr>
              <w:t>所示。</w:t>
            </w:r>
          </w:p>
          <w:p w14:paraId="221995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表4-</w:t>
            </w:r>
            <w:r>
              <w:rPr>
                <w:rFonts w:hint="eastAsia"/>
                <w:b/>
                <w:bCs/>
                <w:color w:val="auto"/>
                <w:sz w:val="21"/>
                <w:szCs w:val="21"/>
                <w:highlight w:val="none"/>
                <w:lang w:val="en-US" w:eastAsia="zh-CN"/>
              </w:rPr>
              <w:t>25</w:t>
            </w:r>
            <w:r>
              <w:rPr>
                <w:rFonts w:hint="eastAsia" w:ascii="Times New Roman" w:hAnsi="Times New Roman" w:eastAsia="宋体"/>
                <w:b/>
                <w:bCs/>
                <w:color w:val="auto"/>
                <w:sz w:val="21"/>
                <w:szCs w:val="21"/>
                <w:highlight w:val="none"/>
                <w:lang w:val="en-US" w:eastAsia="zh-CN"/>
              </w:rPr>
              <w:t xml:space="preserve"> 建设项目环境风险简单分析内容表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398"/>
              <w:gridCol w:w="1690"/>
              <w:gridCol w:w="1628"/>
              <w:gridCol w:w="2133"/>
            </w:tblGrid>
            <w:tr w14:paraId="565F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920" w:type="pct"/>
                  <w:tcBorders>
                    <w:top w:val="single" w:color="auto" w:sz="4" w:space="0"/>
                    <w:left w:val="single" w:color="auto" w:sz="4" w:space="0"/>
                    <w:bottom w:val="single" w:color="auto" w:sz="4" w:space="0"/>
                    <w:right w:val="single" w:color="auto" w:sz="4" w:space="0"/>
                  </w:tcBorders>
                  <w:vAlign w:val="center"/>
                </w:tcPr>
                <w:p w14:paraId="060E7D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建设项目名称</w:t>
                  </w:r>
                </w:p>
              </w:tc>
              <w:tc>
                <w:tcPr>
                  <w:tcW w:w="4079" w:type="pct"/>
                  <w:gridSpan w:val="4"/>
                  <w:tcBorders>
                    <w:top w:val="single" w:color="auto" w:sz="4" w:space="0"/>
                    <w:left w:val="single" w:color="auto" w:sz="4" w:space="0"/>
                    <w:bottom w:val="single" w:color="auto" w:sz="4" w:space="0"/>
                    <w:right w:val="single" w:color="auto" w:sz="4" w:space="0"/>
                  </w:tcBorders>
                  <w:vAlign w:val="center"/>
                </w:tcPr>
                <w:p w14:paraId="5EA0F9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昆明</w:t>
                  </w:r>
                  <w:r>
                    <w:rPr>
                      <w:rFonts w:hint="default" w:ascii="Times New Roman" w:hAnsi="Times New Roman" w:cs="Times New Roman"/>
                      <w:color w:val="auto"/>
                      <w:sz w:val="21"/>
                      <w:szCs w:val="21"/>
                      <w:highlight w:val="none"/>
                      <w:lang w:eastAsia="zh-CN"/>
                    </w:rPr>
                    <w:t>日盛玻璃制造</w:t>
                  </w:r>
                  <w:r>
                    <w:rPr>
                      <w:rFonts w:hint="default" w:ascii="Times New Roman" w:hAnsi="Times New Roman" w:cs="Times New Roman"/>
                      <w:color w:val="auto"/>
                      <w:sz w:val="21"/>
                      <w:szCs w:val="21"/>
                      <w:highlight w:val="none"/>
                    </w:rPr>
                    <w:t>有限公司</w:t>
                  </w:r>
                  <w:r>
                    <w:rPr>
                      <w:rFonts w:hint="default" w:ascii="Times New Roman" w:hAnsi="Times New Roman" w:cs="Times New Roman"/>
                      <w:color w:val="auto"/>
                      <w:sz w:val="21"/>
                      <w:szCs w:val="21"/>
                      <w:highlight w:val="none"/>
                      <w:lang w:eastAsia="zh-CN"/>
                    </w:rPr>
                    <w:t>玉砂玻璃、防火玻璃、钢化玻璃生产线扩建项目</w:t>
                  </w:r>
                </w:p>
              </w:tc>
            </w:tr>
            <w:tr w14:paraId="7392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20" w:type="pct"/>
                  <w:tcBorders>
                    <w:top w:val="single" w:color="auto" w:sz="4" w:space="0"/>
                    <w:left w:val="single" w:color="auto" w:sz="4" w:space="0"/>
                    <w:bottom w:val="single" w:color="auto" w:sz="4" w:space="0"/>
                    <w:right w:val="single" w:color="auto" w:sz="4" w:space="0"/>
                  </w:tcBorders>
                  <w:vAlign w:val="center"/>
                </w:tcPr>
                <w:p w14:paraId="616086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建设地点</w:t>
                  </w:r>
                </w:p>
              </w:tc>
              <w:tc>
                <w:tcPr>
                  <w:tcW w:w="4079" w:type="pct"/>
                  <w:gridSpan w:val="4"/>
                  <w:tcBorders>
                    <w:top w:val="single" w:color="auto" w:sz="4" w:space="0"/>
                    <w:left w:val="single" w:color="auto" w:sz="4" w:space="0"/>
                    <w:bottom w:val="single" w:color="auto" w:sz="4" w:space="0"/>
                    <w:right w:val="single" w:color="auto" w:sz="4" w:space="0"/>
                  </w:tcBorders>
                  <w:vAlign w:val="center"/>
                </w:tcPr>
                <w:p w14:paraId="0A8CB7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云南省昆明市寻甸特色产业园区羊街片区</w:t>
                  </w:r>
                </w:p>
              </w:tc>
            </w:tr>
            <w:tr w14:paraId="223E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20" w:type="pct"/>
                  <w:tcBorders>
                    <w:top w:val="single" w:color="auto" w:sz="4" w:space="0"/>
                    <w:left w:val="single" w:color="auto" w:sz="4" w:space="0"/>
                    <w:bottom w:val="single" w:color="auto" w:sz="4" w:space="0"/>
                    <w:right w:val="single" w:color="auto" w:sz="4" w:space="0"/>
                  </w:tcBorders>
                  <w:vAlign w:val="center"/>
                </w:tcPr>
                <w:p w14:paraId="5FE31A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地理坐标</w:t>
                  </w:r>
                </w:p>
              </w:tc>
              <w:tc>
                <w:tcPr>
                  <w:tcW w:w="859" w:type="pct"/>
                  <w:tcBorders>
                    <w:top w:val="single" w:color="auto" w:sz="4" w:space="0"/>
                    <w:left w:val="single" w:color="auto" w:sz="4" w:space="0"/>
                    <w:bottom w:val="single" w:color="auto" w:sz="4" w:space="0"/>
                    <w:right w:val="single" w:color="auto" w:sz="4" w:space="0"/>
                  </w:tcBorders>
                  <w:vAlign w:val="center"/>
                </w:tcPr>
                <w:p w14:paraId="426E1F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1021" w:type="pct"/>
                  <w:tcBorders>
                    <w:top w:val="single" w:color="auto" w:sz="4" w:space="0"/>
                    <w:left w:val="single" w:color="auto" w:sz="4" w:space="0"/>
                    <w:bottom w:val="single" w:color="auto" w:sz="4" w:space="0"/>
                    <w:right w:val="single" w:color="auto" w:sz="4" w:space="0"/>
                  </w:tcBorders>
                  <w:vAlign w:val="center"/>
                </w:tcPr>
                <w:p w14:paraId="3422F4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103°</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22.442</w:t>
                  </w:r>
                  <w:r>
                    <w:rPr>
                      <w:rFonts w:hint="default" w:ascii="Times New Roman" w:hAnsi="Times New Roman" w:cs="Times New Roman"/>
                      <w:color w:val="auto"/>
                      <w:sz w:val="21"/>
                      <w:szCs w:val="21"/>
                      <w:highlight w:val="none"/>
                      <w:lang w:val="en-US" w:eastAsia="zh-CN"/>
                    </w:rPr>
                    <w:t>″</w:t>
                  </w:r>
                </w:p>
              </w:tc>
              <w:tc>
                <w:tcPr>
                  <w:tcW w:w="984" w:type="pct"/>
                  <w:tcBorders>
                    <w:top w:val="single" w:color="auto" w:sz="4" w:space="0"/>
                    <w:left w:val="single" w:color="auto" w:sz="4" w:space="0"/>
                    <w:bottom w:val="single" w:color="auto" w:sz="4" w:space="0"/>
                    <w:right w:val="single" w:color="auto" w:sz="4" w:space="0"/>
                  </w:tcBorders>
                  <w:vAlign w:val="center"/>
                </w:tcPr>
                <w:p w14:paraId="648FEE5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1213" w:type="pct"/>
                  <w:tcBorders>
                    <w:top w:val="single" w:color="auto" w:sz="4" w:space="0"/>
                    <w:left w:val="single" w:color="auto" w:sz="4" w:space="0"/>
                    <w:bottom w:val="single" w:color="auto" w:sz="4" w:space="0"/>
                    <w:right w:val="single" w:color="auto" w:sz="4" w:space="0"/>
                  </w:tcBorders>
                  <w:vAlign w:val="center"/>
                </w:tcPr>
                <w:p w14:paraId="4DABB1B0">
                  <w:pPr>
                    <w:keepNext w:val="0"/>
                    <w:keepLines w:val="0"/>
                    <w:suppressLineNumbers w:val="0"/>
                    <w:adjustRightInd w:val="0"/>
                    <w:snapToGrid w:val="0"/>
                    <w:spacing w:before="0" w:beforeAutospacing="0" w:after="0" w:afterAutospacing="0"/>
                    <w:ind w:left="0" w:right="0" w:firstLine="210" w:firstLineChars="1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25°</w:t>
                  </w:r>
                  <w:r>
                    <w:rPr>
                      <w:rFonts w:hint="eastAsia" w:cs="Times New Roman"/>
                      <w:color w:val="auto"/>
                      <w:sz w:val="21"/>
                      <w:szCs w:val="21"/>
                      <w:highlight w:val="none"/>
                      <w:lang w:val="en-US" w:eastAsia="zh-CN"/>
                    </w:rPr>
                    <w:t>27</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46.029</w:t>
                  </w:r>
                  <w:r>
                    <w:rPr>
                      <w:rFonts w:hint="default" w:ascii="Times New Roman" w:hAnsi="Times New Roman" w:cs="Times New Roman"/>
                      <w:color w:val="auto"/>
                      <w:sz w:val="21"/>
                      <w:szCs w:val="21"/>
                      <w:highlight w:val="none"/>
                      <w:lang w:val="en-US" w:eastAsia="zh-CN"/>
                    </w:rPr>
                    <w:t>″</w:t>
                  </w:r>
                </w:p>
              </w:tc>
            </w:tr>
            <w:tr w14:paraId="3B5B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20" w:type="pct"/>
                  <w:tcBorders>
                    <w:top w:val="single" w:color="auto" w:sz="4" w:space="0"/>
                    <w:left w:val="single" w:color="auto" w:sz="4" w:space="0"/>
                    <w:bottom w:val="single" w:color="auto" w:sz="4" w:space="0"/>
                    <w:right w:val="single" w:color="auto" w:sz="4" w:space="0"/>
                  </w:tcBorders>
                  <w:vAlign w:val="center"/>
                </w:tcPr>
                <w:p w14:paraId="7FFCCC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主要危险物质及分布</w:t>
                  </w:r>
                </w:p>
              </w:tc>
              <w:tc>
                <w:tcPr>
                  <w:tcW w:w="4079" w:type="pct"/>
                  <w:gridSpan w:val="4"/>
                  <w:tcBorders>
                    <w:top w:val="single" w:color="auto" w:sz="4" w:space="0"/>
                    <w:left w:val="single" w:color="auto" w:sz="4" w:space="0"/>
                    <w:bottom w:val="single" w:color="auto" w:sz="4" w:space="0"/>
                    <w:right w:val="single" w:color="auto" w:sz="4" w:space="0"/>
                  </w:tcBorders>
                  <w:vAlign w:val="center"/>
                </w:tcPr>
                <w:p w14:paraId="21EA6529">
                  <w:pPr>
                    <w:keepNext w:val="0"/>
                    <w:keepLines w:val="0"/>
                    <w:suppressLineNumbers w:val="0"/>
                    <w:adjustRightInd w:val="0"/>
                    <w:snapToGrid w:val="0"/>
                    <w:spacing w:before="0" w:beforeAutospacing="0" w:after="0" w:afterAutospacing="0"/>
                    <w:ind w:left="0" w:right="0"/>
                    <w:jc w:val="left"/>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本项目</w:t>
                  </w:r>
                  <w:r>
                    <w:rPr>
                      <w:rFonts w:hint="default" w:ascii="Times New Roman" w:hAnsi="Times New Roman" w:cs="Times New Roman"/>
                      <w:color w:val="auto"/>
                      <w:sz w:val="21"/>
                      <w:szCs w:val="21"/>
                      <w:highlight w:val="none"/>
                    </w:rPr>
                    <w:t>主要危险物质</w:t>
                  </w:r>
                  <w:r>
                    <w:rPr>
                      <w:rFonts w:hint="eastAsia" w:cs="Times New Roman"/>
                      <w:color w:val="auto"/>
                      <w:sz w:val="21"/>
                      <w:szCs w:val="21"/>
                      <w:highlight w:val="none"/>
                      <w:lang w:eastAsia="zh-CN"/>
                    </w:rPr>
                    <w:t>为硫酸、盐酸、废机油</w:t>
                  </w:r>
                  <w:r>
                    <w:rPr>
                      <w:rFonts w:hint="eastAsia" w:cs="Times New Roman"/>
                      <w:color w:val="auto"/>
                      <w:sz w:val="21"/>
                      <w:szCs w:val="21"/>
                      <w:highlight w:val="none"/>
                      <w:lang w:val="en-US" w:eastAsia="zh-CN"/>
                    </w:rPr>
                    <w:t>、氯化氢气体、氟化氢气体、生产废水、火灾爆炸产生的次生污染物。</w:t>
                  </w:r>
                </w:p>
                <w:p w14:paraId="6BB8DDF7">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硫酸</w:t>
                  </w:r>
                  <w:r>
                    <w:rPr>
                      <w:rFonts w:hint="eastAsia" w:cs="Times New Roman"/>
                      <w:color w:val="auto"/>
                      <w:sz w:val="21"/>
                      <w:szCs w:val="21"/>
                      <w:highlight w:val="none"/>
                      <w:lang w:eastAsia="zh-CN"/>
                    </w:rPr>
                    <w:t>、盐酸存放于危化品库，</w:t>
                  </w:r>
                  <w:r>
                    <w:rPr>
                      <w:rFonts w:hint="default" w:ascii="Times New Roman" w:hAnsi="Times New Roman" w:cs="Times New Roman"/>
                      <w:color w:val="auto"/>
                      <w:sz w:val="21"/>
                      <w:szCs w:val="21"/>
                      <w:highlight w:val="none"/>
                    </w:rPr>
                    <w:t>废机油</w:t>
                  </w:r>
                  <w:r>
                    <w:rPr>
                      <w:rFonts w:hint="eastAsia" w:cs="Times New Roman"/>
                      <w:color w:val="auto"/>
                      <w:sz w:val="21"/>
                      <w:szCs w:val="21"/>
                      <w:highlight w:val="none"/>
                      <w:lang w:eastAsia="zh-CN"/>
                    </w:rPr>
                    <w:t>存放于</w:t>
                  </w:r>
                  <w:r>
                    <w:rPr>
                      <w:rFonts w:hint="eastAsia" w:cs="Times New Roman"/>
                      <w:color w:val="auto"/>
                      <w:sz w:val="21"/>
                      <w:szCs w:val="21"/>
                      <w:highlight w:val="none"/>
                      <w:lang w:val="en-US" w:eastAsia="zh-CN"/>
                    </w:rPr>
                    <w:t>危险废物</w:t>
                  </w:r>
                  <w:r>
                    <w:rPr>
                      <w:rFonts w:hint="default" w:ascii="Times New Roman" w:hAnsi="Times New Roman" w:cs="Times New Roman"/>
                      <w:color w:val="auto"/>
                      <w:sz w:val="21"/>
                      <w:szCs w:val="21"/>
                      <w:highlight w:val="none"/>
                    </w:rPr>
                    <w:t>暂存间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氯化氢气体和氟化氢气体</w:t>
                  </w:r>
                  <w:r>
                    <w:rPr>
                      <w:rFonts w:hint="eastAsia" w:cs="Times New Roman"/>
                      <w:color w:val="auto"/>
                      <w:sz w:val="21"/>
                      <w:szCs w:val="21"/>
                      <w:highlight w:val="none"/>
                      <w:lang w:val="zh-CN" w:eastAsia="zh-CN"/>
                    </w:rPr>
                    <w:t>由封闭生产车间</w:t>
                  </w:r>
                  <w:r>
                    <w:rPr>
                      <w:rFonts w:hint="eastAsia" w:cs="Times New Roman"/>
                      <w:color w:val="auto"/>
                      <w:sz w:val="21"/>
                      <w:szCs w:val="21"/>
                      <w:highlight w:val="none"/>
                      <w:lang w:val="en-US" w:eastAsia="zh-CN"/>
                    </w:rPr>
                    <w:t>集气管道</w:t>
                  </w:r>
                  <w:r>
                    <w:rPr>
                      <w:rFonts w:hint="eastAsia" w:cs="Times New Roman"/>
                      <w:color w:val="auto"/>
                      <w:sz w:val="21"/>
                      <w:szCs w:val="21"/>
                      <w:highlight w:val="none"/>
                      <w:lang w:val="zh-CN" w:eastAsia="zh-CN"/>
                    </w:rPr>
                    <w:t>收集后，通过一套碱液喷淋洗涤塔废气治理设施处理，后经15m高排气筒（</w:t>
                  </w:r>
                  <w:r>
                    <w:rPr>
                      <w:rFonts w:hint="eastAsia" w:cs="Times New Roman"/>
                      <w:color w:val="auto"/>
                      <w:sz w:val="21"/>
                      <w:szCs w:val="21"/>
                      <w:highlight w:val="none"/>
                      <w:lang w:val="en-US" w:eastAsia="zh-CN"/>
                    </w:rPr>
                    <w:t>DA002</w:t>
                  </w:r>
                  <w:r>
                    <w:rPr>
                      <w:rFonts w:hint="eastAsia" w:cs="Times New Roman"/>
                      <w:color w:val="auto"/>
                      <w:sz w:val="21"/>
                      <w:szCs w:val="21"/>
                      <w:highlight w:val="none"/>
                      <w:lang w:val="zh-CN" w:eastAsia="zh-CN"/>
                    </w:rPr>
                    <w:t>）排放</w:t>
                  </w:r>
                  <w:r>
                    <w:rPr>
                      <w:rFonts w:hint="eastAsia" w:cs="Times New Roman"/>
                      <w:color w:val="auto"/>
                      <w:sz w:val="21"/>
                      <w:szCs w:val="21"/>
                      <w:highlight w:val="none"/>
                      <w:lang w:val="en-US" w:eastAsia="zh-CN"/>
                    </w:rPr>
                    <w:t>，生产废水经收集后统一进入调节池、生产废水处理设施处理达标后回用于水洗补水</w:t>
                  </w:r>
                </w:p>
              </w:tc>
            </w:tr>
            <w:tr w14:paraId="1FC9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920" w:type="pct"/>
                  <w:tcBorders>
                    <w:top w:val="single" w:color="auto" w:sz="4" w:space="0"/>
                    <w:left w:val="single" w:color="auto" w:sz="4" w:space="0"/>
                    <w:bottom w:val="single" w:color="auto" w:sz="4" w:space="0"/>
                    <w:right w:val="single" w:color="auto" w:sz="4" w:space="0"/>
                  </w:tcBorders>
                  <w:vAlign w:val="center"/>
                </w:tcPr>
                <w:p w14:paraId="45CDEF9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环境影响途径及危害后果（大气、地表水、地下水等）</w:t>
                  </w:r>
                </w:p>
              </w:tc>
              <w:tc>
                <w:tcPr>
                  <w:tcW w:w="4079" w:type="pct"/>
                  <w:gridSpan w:val="4"/>
                  <w:tcBorders>
                    <w:top w:val="single" w:color="auto" w:sz="4" w:space="0"/>
                    <w:left w:val="single" w:color="auto" w:sz="4" w:space="0"/>
                    <w:bottom w:val="single" w:color="auto" w:sz="4" w:space="0"/>
                    <w:right w:val="single" w:color="auto" w:sz="4" w:space="0"/>
                  </w:tcBorders>
                  <w:vAlign w:val="center"/>
                </w:tcPr>
                <w:p w14:paraId="0749D82B">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硫酸、</w:t>
                  </w:r>
                  <w:r>
                    <w:rPr>
                      <w:rFonts w:hint="eastAsia" w:cs="Times New Roman"/>
                      <w:color w:val="auto"/>
                      <w:sz w:val="21"/>
                      <w:szCs w:val="21"/>
                      <w:highlight w:val="none"/>
                      <w:lang w:eastAsia="zh-CN"/>
                    </w:rPr>
                    <w:t>盐酸、</w:t>
                  </w:r>
                  <w:r>
                    <w:rPr>
                      <w:rFonts w:hint="default" w:ascii="Times New Roman" w:hAnsi="Times New Roman" w:cs="Times New Roman"/>
                      <w:color w:val="auto"/>
                      <w:sz w:val="21"/>
                      <w:szCs w:val="21"/>
                      <w:highlight w:val="none"/>
                    </w:rPr>
                    <w:t>废机油</w:t>
                  </w:r>
                  <w:r>
                    <w:rPr>
                      <w:rFonts w:hint="eastAsia" w:cs="Times New Roman"/>
                      <w:color w:val="auto"/>
                      <w:sz w:val="21"/>
                      <w:szCs w:val="21"/>
                      <w:highlight w:val="none"/>
                      <w:lang w:eastAsia="zh-CN"/>
                    </w:rPr>
                    <w:t>、生产废水</w:t>
                  </w:r>
                  <w:r>
                    <w:rPr>
                      <w:rFonts w:hint="eastAsia" w:cs="Times New Roman"/>
                      <w:color w:val="auto"/>
                      <w:sz w:val="21"/>
                      <w:szCs w:val="21"/>
                      <w:highlight w:val="none"/>
                      <w:lang w:val="en-US" w:eastAsia="zh-CN"/>
                    </w:rPr>
                    <w:t>泄漏</w:t>
                  </w:r>
                  <w:r>
                    <w:rPr>
                      <w:rFonts w:hint="default" w:ascii="Times New Roman" w:hAnsi="Times New Roman" w:cs="Times New Roman"/>
                      <w:color w:val="auto"/>
                      <w:sz w:val="21"/>
                      <w:szCs w:val="21"/>
                      <w:highlight w:val="none"/>
                    </w:rPr>
                    <w:t>：地下水环境、地表水、土壤环境污染；</w:t>
                  </w:r>
                </w:p>
                <w:p w14:paraId="6CB6161C">
                  <w:pPr>
                    <w:keepNext w:val="0"/>
                    <w:keepLines w:val="0"/>
                    <w:suppressLineNumbers w:val="0"/>
                    <w:spacing w:before="0" w:beforeAutospacing="0" w:after="0" w:afterAutospacing="0"/>
                    <w:ind w:left="0" w:right="0"/>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氯化氢气体、氟化氢气体非正常排放：</w:t>
                  </w:r>
                  <w:r>
                    <w:rPr>
                      <w:rFonts w:hint="eastAsia" w:cs="Times New Roman"/>
                      <w:color w:val="auto"/>
                      <w:sz w:val="21"/>
                      <w:szCs w:val="21"/>
                      <w:highlight w:val="none"/>
                      <w:lang w:eastAsia="zh-CN"/>
                    </w:rPr>
                    <w:t>大气环境污染；</w:t>
                  </w:r>
                </w:p>
                <w:p w14:paraId="5A2F932A">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火灾爆炸产生的次生污染物：大气环境污染。</w:t>
                  </w:r>
                </w:p>
              </w:tc>
            </w:tr>
            <w:tr w14:paraId="5754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20" w:type="pct"/>
                  <w:tcBorders>
                    <w:top w:val="single" w:color="auto" w:sz="4" w:space="0"/>
                    <w:left w:val="single" w:color="auto" w:sz="4" w:space="0"/>
                    <w:bottom w:val="single" w:color="auto" w:sz="4" w:space="0"/>
                    <w:right w:val="single" w:color="auto" w:sz="4" w:space="0"/>
                  </w:tcBorders>
                  <w:vAlign w:val="center"/>
                </w:tcPr>
                <w:p w14:paraId="6825CC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风险防范措施要求</w:t>
                  </w:r>
                </w:p>
              </w:tc>
              <w:tc>
                <w:tcPr>
                  <w:tcW w:w="4079" w:type="pct"/>
                  <w:gridSpan w:val="4"/>
                  <w:tcBorders>
                    <w:top w:val="single" w:color="auto" w:sz="4" w:space="0"/>
                    <w:left w:val="single" w:color="auto" w:sz="4" w:space="0"/>
                    <w:bottom w:val="single" w:color="auto" w:sz="4" w:space="0"/>
                    <w:right w:val="single" w:color="auto" w:sz="4" w:space="0"/>
                  </w:tcBorders>
                  <w:vAlign w:val="center"/>
                </w:tcPr>
                <w:p w14:paraId="2E2CFFC4">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1）危化品泄漏防范措施</w:t>
                  </w:r>
                </w:p>
                <w:p w14:paraId="221929F3">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①严格按《危险化学品安全管理条例》的要求，加强对危化品的管理；制定危化品安全操作规程，要求操作人员严格按操作规程作业；对从事危化品作业人员 定期进行安全培训教育；经常性对危化品作业场所进行安全检查。</w:t>
                  </w:r>
                </w:p>
                <w:p w14:paraId="12EDC480">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②仓库及库区应符合储存危化品的相关条件（如防晒、防潮、通风、防雷、 防静电等） ，实施危化品的储存和使用；在仓库、库区设置明显的防火等级标志， 通道、出入口和通向消防设施的道路保持畅通。同时，危化品储存场所应严格按照规定管道、设备材质、阀门及配件，加强现场管理，消除跑、冒、滴、漏；建立健全安全规程及值勤制度，设置通讯、报警装置，确保其处于完好状态；对使用危化品的名称、数量进行严格登记；凡储存、使用危化品的岗位，都应配置合格的防毒器材、消防器材，并确保其处于完好状态；所有进入储存、使用危险化学品的人员，都必须严格遵守《危险化学品管理制度》。</w:t>
                  </w:r>
                </w:p>
                <w:p w14:paraId="22D4E631">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③危化品存放区必须设置于阴凉、通风的库房，库房必须防渗、防漏、防雨。</w:t>
                  </w:r>
                </w:p>
                <w:p w14:paraId="24125D04">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④危化品存放区设置一个备用容器，当泄漏事故发生时，收集至备用容器内暂存。</w:t>
                  </w:r>
                </w:p>
                <w:p w14:paraId="761DAA34">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⑤危化品存放区应配备吸附剂等材料，防止发生事故时能对事故进行应急处 理。</w:t>
                  </w:r>
                </w:p>
                <w:p w14:paraId="63CF5DE2">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2）火灾防范措施</w:t>
                  </w:r>
                </w:p>
                <w:p w14:paraId="71638C5C">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①科学配备灭火器材等消防设备。</w:t>
                  </w:r>
                </w:p>
                <w:p w14:paraId="2D7648FC">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②严禁动用明火、各种电热器和能引起电火花的电气设备， 室外门上应挂“严禁烟火”的警告牌，定期检查完好性。</w:t>
                  </w:r>
                </w:p>
                <w:p w14:paraId="0CF2D614">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③加强设备电线及接头的检修及维护，防止因线路老化、接触不良等原因造 成火灾事故。</w:t>
                  </w:r>
                </w:p>
                <w:p w14:paraId="586B862D">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3）地表水、地下水环境风险防范措施</w:t>
                  </w:r>
                </w:p>
                <w:p w14:paraId="7FD79EB8">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fldChar w:fldCharType="begin"/>
                  </w:r>
                  <w:r>
                    <w:rPr>
                      <w:rFonts w:hint="default"/>
                      <w:color w:val="auto"/>
                      <w:sz w:val="21"/>
                      <w:szCs w:val="21"/>
                      <w:highlight w:val="none"/>
                      <w:lang w:val="en-US" w:eastAsia="zh-CN"/>
                    </w:rPr>
                    <w:instrText xml:space="preserve"> = 1 \* GB3 \* MERGEFORMAT </w:instrText>
                  </w:r>
                  <w:r>
                    <w:rPr>
                      <w:rFonts w:hint="default"/>
                      <w:color w:val="auto"/>
                      <w:sz w:val="21"/>
                      <w:szCs w:val="21"/>
                      <w:highlight w:val="none"/>
                      <w:lang w:val="en-US" w:eastAsia="zh-CN"/>
                    </w:rPr>
                    <w:fldChar w:fldCharType="separate"/>
                  </w:r>
                  <w:r>
                    <w:rPr>
                      <w:rFonts w:hint="default"/>
                      <w:color w:val="auto"/>
                      <w:sz w:val="21"/>
                      <w:szCs w:val="21"/>
                      <w:highlight w:val="none"/>
                      <w:lang w:val="en-US" w:eastAsia="zh-CN"/>
                    </w:rPr>
                    <w:t>①</w:t>
                  </w:r>
                  <w:r>
                    <w:rPr>
                      <w:rFonts w:hint="default"/>
                      <w:color w:val="auto"/>
                      <w:sz w:val="21"/>
                      <w:szCs w:val="21"/>
                      <w:highlight w:val="none"/>
                      <w:lang w:val="en-US" w:eastAsia="zh-CN"/>
                    </w:rPr>
                    <w:fldChar w:fldCharType="end"/>
                  </w:r>
                  <w:r>
                    <w:rPr>
                      <w:rFonts w:hint="default"/>
                      <w:color w:val="auto"/>
                      <w:sz w:val="21"/>
                      <w:szCs w:val="21"/>
                      <w:highlight w:val="none"/>
                      <w:lang w:val="en-US" w:eastAsia="zh-CN"/>
                    </w:rPr>
                    <w:t>项目区分区防渗，危化品库、危废暂存间、调节池、事故应急池池体</w:t>
                  </w:r>
                  <w:r>
                    <w:rPr>
                      <w:rFonts w:hint="eastAsia"/>
                      <w:color w:val="auto"/>
                      <w:sz w:val="21"/>
                      <w:szCs w:val="21"/>
                      <w:highlight w:val="none"/>
                      <w:lang w:val="en-US" w:eastAsia="zh-CN"/>
                    </w:rPr>
                    <w:t>，</w:t>
                  </w:r>
                  <w:r>
                    <w:rPr>
                      <w:rFonts w:hint="default"/>
                      <w:color w:val="auto"/>
                      <w:sz w:val="21"/>
                      <w:szCs w:val="21"/>
                      <w:highlight w:val="none"/>
                      <w:lang w:val="en-US" w:eastAsia="zh-CN"/>
                    </w:rPr>
                    <w:t>采用“抗渗混凝土+2mm厚HDPE膜+环氧树脂涂料”进行重点防渗，渗透系数≤10</w:t>
                  </w:r>
                  <w:r>
                    <w:rPr>
                      <w:rFonts w:hint="default"/>
                      <w:color w:val="auto"/>
                      <w:sz w:val="21"/>
                      <w:szCs w:val="21"/>
                      <w:highlight w:val="none"/>
                      <w:vertAlign w:val="superscript"/>
                      <w:lang w:val="en-US" w:eastAsia="zh-CN"/>
                    </w:rPr>
                    <w:t>-10</w:t>
                  </w:r>
                  <w:r>
                    <w:rPr>
                      <w:rFonts w:hint="default"/>
                      <w:color w:val="auto"/>
                      <w:sz w:val="21"/>
                      <w:szCs w:val="21"/>
                      <w:highlight w:val="none"/>
                      <w:lang w:val="en-US" w:eastAsia="zh-CN"/>
                    </w:rPr>
                    <w:t>cm/s；隔油池、化粪池、污水处理站、生产加工区、其他原辅料储存区采用“抗渗混凝土+1.5mm厚HDPE+环氧树脂涂料”进行一般防渗，渗透系数≤10</w:t>
                  </w:r>
                  <w:r>
                    <w:rPr>
                      <w:rFonts w:hint="default"/>
                      <w:color w:val="auto"/>
                      <w:sz w:val="21"/>
                      <w:szCs w:val="21"/>
                      <w:highlight w:val="none"/>
                      <w:vertAlign w:val="superscript"/>
                      <w:lang w:val="en-US" w:eastAsia="zh-CN"/>
                    </w:rPr>
                    <w:t>-7</w:t>
                  </w:r>
                  <w:r>
                    <w:rPr>
                      <w:rFonts w:hint="default"/>
                      <w:color w:val="auto"/>
                      <w:sz w:val="21"/>
                      <w:szCs w:val="21"/>
                      <w:highlight w:val="none"/>
                      <w:lang w:val="en-US" w:eastAsia="zh-CN"/>
                    </w:rPr>
                    <w:t>cm/s；其余生产区、道路及办公区域（除绿化外）进行简单防渗处理，地面进行硬化。</w:t>
                  </w:r>
                </w:p>
                <w:p w14:paraId="47B0BF9C">
                  <w:pPr>
                    <w:keepNext w:val="0"/>
                    <w:keepLines w:val="0"/>
                    <w:suppressLineNumbers w:val="0"/>
                    <w:spacing w:before="0" w:beforeAutospacing="0" w:after="0" w:afterAutospacing="0"/>
                    <w:ind w:left="0" w:right="0"/>
                    <w:jc w:val="both"/>
                    <w:rPr>
                      <w:rFonts w:hint="default"/>
                      <w:color w:val="auto"/>
                      <w:sz w:val="21"/>
                      <w:szCs w:val="21"/>
                      <w:highlight w:val="none"/>
                      <w:lang w:eastAsia="zh-CN"/>
                    </w:rPr>
                  </w:pPr>
                  <w:r>
                    <w:rPr>
                      <w:rFonts w:hint="default"/>
                      <w:color w:val="auto"/>
                      <w:sz w:val="21"/>
                      <w:szCs w:val="21"/>
                      <w:highlight w:val="none"/>
                      <w:lang w:val="en-US" w:eastAsia="zh-CN"/>
                    </w:rPr>
                    <w:fldChar w:fldCharType="begin"/>
                  </w:r>
                  <w:r>
                    <w:rPr>
                      <w:rFonts w:hint="default"/>
                      <w:color w:val="auto"/>
                      <w:sz w:val="21"/>
                      <w:szCs w:val="21"/>
                      <w:highlight w:val="none"/>
                      <w:lang w:val="en-US" w:eastAsia="zh-CN"/>
                    </w:rPr>
                    <w:instrText xml:space="preserve"> = 2 \* GB3 \* MERGEFORMAT </w:instrText>
                  </w:r>
                  <w:r>
                    <w:rPr>
                      <w:rFonts w:hint="default"/>
                      <w:color w:val="auto"/>
                      <w:sz w:val="21"/>
                      <w:szCs w:val="21"/>
                      <w:highlight w:val="none"/>
                      <w:lang w:val="en-US" w:eastAsia="zh-CN"/>
                    </w:rPr>
                    <w:fldChar w:fldCharType="separate"/>
                  </w:r>
                  <w:r>
                    <w:rPr>
                      <w:rFonts w:hint="default"/>
                      <w:color w:val="auto"/>
                      <w:sz w:val="21"/>
                      <w:szCs w:val="21"/>
                      <w:highlight w:val="none"/>
                      <w:lang w:val="en-US" w:eastAsia="zh-CN"/>
                    </w:rPr>
                    <w:t>②</w:t>
                  </w:r>
                  <w:r>
                    <w:rPr>
                      <w:rFonts w:hint="default"/>
                      <w:color w:val="auto"/>
                      <w:sz w:val="21"/>
                      <w:szCs w:val="21"/>
                      <w:highlight w:val="none"/>
                      <w:lang w:val="en-US" w:eastAsia="zh-CN"/>
                    </w:rPr>
                    <w:fldChar w:fldCharType="end"/>
                  </w:r>
                  <w:r>
                    <w:rPr>
                      <w:rFonts w:hint="default"/>
                      <w:color w:val="auto"/>
                      <w:sz w:val="21"/>
                      <w:szCs w:val="21"/>
                      <w:highlight w:val="none"/>
                      <w:lang w:val="en-US" w:eastAsia="zh-CN"/>
                    </w:rPr>
                    <w:t>危险废物</w:t>
                  </w:r>
                  <w:r>
                    <w:rPr>
                      <w:rFonts w:hint="default"/>
                      <w:color w:val="auto"/>
                      <w:sz w:val="21"/>
                      <w:szCs w:val="21"/>
                      <w:highlight w:val="none"/>
                    </w:rPr>
                    <w:t>暂存间严格按照《危险废物贮存污染控制标准》（GB18597-20</w:t>
                  </w:r>
                  <w:r>
                    <w:rPr>
                      <w:rFonts w:hint="default"/>
                      <w:color w:val="auto"/>
                      <w:sz w:val="21"/>
                      <w:szCs w:val="21"/>
                      <w:highlight w:val="none"/>
                      <w:lang w:val="en-US" w:eastAsia="zh-CN"/>
                    </w:rPr>
                    <w:t>23</w:t>
                  </w:r>
                  <w:r>
                    <w:rPr>
                      <w:rFonts w:hint="default"/>
                      <w:color w:val="auto"/>
                      <w:sz w:val="21"/>
                      <w:szCs w:val="21"/>
                      <w:highlight w:val="none"/>
                    </w:rPr>
                    <w:t>）中的相关要求</w:t>
                  </w:r>
                  <w:r>
                    <w:rPr>
                      <w:rFonts w:hint="default"/>
                      <w:color w:val="auto"/>
                      <w:sz w:val="21"/>
                      <w:szCs w:val="21"/>
                      <w:highlight w:val="none"/>
                      <w:lang w:val="en-US" w:eastAsia="zh-CN"/>
                    </w:rPr>
                    <w:t>设置</w:t>
                  </w:r>
                  <w:r>
                    <w:rPr>
                      <w:rFonts w:hint="default"/>
                      <w:color w:val="auto"/>
                      <w:sz w:val="21"/>
                      <w:szCs w:val="21"/>
                      <w:highlight w:val="none"/>
                    </w:rPr>
                    <w:t>，</w:t>
                  </w:r>
                  <w:r>
                    <w:rPr>
                      <w:rFonts w:hint="default"/>
                      <w:color w:val="auto"/>
                      <w:sz w:val="21"/>
                      <w:szCs w:val="21"/>
                      <w:highlight w:val="none"/>
                      <w:lang w:val="en-US" w:eastAsia="zh-CN"/>
                    </w:rPr>
                    <w:t>地面和四周墙裙脚采用“抗渗混凝土+2mm厚HDPE膜+环氧树脂涂料”进行重点防渗，渗透系数≤10-10cm/s，</w:t>
                  </w:r>
                  <w:r>
                    <w:rPr>
                      <w:rFonts w:hint="default"/>
                      <w:color w:val="auto"/>
                      <w:sz w:val="21"/>
                      <w:szCs w:val="21"/>
                      <w:highlight w:val="none"/>
                    </w:rPr>
                    <w:t>做好防雨、防渗，防止二次污染，各危险废物根据处理单位要求进行分类收集</w:t>
                  </w:r>
                  <w:r>
                    <w:rPr>
                      <w:rFonts w:hint="default"/>
                      <w:color w:val="auto"/>
                      <w:sz w:val="21"/>
                      <w:szCs w:val="21"/>
                      <w:highlight w:val="none"/>
                      <w:lang w:eastAsia="zh-CN"/>
                    </w:rPr>
                    <w:t>。</w:t>
                  </w:r>
                </w:p>
                <w:p w14:paraId="604946E8">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4）大气风险防范措施</w:t>
                  </w:r>
                </w:p>
                <w:p w14:paraId="58F17060">
                  <w:pPr>
                    <w:keepNext w:val="0"/>
                    <w:keepLines w:val="0"/>
                    <w:suppressLineNumbers w:val="0"/>
                    <w:spacing w:before="0" w:beforeAutospacing="0" w:after="0" w:afterAutospacing="0"/>
                    <w:ind w:left="0" w:right="0"/>
                    <w:jc w:val="both"/>
                    <w:rPr>
                      <w:rFonts w:hint="default"/>
                      <w:color w:val="auto"/>
                      <w:sz w:val="21"/>
                      <w:szCs w:val="21"/>
                      <w:highlight w:val="none"/>
                    </w:rPr>
                  </w:pPr>
                  <w:r>
                    <w:rPr>
                      <w:rFonts w:hint="default"/>
                      <w:color w:val="auto"/>
                      <w:sz w:val="21"/>
                      <w:szCs w:val="21"/>
                      <w:highlight w:val="none"/>
                    </w:rPr>
                    <w:t>①加强对</w:t>
                  </w:r>
                  <w:r>
                    <w:rPr>
                      <w:rFonts w:hint="default"/>
                      <w:color w:val="auto"/>
                      <w:sz w:val="21"/>
                      <w:szCs w:val="21"/>
                      <w:highlight w:val="none"/>
                      <w:lang w:eastAsia="zh-CN"/>
                    </w:rPr>
                    <w:t>危化品库和</w:t>
                  </w:r>
                  <w:r>
                    <w:rPr>
                      <w:rFonts w:hint="default"/>
                      <w:color w:val="auto"/>
                      <w:sz w:val="21"/>
                      <w:szCs w:val="21"/>
                      <w:highlight w:val="none"/>
                    </w:rPr>
                    <w:t>危废暂存</w:t>
                  </w:r>
                  <w:r>
                    <w:rPr>
                      <w:rFonts w:hint="default"/>
                      <w:color w:val="auto"/>
                      <w:sz w:val="21"/>
                      <w:szCs w:val="21"/>
                      <w:highlight w:val="none"/>
                      <w:lang w:eastAsia="zh-CN"/>
                    </w:rPr>
                    <w:t>间</w:t>
                  </w:r>
                  <w:r>
                    <w:rPr>
                      <w:rFonts w:hint="default"/>
                      <w:color w:val="auto"/>
                      <w:sz w:val="21"/>
                      <w:szCs w:val="21"/>
                      <w:highlight w:val="none"/>
                    </w:rPr>
                    <w:t>的巡查，及时发现泄漏破损，及时采取措施。</w:t>
                  </w:r>
                </w:p>
                <w:p w14:paraId="5E15FDC1">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②加强设备电线及接头的检修及维护，防止因线路老化、接触不良等原因造成火灾事故。</w:t>
                  </w:r>
                </w:p>
                <w:p w14:paraId="023BDAED">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③</w:t>
                  </w:r>
                  <w:r>
                    <w:rPr>
                      <w:rFonts w:hint="default"/>
                      <w:color w:val="auto"/>
                      <w:sz w:val="21"/>
                      <w:szCs w:val="21"/>
                      <w:highlight w:val="none"/>
                    </w:rPr>
                    <w:t>加强</w:t>
                  </w:r>
                  <w:r>
                    <w:rPr>
                      <w:rFonts w:hint="default"/>
                      <w:color w:val="auto"/>
                      <w:sz w:val="21"/>
                      <w:szCs w:val="21"/>
                      <w:highlight w:val="none"/>
                      <w:lang w:eastAsia="zh-CN"/>
                    </w:rPr>
                    <w:t>对废气治理设施的</w:t>
                  </w:r>
                  <w:r>
                    <w:rPr>
                      <w:rFonts w:hint="default"/>
                      <w:color w:val="auto"/>
                      <w:sz w:val="21"/>
                      <w:szCs w:val="21"/>
                      <w:highlight w:val="none"/>
                    </w:rPr>
                    <w:t>管理，明确岗位责任制，定期检查、维修、保养设备及构件，确保设备的正常运转。</w:t>
                  </w:r>
                </w:p>
                <w:p w14:paraId="7FA48187">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5）其他措施</w:t>
                  </w:r>
                </w:p>
                <w:p w14:paraId="746A968C">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fldChar w:fldCharType="begin"/>
                  </w:r>
                  <w:r>
                    <w:rPr>
                      <w:rFonts w:hint="default"/>
                      <w:color w:val="auto"/>
                      <w:sz w:val="21"/>
                      <w:szCs w:val="21"/>
                      <w:highlight w:val="none"/>
                      <w:lang w:val="en-US" w:eastAsia="zh-CN"/>
                    </w:rPr>
                    <w:instrText xml:space="preserve"> = 1 \* GB3 \* MERGEFORMAT </w:instrText>
                  </w:r>
                  <w:r>
                    <w:rPr>
                      <w:rFonts w:hint="default"/>
                      <w:color w:val="auto"/>
                      <w:sz w:val="21"/>
                      <w:szCs w:val="21"/>
                      <w:highlight w:val="none"/>
                      <w:lang w:val="en-US" w:eastAsia="zh-CN"/>
                    </w:rPr>
                    <w:fldChar w:fldCharType="separate"/>
                  </w:r>
                  <w:r>
                    <w:rPr>
                      <w:rFonts w:hint="default"/>
                      <w:color w:val="auto"/>
                      <w:sz w:val="21"/>
                      <w:szCs w:val="21"/>
                      <w:highlight w:val="none"/>
                      <w:lang w:val="en-US" w:eastAsia="zh-CN"/>
                    </w:rPr>
                    <w:t>①</w:t>
                  </w:r>
                  <w:r>
                    <w:rPr>
                      <w:rFonts w:hint="default"/>
                      <w:color w:val="auto"/>
                      <w:sz w:val="21"/>
                      <w:szCs w:val="21"/>
                      <w:highlight w:val="none"/>
                      <w:lang w:val="en-US" w:eastAsia="zh-CN"/>
                    </w:rPr>
                    <w:fldChar w:fldCharType="end"/>
                  </w:r>
                  <w:r>
                    <w:rPr>
                      <w:rFonts w:hint="default"/>
                      <w:color w:val="auto"/>
                      <w:sz w:val="21"/>
                      <w:szCs w:val="21"/>
                      <w:highlight w:val="none"/>
                      <w:lang w:val="en-US" w:eastAsia="zh-CN"/>
                    </w:rPr>
                    <w:t>严格规范员工操作，做好防护措施，加强职工的安全教育，提高安全素质，严格执行作业规程，严禁无证上岗，严禁违章作业，防止因失误操作造成环境风险事故的发生；</w:t>
                  </w:r>
                </w:p>
                <w:p w14:paraId="3E2F6100">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fldChar w:fldCharType="begin"/>
                  </w:r>
                  <w:r>
                    <w:rPr>
                      <w:rFonts w:hint="default"/>
                      <w:color w:val="auto"/>
                      <w:sz w:val="21"/>
                      <w:szCs w:val="21"/>
                      <w:highlight w:val="none"/>
                      <w:lang w:val="en-US" w:eastAsia="zh-CN"/>
                    </w:rPr>
                    <w:instrText xml:space="preserve"> = 2 \* GB3 \* MERGEFORMAT </w:instrText>
                  </w:r>
                  <w:r>
                    <w:rPr>
                      <w:rFonts w:hint="default"/>
                      <w:color w:val="auto"/>
                      <w:sz w:val="21"/>
                      <w:szCs w:val="21"/>
                      <w:highlight w:val="none"/>
                      <w:lang w:val="en-US" w:eastAsia="zh-CN"/>
                    </w:rPr>
                    <w:fldChar w:fldCharType="separate"/>
                  </w:r>
                  <w:r>
                    <w:rPr>
                      <w:rFonts w:hint="default"/>
                      <w:color w:val="auto"/>
                      <w:sz w:val="21"/>
                      <w:szCs w:val="21"/>
                      <w:highlight w:val="none"/>
                      <w:lang w:val="en-US" w:eastAsia="zh-CN"/>
                    </w:rPr>
                    <w:t>②</w:t>
                  </w:r>
                  <w:r>
                    <w:rPr>
                      <w:rFonts w:hint="default"/>
                      <w:color w:val="auto"/>
                      <w:sz w:val="21"/>
                      <w:szCs w:val="21"/>
                      <w:highlight w:val="none"/>
                      <w:lang w:val="en-US" w:eastAsia="zh-CN"/>
                    </w:rPr>
                    <w:fldChar w:fldCharType="end"/>
                  </w:r>
                  <w:r>
                    <w:rPr>
                      <w:rFonts w:hint="default"/>
                      <w:color w:val="auto"/>
                      <w:sz w:val="21"/>
                      <w:szCs w:val="21"/>
                      <w:highlight w:val="none"/>
                      <w:lang w:val="en-US" w:eastAsia="zh-CN"/>
                    </w:rPr>
                    <w:t>为保证企业及人民生命财产的安全，防止突发性重大化学事故发生，并在发生事故时，能迅速有序地开展救援工作，尽最大努力减少事故的危害和损失，项目应编制相关的应急预案并配备相应的消防物资。</w:t>
                  </w:r>
                </w:p>
                <w:p w14:paraId="724542D4">
                  <w:pPr>
                    <w:keepNext w:val="0"/>
                    <w:keepLines w:val="0"/>
                    <w:suppressLineNumbers w:val="0"/>
                    <w:spacing w:before="0" w:beforeAutospacing="0" w:after="0" w:afterAutospacing="0"/>
                    <w:ind w:left="0" w:right="0"/>
                    <w:jc w:val="both"/>
                    <w:rPr>
                      <w:rFonts w:hint="default"/>
                      <w:color w:val="auto"/>
                      <w:sz w:val="21"/>
                      <w:szCs w:val="21"/>
                      <w:highlight w:val="none"/>
                    </w:rPr>
                  </w:pPr>
                  <w:r>
                    <w:rPr>
                      <w:rFonts w:hint="default"/>
                      <w:color w:val="auto"/>
                      <w:sz w:val="21"/>
                      <w:szCs w:val="21"/>
                      <w:highlight w:val="none"/>
                      <w:lang w:val="en-US" w:eastAsia="zh-CN"/>
                    </w:rPr>
                    <w:t>③本项目应按照《突发环境事件应急预案管理暂行办法(环发[2010]113号)》和《企业事业单位突发环境事件应急预案备案管理办法（试行）》（环发[2015]4 号）的相关要求修编应急预案，并报昆明市生态环境局寻甸分局备案，并定期开展应急演练。</w:t>
                  </w:r>
                </w:p>
              </w:tc>
            </w:tr>
            <w:tr w14:paraId="7B8C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B764940">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填表说明（列出项目相关信息及评价说明）：</w:t>
                  </w:r>
                </w:p>
                <w:p w14:paraId="566B4C8B">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项目风险主要存在于设备运行及维修中产生的废机油存放，引起泄露事故。</w:t>
                  </w:r>
                </w:p>
                <w:p w14:paraId="19C53703">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根据《建设项目环境风险评价技术导则》（HJ 169-2018）附录C，项目环境综合风险潜势为</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2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，风险评价等级为简单分析。因此不对环境风险进行进一步预测分析。</w:t>
                  </w:r>
                </w:p>
                <w:p w14:paraId="2AE073DD">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项目在做好应急防范措施的基础上，项目的环境风险是可控的，环境风险事故发生的概率可降低到最低。</w:t>
                  </w:r>
                </w:p>
              </w:tc>
            </w:tr>
          </w:tbl>
          <w:p w14:paraId="0A894178">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、三本账</w:t>
            </w:r>
          </w:p>
          <w:p w14:paraId="7D1F4E94">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8"/>
                <w:highlight w:val="none"/>
                <w:lang w:val="en-US" w:eastAsia="zh-CN" w:bidi="ar-SA"/>
              </w:rPr>
              <w:t>根据2022年1月24日验收监测报告，原项目1#排气筒（DA001）非甲烷总烃最高排放速率为0.015kg/h，最高排放浓度为7.63mg/m</w:t>
            </w:r>
            <w:r>
              <w:rPr>
                <w:rFonts w:hint="eastAsia" w:ascii="Times New Roman" w:hAnsi="Times New Roman" w:eastAsia="宋体" w:cs="Times New Roman"/>
                <w:color w:val="auto"/>
                <w:kern w:val="2"/>
                <w:sz w:val="24"/>
                <w:szCs w:val="28"/>
                <w:highlight w:val="none"/>
                <w:vertAlign w:val="superscript"/>
                <w:lang w:val="en-US" w:eastAsia="zh-CN" w:bidi="ar-SA"/>
              </w:rPr>
              <w:t>3</w:t>
            </w:r>
            <w:r>
              <w:rPr>
                <w:rFonts w:hint="eastAsia" w:ascii="Times New Roman" w:hAnsi="Times New Roman" w:eastAsia="宋体" w:cs="Times New Roman"/>
                <w:color w:val="auto"/>
                <w:kern w:val="2"/>
                <w:sz w:val="24"/>
                <w:szCs w:val="28"/>
                <w:highlight w:val="none"/>
                <w:lang w:val="en-US" w:eastAsia="zh-CN" w:bidi="ar-SA"/>
              </w:rPr>
              <w:t>，核算出的废气排放量为689.04万标立方米/年，挥发性有机物（以非甲烷总烃计）排放量为0.036t/a。同时，</w:t>
            </w:r>
            <w:r>
              <w:rPr>
                <w:rFonts w:hint="default" w:ascii="Times New Roman" w:hAnsi="Times New Roman" w:eastAsia="宋体" w:cs="Times New Roman"/>
                <w:color w:val="auto"/>
                <w:kern w:val="2"/>
                <w:sz w:val="24"/>
                <w:szCs w:val="28"/>
                <w:highlight w:val="none"/>
                <w:lang w:val="en-US" w:eastAsia="zh-CN" w:bidi="ar-SA"/>
              </w:rPr>
              <w:t>根据批准过的环评报告、建设项目竣工环境保护验收报告以及实际调查情况，</w:t>
            </w:r>
            <w:r>
              <w:rPr>
                <w:rFonts w:hint="eastAsia" w:ascii="Times New Roman" w:hAnsi="Times New Roman" w:eastAsia="宋体" w:cs="Times New Roman"/>
                <w:color w:val="auto"/>
                <w:kern w:val="2"/>
                <w:sz w:val="24"/>
                <w:szCs w:val="28"/>
                <w:highlight w:val="none"/>
                <w:lang w:val="en-US" w:eastAsia="zh-CN" w:bidi="ar-SA"/>
              </w:rPr>
              <w:t>得出</w:t>
            </w:r>
            <w:r>
              <w:rPr>
                <w:rFonts w:hint="default" w:ascii="Times New Roman" w:hAnsi="Times New Roman" w:eastAsia="宋体" w:cs="Times New Roman"/>
                <w:color w:val="auto"/>
                <w:sz w:val="24"/>
                <w:szCs w:val="24"/>
                <w:highlight w:val="none"/>
                <w:lang w:val="en-US" w:eastAsia="zh-CN"/>
              </w:rPr>
              <w:t>原项目固体废物产生及处</w:t>
            </w:r>
            <w:r>
              <w:rPr>
                <w:rFonts w:hint="eastAsia" w:cs="Times New Roman"/>
                <w:color w:val="auto"/>
                <w:sz w:val="24"/>
                <w:szCs w:val="24"/>
                <w:highlight w:val="none"/>
                <w:lang w:val="en-US" w:eastAsia="zh-CN"/>
              </w:rPr>
              <w:t>置情况。</w:t>
            </w:r>
          </w:p>
          <w:p w14:paraId="3F053180">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color w:val="auto"/>
                <w:highlight w:val="none"/>
                <w:lang w:val="en-US" w:eastAsia="zh-CN"/>
              </w:rPr>
            </w:pPr>
            <w:r>
              <w:rPr>
                <w:rFonts w:hint="default" w:ascii="Times New Roman" w:hAnsi="Times New Roman" w:eastAsia="宋体" w:cs="Times New Roman"/>
                <w:color w:val="auto"/>
                <w:kern w:val="2"/>
                <w:sz w:val="24"/>
                <w:szCs w:val="28"/>
                <w:highlight w:val="none"/>
                <w:lang w:val="en-US" w:eastAsia="zh-CN" w:bidi="ar-SA"/>
              </w:rPr>
              <w:t>由于项目属</w:t>
            </w:r>
            <w:r>
              <w:rPr>
                <w:rFonts w:hint="eastAsia" w:ascii="Times New Roman" w:hAnsi="Times New Roman" w:eastAsia="宋体" w:cs="Times New Roman"/>
                <w:color w:val="auto"/>
                <w:kern w:val="2"/>
                <w:sz w:val="24"/>
                <w:szCs w:val="28"/>
                <w:highlight w:val="none"/>
                <w:lang w:val="en-US" w:eastAsia="zh-CN" w:bidi="ar-SA"/>
              </w:rPr>
              <w:t>于</w:t>
            </w:r>
            <w:r>
              <w:rPr>
                <w:rFonts w:hint="default" w:ascii="Times New Roman" w:hAnsi="Times New Roman" w:eastAsia="宋体" w:cs="Times New Roman"/>
                <w:color w:val="auto"/>
                <w:kern w:val="2"/>
                <w:sz w:val="24"/>
                <w:szCs w:val="28"/>
                <w:highlight w:val="none"/>
                <w:lang w:val="en-US" w:eastAsia="zh-CN" w:bidi="ar-SA"/>
              </w:rPr>
              <w:t xml:space="preserve">扩建项目，项目扩建完成后将导致“三废”排放发生变化， 具体变化情况见表 4- </w:t>
            </w:r>
            <w:r>
              <w:rPr>
                <w:rFonts w:hint="eastAsia" w:ascii="Times New Roman" w:hAnsi="Times New Roman" w:eastAsia="宋体" w:cs="Times New Roman"/>
                <w:color w:val="auto"/>
                <w:kern w:val="2"/>
                <w:sz w:val="24"/>
                <w:szCs w:val="28"/>
                <w:highlight w:val="none"/>
                <w:lang w:val="en-US" w:eastAsia="zh-CN" w:bidi="ar-SA"/>
              </w:rPr>
              <w:t>2</w:t>
            </w:r>
            <w:r>
              <w:rPr>
                <w:rFonts w:hint="eastAsia" w:ascii="Times New Roman" w:hAnsi="Times New Roman" w:cs="Times New Roman"/>
                <w:color w:val="auto"/>
                <w:kern w:val="2"/>
                <w:sz w:val="24"/>
                <w:szCs w:val="28"/>
                <w:highlight w:val="none"/>
                <w:lang w:val="en-US" w:eastAsia="zh-CN" w:bidi="ar-SA"/>
              </w:rPr>
              <w:t>6</w:t>
            </w:r>
            <w:r>
              <w:rPr>
                <w:rFonts w:hint="eastAsia" w:ascii="Times New Roman" w:hAnsi="Times New Roman" w:eastAsia="宋体" w:cs="Times New Roman"/>
                <w:color w:val="auto"/>
                <w:kern w:val="2"/>
                <w:sz w:val="24"/>
                <w:szCs w:val="28"/>
                <w:highlight w:val="none"/>
                <w:lang w:val="en-US" w:eastAsia="zh-CN" w:bidi="ar-SA"/>
              </w:rPr>
              <w:t>。</w:t>
            </w:r>
          </w:p>
          <w:p w14:paraId="3DBB4FD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宋体" w:hAnsi="宋体" w:eastAsia="宋体" w:cs="宋体"/>
                <w:b/>
                <w:bCs/>
                <w:snapToGrid w:val="0"/>
                <w:color w:val="auto"/>
                <w:sz w:val="21"/>
                <w:szCs w:val="21"/>
                <w:highlight w:val="none"/>
              </w:rPr>
            </w:pPr>
            <w:r>
              <w:rPr>
                <w:rFonts w:hint="eastAsia" w:ascii="宋体" w:hAnsi="宋体" w:eastAsia="宋体" w:cs="宋体"/>
                <w:b/>
                <w:bCs/>
                <w:snapToGrid w:val="0"/>
                <w:color w:val="auto"/>
                <w:sz w:val="21"/>
                <w:szCs w:val="21"/>
                <w:highlight w:val="none"/>
              </w:rPr>
              <w:t>表</w:t>
            </w:r>
            <w:r>
              <w:rPr>
                <w:rFonts w:hint="default" w:ascii="Times New Roman" w:hAnsi="Times New Roman" w:eastAsia="宋体" w:cs="Times New Roman"/>
                <w:b/>
                <w:bCs/>
                <w:snapToGrid w:val="0"/>
                <w:color w:val="auto"/>
                <w:sz w:val="21"/>
                <w:szCs w:val="21"/>
                <w:highlight w:val="none"/>
              </w:rPr>
              <w:t xml:space="preserve"> 4-</w:t>
            </w:r>
            <w:r>
              <w:rPr>
                <w:rFonts w:hint="default" w:ascii="Times New Roman" w:hAnsi="Times New Roman" w:cs="Times New Roman"/>
                <w:b/>
                <w:bCs/>
                <w:snapToGrid w:val="0"/>
                <w:color w:val="auto"/>
                <w:sz w:val="21"/>
                <w:szCs w:val="21"/>
                <w:highlight w:val="none"/>
                <w:lang w:val="en-US" w:eastAsia="zh-CN"/>
              </w:rPr>
              <w:t>2</w:t>
            </w:r>
            <w:r>
              <w:rPr>
                <w:rFonts w:hint="eastAsia" w:ascii="Times New Roman" w:hAnsi="Times New Roman" w:cs="Times New Roman"/>
                <w:b/>
                <w:bCs/>
                <w:snapToGrid w:val="0"/>
                <w:color w:val="auto"/>
                <w:sz w:val="21"/>
                <w:szCs w:val="21"/>
                <w:highlight w:val="none"/>
                <w:lang w:val="en-US" w:eastAsia="zh-CN"/>
              </w:rPr>
              <w:t>6</w:t>
            </w:r>
            <w:r>
              <w:rPr>
                <w:rFonts w:hint="default" w:ascii="Times New Roman" w:hAnsi="Times New Roman" w:eastAsia="宋体" w:cs="Times New Roman"/>
                <w:b/>
                <w:bCs/>
                <w:snapToGrid w:val="0"/>
                <w:color w:val="auto"/>
                <w:sz w:val="21"/>
                <w:szCs w:val="21"/>
                <w:highlight w:val="none"/>
              </w:rPr>
              <w:t xml:space="preserve"> </w:t>
            </w:r>
            <w:r>
              <w:rPr>
                <w:rFonts w:hint="eastAsia" w:ascii="宋体" w:hAnsi="宋体" w:eastAsia="宋体" w:cs="宋体"/>
                <w:b/>
                <w:bCs/>
                <w:snapToGrid w:val="0"/>
                <w:color w:val="auto"/>
                <w:sz w:val="21"/>
                <w:szCs w:val="21"/>
                <w:highlight w:val="none"/>
              </w:rPr>
              <w:t xml:space="preserve"> 项目改扩建前后污染物排放量变化表</w:t>
            </w:r>
          </w:p>
          <w:tbl>
            <w:tblPr>
              <w:tblStyle w:val="25"/>
              <w:tblW w:w="80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7"/>
              <w:gridCol w:w="2127"/>
              <w:gridCol w:w="780"/>
              <w:gridCol w:w="825"/>
              <w:gridCol w:w="945"/>
              <w:gridCol w:w="855"/>
              <w:gridCol w:w="1080"/>
              <w:gridCol w:w="1057"/>
            </w:tblGrid>
            <w:tr w14:paraId="060F4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397" w:type="dxa"/>
                  <w:tcMar>
                    <w:left w:w="28" w:type="dxa"/>
                    <w:right w:w="28" w:type="dxa"/>
                  </w:tcMar>
                  <w:vAlign w:val="center"/>
                </w:tcPr>
                <w:p w14:paraId="4F5FA1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类别</w:t>
                  </w:r>
                </w:p>
              </w:tc>
              <w:tc>
                <w:tcPr>
                  <w:tcW w:w="2127" w:type="dxa"/>
                  <w:tcMar>
                    <w:left w:w="28" w:type="dxa"/>
                    <w:right w:w="28" w:type="dxa"/>
                  </w:tcMar>
                  <w:vAlign w:val="center"/>
                </w:tcPr>
                <w:p w14:paraId="6056BD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污染物名称</w:t>
                  </w:r>
                </w:p>
              </w:tc>
              <w:tc>
                <w:tcPr>
                  <w:tcW w:w="780" w:type="dxa"/>
                  <w:tcMar>
                    <w:left w:w="28" w:type="dxa"/>
                    <w:right w:w="28" w:type="dxa"/>
                  </w:tcMar>
                  <w:vAlign w:val="center"/>
                </w:tcPr>
                <w:p w14:paraId="5506A8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单位</w:t>
                  </w:r>
                </w:p>
              </w:tc>
              <w:tc>
                <w:tcPr>
                  <w:tcW w:w="825" w:type="dxa"/>
                  <w:tcMar>
                    <w:left w:w="28" w:type="dxa"/>
                    <w:right w:w="28" w:type="dxa"/>
                  </w:tcMar>
                  <w:vAlign w:val="center"/>
                </w:tcPr>
                <w:p w14:paraId="2A9809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原项目</w:t>
                  </w:r>
                  <w:r>
                    <w:rPr>
                      <w:rFonts w:hint="default" w:ascii="Times New Roman" w:hAnsi="Times New Roman" w:eastAsia="宋体" w:cs="Times New Roman"/>
                      <w:b/>
                      <w:bCs/>
                      <w:color w:val="auto"/>
                      <w:sz w:val="21"/>
                      <w:szCs w:val="21"/>
                      <w:highlight w:val="none"/>
                      <w:lang w:val="en-US" w:eastAsia="zh-CN"/>
                    </w:rPr>
                    <w:t>排放量</w:t>
                  </w:r>
                </w:p>
              </w:tc>
              <w:tc>
                <w:tcPr>
                  <w:tcW w:w="945" w:type="dxa"/>
                  <w:tcMar>
                    <w:left w:w="28" w:type="dxa"/>
                    <w:right w:w="28" w:type="dxa"/>
                  </w:tcMar>
                  <w:vAlign w:val="center"/>
                </w:tcPr>
                <w:p w14:paraId="08ADED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扩建</w:t>
                  </w:r>
                  <w:r>
                    <w:rPr>
                      <w:rFonts w:hint="default" w:ascii="Times New Roman" w:hAnsi="Times New Roman" w:eastAsia="宋体" w:cs="Times New Roman"/>
                      <w:b/>
                      <w:bCs/>
                      <w:color w:val="auto"/>
                      <w:sz w:val="21"/>
                      <w:szCs w:val="21"/>
                      <w:highlight w:val="none"/>
                      <w:lang w:val="en-US" w:eastAsia="zh-CN"/>
                    </w:rPr>
                    <w:t>项目排放量</w:t>
                  </w:r>
                </w:p>
              </w:tc>
              <w:tc>
                <w:tcPr>
                  <w:tcW w:w="855" w:type="dxa"/>
                  <w:tcMar>
                    <w:left w:w="28" w:type="dxa"/>
                    <w:right w:w="28" w:type="dxa"/>
                  </w:tcMar>
                  <w:vAlign w:val="center"/>
                </w:tcPr>
                <w:p w14:paraId="2461A2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以新带老削减量</w:t>
                  </w:r>
                </w:p>
              </w:tc>
              <w:tc>
                <w:tcPr>
                  <w:tcW w:w="1080" w:type="dxa"/>
                  <w:tcMar>
                    <w:left w:w="28" w:type="dxa"/>
                    <w:right w:w="28" w:type="dxa"/>
                  </w:tcMar>
                  <w:vAlign w:val="center"/>
                </w:tcPr>
                <w:p w14:paraId="4BC0C3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全厂</w:t>
                  </w:r>
                  <w:r>
                    <w:rPr>
                      <w:rFonts w:hint="eastAsia" w:ascii="Times New Roman" w:hAnsi="Times New Roman" w:eastAsia="宋体" w:cs="Times New Roman"/>
                      <w:b/>
                      <w:bCs/>
                      <w:color w:val="auto"/>
                      <w:sz w:val="21"/>
                      <w:szCs w:val="21"/>
                      <w:highlight w:val="none"/>
                      <w:lang w:val="en-US" w:eastAsia="zh-CN"/>
                    </w:rPr>
                    <w:t>最终</w:t>
                  </w:r>
                  <w:r>
                    <w:rPr>
                      <w:rFonts w:hint="default" w:ascii="Times New Roman" w:hAnsi="Times New Roman" w:eastAsia="宋体" w:cs="Times New Roman"/>
                      <w:b/>
                      <w:bCs/>
                      <w:color w:val="auto"/>
                      <w:sz w:val="21"/>
                      <w:szCs w:val="21"/>
                      <w:highlight w:val="none"/>
                      <w:lang w:val="en-US" w:eastAsia="zh-CN"/>
                    </w:rPr>
                    <w:t>排放量</w:t>
                  </w:r>
                </w:p>
              </w:tc>
              <w:tc>
                <w:tcPr>
                  <w:tcW w:w="1057" w:type="dxa"/>
                  <w:tcMar>
                    <w:left w:w="28" w:type="dxa"/>
                    <w:right w:w="28" w:type="dxa"/>
                  </w:tcMar>
                  <w:vAlign w:val="center"/>
                </w:tcPr>
                <w:p w14:paraId="0BD68F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变化量</w:t>
                  </w:r>
                </w:p>
              </w:tc>
            </w:tr>
            <w:tr w14:paraId="6663F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97" w:type="dxa"/>
                  <w:vMerge w:val="restart"/>
                  <w:vAlign w:val="center"/>
                </w:tcPr>
                <w:p w14:paraId="5CD15F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2127" w:type="dxa"/>
                  <w:vAlign w:val="center"/>
                </w:tcPr>
                <w:p w14:paraId="7F15B9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挥发性有机物</w:t>
                  </w:r>
                </w:p>
              </w:tc>
              <w:tc>
                <w:tcPr>
                  <w:tcW w:w="780" w:type="dxa"/>
                  <w:vAlign w:val="center"/>
                </w:tcPr>
                <w:p w14:paraId="325D52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4A16A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0.036</w:t>
                  </w:r>
                </w:p>
              </w:tc>
              <w:tc>
                <w:tcPr>
                  <w:tcW w:w="945" w:type="dxa"/>
                  <w:vAlign w:val="center"/>
                </w:tcPr>
                <w:p w14:paraId="39D78E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55" w:type="dxa"/>
                  <w:vAlign w:val="center"/>
                </w:tcPr>
                <w:p w14:paraId="3D09D2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080" w:type="dxa"/>
                  <w:vAlign w:val="center"/>
                </w:tcPr>
                <w:p w14:paraId="11004B09">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0.036</w:t>
                  </w:r>
                </w:p>
              </w:tc>
              <w:tc>
                <w:tcPr>
                  <w:tcW w:w="1057" w:type="dxa"/>
                  <w:vAlign w:val="center"/>
                </w:tcPr>
                <w:p w14:paraId="1BAFC5EA">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r>
            <w:tr w14:paraId="03CDC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0D0936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7" w:type="dxa"/>
                  <w:vAlign w:val="center"/>
                </w:tcPr>
                <w:p w14:paraId="1C4E43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780" w:type="dxa"/>
                  <w:vAlign w:val="center"/>
                </w:tcPr>
                <w:p w14:paraId="2B7F95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10FB06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945" w:type="dxa"/>
                  <w:vAlign w:val="center"/>
                </w:tcPr>
                <w:p w14:paraId="0FA6DF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0.027</w:t>
                  </w:r>
                </w:p>
              </w:tc>
              <w:tc>
                <w:tcPr>
                  <w:tcW w:w="855" w:type="dxa"/>
                  <w:vAlign w:val="center"/>
                </w:tcPr>
                <w:p w14:paraId="56307D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080" w:type="dxa"/>
                  <w:vAlign w:val="center"/>
                </w:tcPr>
                <w:p w14:paraId="2598FF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0.027</w:t>
                  </w:r>
                </w:p>
              </w:tc>
              <w:tc>
                <w:tcPr>
                  <w:tcW w:w="1057" w:type="dxa"/>
                  <w:vAlign w:val="center"/>
                </w:tcPr>
                <w:p w14:paraId="52786C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+0.027</w:t>
                  </w:r>
                </w:p>
              </w:tc>
            </w:tr>
            <w:tr w14:paraId="56F543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4F7128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127" w:type="dxa"/>
                  <w:vAlign w:val="center"/>
                </w:tcPr>
                <w:p w14:paraId="7BD8CC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780" w:type="dxa"/>
                  <w:vAlign w:val="center"/>
                </w:tcPr>
                <w:p w14:paraId="13E8CE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2EB213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945" w:type="dxa"/>
                  <w:vAlign w:val="center"/>
                </w:tcPr>
                <w:p w14:paraId="16C3A7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0.00002</w:t>
                  </w:r>
                </w:p>
              </w:tc>
              <w:tc>
                <w:tcPr>
                  <w:tcW w:w="855" w:type="dxa"/>
                  <w:vAlign w:val="center"/>
                </w:tcPr>
                <w:p w14:paraId="47B726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02EBB5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0.00002</w:t>
                  </w:r>
                </w:p>
              </w:tc>
              <w:tc>
                <w:tcPr>
                  <w:tcW w:w="1057" w:type="dxa"/>
                  <w:vAlign w:val="center"/>
                </w:tcPr>
                <w:p w14:paraId="464AA0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+0.00002</w:t>
                  </w:r>
                </w:p>
              </w:tc>
            </w:tr>
            <w:tr w14:paraId="3E37D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537040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127" w:type="dxa"/>
                  <w:vAlign w:val="center"/>
                </w:tcPr>
                <w:p w14:paraId="0442F6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780" w:type="dxa"/>
                  <w:vAlign w:val="center"/>
                </w:tcPr>
                <w:p w14:paraId="57A3C6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78220D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945" w:type="dxa"/>
                  <w:vAlign w:val="center"/>
                </w:tcPr>
                <w:p w14:paraId="2FAA85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0.00584</w:t>
                  </w:r>
                </w:p>
              </w:tc>
              <w:tc>
                <w:tcPr>
                  <w:tcW w:w="855" w:type="dxa"/>
                  <w:vAlign w:val="center"/>
                </w:tcPr>
                <w:p w14:paraId="51F5CA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3D9551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0.00584</w:t>
                  </w:r>
                </w:p>
              </w:tc>
              <w:tc>
                <w:tcPr>
                  <w:tcW w:w="1057" w:type="dxa"/>
                  <w:vAlign w:val="center"/>
                </w:tcPr>
                <w:p w14:paraId="7C4927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+0.00584</w:t>
                  </w:r>
                </w:p>
              </w:tc>
            </w:tr>
            <w:tr w14:paraId="0933D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785777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127" w:type="dxa"/>
                  <w:vAlign w:val="center"/>
                </w:tcPr>
                <w:p w14:paraId="738070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氟化物</w:t>
                  </w:r>
                </w:p>
              </w:tc>
              <w:tc>
                <w:tcPr>
                  <w:tcW w:w="780" w:type="dxa"/>
                  <w:vAlign w:val="center"/>
                </w:tcPr>
                <w:p w14:paraId="35964F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48A977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945" w:type="dxa"/>
                  <w:vAlign w:val="center"/>
                </w:tcPr>
                <w:p w14:paraId="0C0355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0.1877</w:t>
                  </w:r>
                </w:p>
              </w:tc>
              <w:tc>
                <w:tcPr>
                  <w:tcW w:w="855" w:type="dxa"/>
                  <w:vAlign w:val="center"/>
                </w:tcPr>
                <w:p w14:paraId="57BCD7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71BD3D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0.1877</w:t>
                  </w:r>
                </w:p>
              </w:tc>
              <w:tc>
                <w:tcPr>
                  <w:tcW w:w="1057" w:type="dxa"/>
                  <w:vAlign w:val="center"/>
                </w:tcPr>
                <w:p w14:paraId="37D4BF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+0.1877</w:t>
                  </w:r>
                </w:p>
              </w:tc>
            </w:tr>
            <w:tr w14:paraId="045D9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restart"/>
                  <w:vAlign w:val="center"/>
                </w:tcPr>
                <w:p w14:paraId="6E8C22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一般工业</w:t>
                  </w:r>
                  <w:r>
                    <w:rPr>
                      <w:rFonts w:hint="eastAsia" w:ascii="Times New Roman" w:hAnsi="Times New Roman" w:eastAsia="宋体" w:cs="Times New Roman"/>
                      <w:color w:val="auto"/>
                      <w:sz w:val="21"/>
                      <w:szCs w:val="21"/>
                      <w:highlight w:val="none"/>
                      <w:lang w:val="en-US" w:eastAsia="zh-CN"/>
                    </w:rPr>
                    <w:t>固体废物</w:t>
                  </w:r>
                </w:p>
              </w:tc>
              <w:tc>
                <w:tcPr>
                  <w:tcW w:w="2127" w:type="dxa"/>
                  <w:vAlign w:val="center"/>
                </w:tcPr>
                <w:p w14:paraId="44E276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玻璃废旧包装材料</w:t>
                  </w:r>
                </w:p>
              </w:tc>
              <w:tc>
                <w:tcPr>
                  <w:tcW w:w="780" w:type="dxa"/>
                  <w:vAlign w:val="center"/>
                </w:tcPr>
                <w:p w14:paraId="5B3108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519C49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40</w:t>
                  </w:r>
                </w:p>
              </w:tc>
              <w:tc>
                <w:tcPr>
                  <w:tcW w:w="945" w:type="dxa"/>
                  <w:vAlign w:val="center"/>
                </w:tcPr>
                <w:p w14:paraId="3E6558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855" w:type="dxa"/>
                  <w:vAlign w:val="center"/>
                </w:tcPr>
                <w:p w14:paraId="37BAD8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40699AFA">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40.5</w:t>
                  </w:r>
                </w:p>
              </w:tc>
              <w:tc>
                <w:tcPr>
                  <w:tcW w:w="1057" w:type="dxa"/>
                  <w:vAlign w:val="center"/>
                </w:tcPr>
                <w:p w14:paraId="5B7477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+0.5</w:t>
                  </w:r>
                </w:p>
              </w:tc>
            </w:tr>
            <w:tr w14:paraId="13E763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1E4EBB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7" w:type="dxa"/>
                  <w:vAlign w:val="center"/>
                </w:tcPr>
                <w:p w14:paraId="3BD951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废弃玻璃和边角料</w:t>
                  </w:r>
                </w:p>
              </w:tc>
              <w:tc>
                <w:tcPr>
                  <w:tcW w:w="780" w:type="dxa"/>
                  <w:vAlign w:val="center"/>
                </w:tcPr>
                <w:p w14:paraId="3D579B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4B8572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312</w:t>
                  </w:r>
                </w:p>
              </w:tc>
              <w:tc>
                <w:tcPr>
                  <w:tcW w:w="945" w:type="dxa"/>
                  <w:vAlign w:val="center"/>
                </w:tcPr>
                <w:p w14:paraId="4C65D0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82.69</w:t>
                  </w:r>
                </w:p>
              </w:tc>
              <w:tc>
                <w:tcPr>
                  <w:tcW w:w="855" w:type="dxa"/>
                  <w:vAlign w:val="center"/>
                </w:tcPr>
                <w:p w14:paraId="6360FC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7E4898BB">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394.69</w:t>
                  </w:r>
                </w:p>
              </w:tc>
              <w:tc>
                <w:tcPr>
                  <w:tcW w:w="1057" w:type="dxa"/>
                  <w:vAlign w:val="center"/>
                </w:tcPr>
                <w:p w14:paraId="6EBF63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+82.69</w:t>
                  </w:r>
                </w:p>
              </w:tc>
            </w:tr>
            <w:tr w14:paraId="12D2B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780CF0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7" w:type="dxa"/>
                  <w:vAlign w:val="center"/>
                </w:tcPr>
                <w:p w14:paraId="6430C8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磨边废水沉淀池沉渣</w:t>
                  </w:r>
                  <w:r>
                    <w:rPr>
                      <w:rFonts w:hint="eastAsia" w:cs="Times New Roman"/>
                      <w:color w:val="auto"/>
                      <w:sz w:val="21"/>
                      <w:szCs w:val="21"/>
                      <w:highlight w:val="none"/>
                      <w:lang w:val="en-US" w:eastAsia="zh-CN"/>
                    </w:rPr>
                    <w:t>（玻璃碎屑）</w:t>
                  </w:r>
                </w:p>
              </w:tc>
              <w:tc>
                <w:tcPr>
                  <w:tcW w:w="780" w:type="dxa"/>
                  <w:vAlign w:val="center"/>
                </w:tcPr>
                <w:p w14:paraId="7F1911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3B969D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104</w:t>
                  </w:r>
                </w:p>
              </w:tc>
              <w:tc>
                <w:tcPr>
                  <w:tcW w:w="945" w:type="dxa"/>
                  <w:vAlign w:val="center"/>
                </w:tcPr>
                <w:p w14:paraId="0428AC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27.56</w:t>
                  </w:r>
                </w:p>
              </w:tc>
              <w:tc>
                <w:tcPr>
                  <w:tcW w:w="855" w:type="dxa"/>
                  <w:vAlign w:val="center"/>
                </w:tcPr>
                <w:p w14:paraId="181A3E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4CD2DFA7">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131.56</w:t>
                  </w:r>
                </w:p>
              </w:tc>
              <w:tc>
                <w:tcPr>
                  <w:tcW w:w="1057" w:type="dxa"/>
                  <w:vAlign w:val="center"/>
                </w:tcPr>
                <w:p w14:paraId="448DAB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+27.56</w:t>
                  </w:r>
                </w:p>
              </w:tc>
            </w:tr>
            <w:tr w14:paraId="06511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14BE3B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7" w:type="dxa"/>
                  <w:vAlign w:val="center"/>
                </w:tcPr>
                <w:p w14:paraId="1BF655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铝条</w:t>
                  </w:r>
                  <w:r>
                    <w:rPr>
                      <w:rFonts w:hint="eastAsia" w:ascii="Times New Roman" w:hAnsi="Times New Roman" w:eastAsia="宋体" w:cs="Times New Roman"/>
                      <w:color w:val="auto"/>
                      <w:sz w:val="21"/>
                      <w:szCs w:val="21"/>
                      <w:highlight w:val="none"/>
                      <w:lang w:val="en-US" w:eastAsia="zh-CN"/>
                    </w:rPr>
                    <w:t>角</w:t>
                  </w:r>
                  <w:r>
                    <w:rPr>
                      <w:rFonts w:hint="default" w:ascii="Times New Roman" w:hAnsi="Times New Roman" w:eastAsia="宋体" w:cs="Times New Roman"/>
                      <w:color w:val="auto"/>
                      <w:sz w:val="21"/>
                      <w:szCs w:val="21"/>
                      <w:highlight w:val="none"/>
                      <w:lang w:val="en-US" w:eastAsia="zh-CN"/>
                    </w:rPr>
                    <w:t>料</w:t>
                  </w:r>
                </w:p>
              </w:tc>
              <w:tc>
                <w:tcPr>
                  <w:tcW w:w="780" w:type="dxa"/>
                  <w:vAlign w:val="center"/>
                </w:tcPr>
                <w:p w14:paraId="23B127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0B4CF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0.1</w:t>
                  </w:r>
                </w:p>
              </w:tc>
              <w:tc>
                <w:tcPr>
                  <w:tcW w:w="945" w:type="dxa"/>
                  <w:vAlign w:val="center"/>
                </w:tcPr>
                <w:p w14:paraId="19A71F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55" w:type="dxa"/>
                  <w:vAlign w:val="center"/>
                </w:tcPr>
                <w:p w14:paraId="5B9E2F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6644F7FD">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0.1</w:t>
                  </w:r>
                </w:p>
              </w:tc>
              <w:tc>
                <w:tcPr>
                  <w:tcW w:w="1057" w:type="dxa"/>
                  <w:vAlign w:val="center"/>
                </w:tcPr>
                <w:p w14:paraId="75F77C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w:t>
                  </w:r>
                </w:p>
              </w:tc>
            </w:tr>
            <w:tr w14:paraId="504D6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466BAF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7" w:type="dxa"/>
                  <w:vAlign w:val="center"/>
                </w:tcPr>
                <w:p w14:paraId="3A12EF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废金刚砂</w:t>
                  </w:r>
                </w:p>
              </w:tc>
              <w:tc>
                <w:tcPr>
                  <w:tcW w:w="780" w:type="dxa"/>
                  <w:vAlign w:val="center"/>
                </w:tcPr>
                <w:p w14:paraId="4F1B9F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766B52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0.6</w:t>
                  </w:r>
                </w:p>
              </w:tc>
              <w:tc>
                <w:tcPr>
                  <w:tcW w:w="945" w:type="dxa"/>
                  <w:vAlign w:val="center"/>
                </w:tcPr>
                <w:p w14:paraId="700A53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55" w:type="dxa"/>
                  <w:vAlign w:val="center"/>
                </w:tcPr>
                <w:p w14:paraId="32622E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4AB9B109">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0.6</w:t>
                  </w:r>
                </w:p>
              </w:tc>
              <w:tc>
                <w:tcPr>
                  <w:tcW w:w="1057" w:type="dxa"/>
                  <w:vAlign w:val="center"/>
                </w:tcPr>
                <w:p w14:paraId="66831E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w:t>
                  </w:r>
                </w:p>
              </w:tc>
            </w:tr>
            <w:tr w14:paraId="3C5DA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39E62C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7" w:type="dxa"/>
                  <w:vAlign w:val="center"/>
                </w:tcPr>
                <w:p w14:paraId="27E133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丁基密封胶、硅酮密封胶外部盛装铁桶</w:t>
                  </w:r>
                </w:p>
              </w:tc>
              <w:tc>
                <w:tcPr>
                  <w:tcW w:w="780" w:type="dxa"/>
                  <w:vAlign w:val="center"/>
                </w:tcPr>
                <w:p w14:paraId="42B5FA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42101C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0.04</w:t>
                  </w:r>
                </w:p>
              </w:tc>
              <w:tc>
                <w:tcPr>
                  <w:tcW w:w="945" w:type="dxa"/>
                  <w:vAlign w:val="center"/>
                </w:tcPr>
                <w:p w14:paraId="00EBAE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55" w:type="dxa"/>
                  <w:vAlign w:val="center"/>
                </w:tcPr>
                <w:p w14:paraId="2A8A70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23AA2375">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0.04</w:t>
                  </w:r>
                </w:p>
              </w:tc>
              <w:tc>
                <w:tcPr>
                  <w:tcW w:w="1057" w:type="dxa"/>
                  <w:vAlign w:val="center"/>
                </w:tcPr>
                <w:p w14:paraId="4FDB84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w:t>
                  </w:r>
                </w:p>
              </w:tc>
            </w:tr>
            <w:tr w14:paraId="039A7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1D1C83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127" w:type="dxa"/>
                  <w:vAlign w:val="center"/>
                </w:tcPr>
                <w:p w14:paraId="17C9C4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不合格品</w:t>
                  </w:r>
                </w:p>
              </w:tc>
              <w:tc>
                <w:tcPr>
                  <w:tcW w:w="780" w:type="dxa"/>
                  <w:vAlign w:val="center"/>
                </w:tcPr>
                <w:p w14:paraId="76492C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1C0327E8">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945" w:type="dxa"/>
                  <w:vAlign w:val="center"/>
                </w:tcPr>
                <w:p w14:paraId="0C2CA8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27.56</w:t>
                  </w:r>
                </w:p>
              </w:tc>
              <w:tc>
                <w:tcPr>
                  <w:tcW w:w="855" w:type="dxa"/>
                  <w:vAlign w:val="center"/>
                </w:tcPr>
                <w:p w14:paraId="54E2B4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5A43E9C4">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27.56</w:t>
                  </w:r>
                </w:p>
              </w:tc>
              <w:tc>
                <w:tcPr>
                  <w:tcW w:w="1057" w:type="dxa"/>
                  <w:vAlign w:val="center"/>
                </w:tcPr>
                <w:p w14:paraId="1D48F7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+27.56</w:t>
                  </w:r>
                </w:p>
              </w:tc>
            </w:tr>
            <w:tr w14:paraId="0D541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7B127C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127" w:type="dxa"/>
                  <w:vAlign w:val="center"/>
                </w:tcPr>
                <w:p w14:paraId="4F6E07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Style w:val="45"/>
                      <w:rFonts w:hint="default"/>
                      <w:bCs/>
                      <w:color w:val="auto"/>
                      <w:sz w:val="21"/>
                      <w:szCs w:val="21"/>
                      <w:highlight w:val="none"/>
                      <w:lang w:val="zh-CN" w:eastAsia="zh-CN"/>
                    </w:rPr>
                    <w:t>废</w:t>
                  </w:r>
                  <w:r>
                    <w:rPr>
                      <w:rStyle w:val="45"/>
                      <w:rFonts w:hint="eastAsia"/>
                      <w:bCs/>
                      <w:color w:val="auto"/>
                      <w:sz w:val="21"/>
                      <w:szCs w:val="21"/>
                      <w:highlight w:val="none"/>
                      <w:lang w:val="zh-CN" w:eastAsia="zh-CN"/>
                    </w:rPr>
                    <w:t>原辅料包装袋</w:t>
                  </w:r>
                </w:p>
              </w:tc>
              <w:tc>
                <w:tcPr>
                  <w:tcW w:w="780" w:type="dxa"/>
                  <w:vAlign w:val="center"/>
                </w:tcPr>
                <w:p w14:paraId="6B5A1E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4D729A9B">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945" w:type="dxa"/>
                  <w:vAlign w:val="center"/>
                </w:tcPr>
                <w:p w14:paraId="68C405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855" w:type="dxa"/>
                  <w:vAlign w:val="center"/>
                </w:tcPr>
                <w:p w14:paraId="381AD5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6B3500C5">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0.01</w:t>
                  </w:r>
                </w:p>
              </w:tc>
              <w:tc>
                <w:tcPr>
                  <w:tcW w:w="1057" w:type="dxa"/>
                  <w:vAlign w:val="center"/>
                </w:tcPr>
                <w:p w14:paraId="7BBBCC32">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+0.01</w:t>
                  </w:r>
                </w:p>
              </w:tc>
            </w:tr>
            <w:tr w14:paraId="22862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restart"/>
                  <w:vAlign w:val="center"/>
                </w:tcPr>
                <w:p w14:paraId="7FBE36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生活固废</w:t>
                  </w:r>
                </w:p>
              </w:tc>
              <w:tc>
                <w:tcPr>
                  <w:tcW w:w="2127" w:type="dxa"/>
                  <w:vAlign w:val="center"/>
                </w:tcPr>
                <w:p w14:paraId="3F7780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780" w:type="dxa"/>
                  <w:vAlign w:val="center"/>
                </w:tcPr>
                <w:p w14:paraId="19C013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2990DF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9</w:t>
                  </w:r>
                </w:p>
              </w:tc>
              <w:tc>
                <w:tcPr>
                  <w:tcW w:w="945" w:type="dxa"/>
                  <w:vAlign w:val="center"/>
                </w:tcPr>
                <w:p w14:paraId="6E0AC8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p>
              </w:tc>
              <w:tc>
                <w:tcPr>
                  <w:tcW w:w="855" w:type="dxa"/>
                  <w:vAlign w:val="center"/>
                </w:tcPr>
                <w:p w14:paraId="772561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080" w:type="dxa"/>
                  <w:vAlign w:val="center"/>
                </w:tcPr>
                <w:p w14:paraId="06705180">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12</w:t>
                  </w:r>
                </w:p>
              </w:tc>
              <w:tc>
                <w:tcPr>
                  <w:tcW w:w="1057" w:type="dxa"/>
                  <w:vAlign w:val="center"/>
                </w:tcPr>
                <w:p w14:paraId="6711A1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+3</w:t>
                  </w:r>
                </w:p>
              </w:tc>
            </w:tr>
            <w:tr w14:paraId="6D2A2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dxa"/>
                  <w:vMerge w:val="continue"/>
                  <w:vAlign w:val="center"/>
                </w:tcPr>
                <w:p w14:paraId="331CA5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127" w:type="dxa"/>
                  <w:vAlign w:val="center"/>
                </w:tcPr>
                <w:p w14:paraId="0665AA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sz w:val="21"/>
                      <w:szCs w:val="21"/>
                      <w:highlight w:val="none"/>
                      <w:lang w:val="en-US" w:eastAsia="zh-CN"/>
                    </w:rPr>
                    <w:t>食堂泔水及</w:t>
                  </w:r>
                  <w:r>
                    <w:rPr>
                      <w:rFonts w:hint="default" w:ascii="Times New Roman" w:hAnsi="Times New Roman" w:eastAsia="宋体" w:cs="Times New Roman"/>
                      <w:color w:val="auto"/>
                      <w:sz w:val="21"/>
                      <w:szCs w:val="21"/>
                      <w:highlight w:val="none"/>
                      <w:lang w:val="en-US" w:eastAsia="zh-CN"/>
                    </w:rPr>
                    <w:t>隔油池废油脂</w:t>
                  </w:r>
                </w:p>
              </w:tc>
              <w:tc>
                <w:tcPr>
                  <w:tcW w:w="780" w:type="dxa"/>
                  <w:vAlign w:val="center"/>
                </w:tcPr>
                <w:p w14:paraId="59E0C7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7D7C83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1.044</w:t>
                  </w:r>
                </w:p>
              </w:tc>
              <w:tc>
                <w:tcPr>
                  <w:tcW w:w="945" w:type="dxa"/>
                  <w:vAlign w:val="center"/>
                </w:tcPr>
                <w:p w14:paraId="1C0044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1.21</w:t>
                  </w:r>
                </w:p>
              </w:tc>
              <w:tc>
                <w:tcPr>
                  <w:tcW w:w="855" w:type="dxa"/>
                  <w:vAlign w:val="center"/>
                </w:tcPr>
                <w:p w14:paraId="74BC64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080" w:type="dxa"/>
                  <w:vAlign w:val="center"/>
                </w:tcPr>
                <w:p w14:paraId="28F0C8C8">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2.254</w:t>
                  </w:r>
                </w:p>
              </w:tc>
              <w:tc>
                <w:tcPr>
                  <w:tcW w:w="1057" w:type="dxa"/>
                  <w:vAlign w:val="center"/>
                </w:tcPr>
                <w:p w14:paraId="67B7B3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+1.21</w:t>
                  </w:r>
                </w:p>
              </w:tc>
            </w:tr>
            <w:tr w14:paraId="6DFA5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4EBEC1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127" w:type="dxa"/>
                  <w:vAlign w:val="center"/>
                </w:tcPr>
                <w:p w14:paraId="35845C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z w:val="21"/>
                      <w:szCs w:val="21"/>
                      <w:highlight w:val="none"/>
                      <w:lang w:val="en-US" w:eastAsia="zh-CN"/>
                    </w:rPr>
                    <w:t>化粪池污泥</w:t>
                  </w:r>
                </w:p>
              </w:tc>
              <w:tc>
                <w:tcPr>
                  <w:tcW w:w="780" w:type="dxa"/>
                  <w:vAlign w:val="center"/>
                </w:tcPr>
                <w:p w14:paraId="20E281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40249D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6 54</w:t>
                  </w:r>
                </w:p>
              </w:tc>
              <w:tc>
                <w:tcPr>
                  <w:tcW w:w="945" w:type="dxa"/>
                  <w:vAlign w:val="center"/>
                </w:tcPr>
                <w:p w14:paraId="6D213D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0.054</w:t>
                  </w:r>
                </w:p>
              </w:tc>
              <w:tc>
                <w:tcPr>
                  <w:tcW w:w="855" w:type="dxa"/>
                  <w:vAlign w:val="center"/>
                </w:tcPr>
                <w:p w14:paraId="1245ED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080" w:type="dxa"/>
                  <w:vAlign w:val="center"/>
                </w:tcPr>
                <w:p w14:paraId="64EB61E0">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6.594</w:t>
                  </w:r>
                </w:p>
              </w:tc>
              <w:tc>
                <w:tcPr>
                  <w:tcW w:w="1057" w:type="dxa"/>
                  <w:vAlign w:val="center"/>
                </w:tcPr>
                <w:p w14:paraId="1D59F3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+0.054</w:t>
                  </w:r>
                </w:p>
              </w:tc>
            </w:tr>
            <w:tr w14:paraId="36A39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601D40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127" w:type="dxa"/>
                  <w:vAlign w:val="center"/>
                </w:tcPr>
                <w:p w14:paraId="3A974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sz w:val="21"/>
                      <w:szCs w:val="21"/>
                      <w:highlight w:val="none"/>
                      <w:lang w:val="en-US" w:eastAsia="zh-CN"/>
                    </w:rPr>
                    <w:t>生活污水处理</w:t>
                  </w:r>
                  <w:r>
                    <w:rPr>
                      <w:rFonts w:hint="default" w:ascii="Times New Roman" w:hAnsi="Times New Roman" w:eastAsia="宋体" w:cs="Times New Roman"/>
                      <w:color w:val="auto"/>
                      <w:sz w:val="21"/>
                      <w:szCs w:val="21"/>
                      <w:highlight w:val="none"/>
                      <w:lang w:val="en-US" w:eastAsia="zh-CN"/>
                    </w:rPr>
                    <w:t>站污泥</w:t>
                  </w:r>
                </w:p>
              </w:tc>
              <w:tc>
                <w:tcPr>
                  <w:tcW w:w="780" w:type="dxa"/>
                  <w:vAlign w:val="center"/>
                </w:tcPr>
                <w:p w14:paraId="6F2825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6DB48D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3.825</w:t>
                  </w:r>
                </w:p>
              </w:tc>
              <w:tc>
                <w:tcPr>
                  <w:tcW w:w="945" w:type="dxa"/>
                  <w:vAlign w:val="center"/>
                </w:tcPr>
                <w:p w14:paraId="0537F5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2.105</w:t>
                  </w:r>
                </w:p>
              </w:tc>
              <w:tc>
                <w:tcPr>
                  <w:tcW w:w="855" w:type="dxa"/>
                  <w:vAlign w:val="center"/>
                </w:tcPr>
                <w:p w14:paraId="6F82E4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080" w:type="dxa"/>
                  <w:vAlign w:val="center"/>
                </w:tcPr>
                <w:p w14:paraId="3C49A816">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5.93</w:t>
                  </w:r>
                </w:p>
              </w:tc>
              <w:tc>
                <w:tcPr>
                  <w:tcW w:w="1057" w:type="dxa"/>
                  <w:vAlign w:val="center"/>
                </w:tcPr>
                <w:p w14:paraId="341344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+2.105</w:t>
                  </w:r>
                </w:p>
              </w:tc>
            </w:tr>
            <w:tr w14:paraId="4FFA7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restart"/>
                  <w:vAlign w:val="center"/>
                </w:tcPr>
                <w:p w14:paraId="39DDC435">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w:t>
                  </w:r>
                </w:p>
              </w:tc>
              <w:tc>
                <w:tcPr>
                  <w:tcW w:w="2127" w:type="dxa"/>
                  <w:vAlign w:val="center"/>
                </w:tcPr>
                <w:p w14:paraId="465F26CA">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废胶</w:t>
                  </w:r>
                  <w:r>
                    <w:rPr>
                      <w:rFonts w:hint="eastAsia" w:cs="Times New Roman"/>
                      <w:color w:val="auto"/>
                      <w:sz w:val="21"/>
                      <w:szCs w:val="21"/>
                      <w:highlight w:val="none"/>
                      <w:lang w:val="en-US" w:eastAsia="zh-CN"/>
                    </w:rPr>
                    <w:t>袋</w:t>
                  </w:r>
                </w:p>
              </w:tc>
              <w:tc>
                <w:tcPr>
                  <w:tcW w:w="780" w:type="dxa"/>
                  <w:vAlign w:val="center"/>
                </w:tcPr>
                <w:p w14:paraId="4D5B20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56DB04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0.0034</w:t>
                  </w:r>
                </w:p>
              </w:tc>
              <w:tc>
                <w:tcPr>
                  <w:tcW w:w="945" w:type="dxa"/>
                  <w:vAlign w:val="center"/>
                </w:tcPr>
                <w:p w14:paraId="65890B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55" w:type="dxa"/>
                  <w:vAlign w:val="center"/>
                </w:tcPr>
                <w:p w14:paraId="185434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5E93A072">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0.0034</w:t>
                  </w:r>
                </w:p>
              </w:tc>
              <w:tc>
                <w:tcPr>
                  <w:tcW w:w="1057" w:type="dxa"/>
                  <w:vAlign w:val="center"/>
                </w:tcPr>
                <w:p w14:paraId="6F8FB3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w:t>
                  </w:r>
                </w:p>
              </w:tc>
            </w:tr>
            <w:tr w14:paraId="7AE84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57F949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7" w:type="dxa"/>
                  <w:vAlign w:val="center"/>
                </w:tcPr>
                <w:p w14:paraId="4C7ED7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780" w:type="dxa"/>
                  <w:vAlign w:val="center"/>
                </w:tcPr>
                <w:p w14:paraId="0036D9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0EB048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w:t>
                  </w:r>
                </w:p>
              </w:tc>
              <w:tc>
                <w:tcPr>
                  <w:tcW w:w="945" w:type="dxa"/>
                  <w:vAlign w:val="center"/>
                </w:tcPr>
                <w:p w14:paraId="3DB852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855" w:type="dxa"/>
                  <w:vAlign w:val="center"/>
                </w:tcPr>
                <w:p w14:paraId="3FA87A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25D598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0.66</w:t>
                  </w:r>
                </w:p>
              </w:tc>
              <w:tc>
                <w:tcPr>
                  <w:tcW w:w="1057" w:type="dxa"/>
                  <w:vAlign w:val="center"/>
                </w:tcPr>
                <w:p w14:paraId="2E949E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r>
            <w:tr w14:paraId="150A9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43873C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7" w:type="dxa"/>
                  <w:vAlign w:val="center"/>
                </w:tcPr>
                <w:p w14:paraId="1D4F16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生产废水处理站污泥</w:t>
                  </w:r>
                </w:p>
              </w:tc>
              <w:tc>
                <w:tcPr>
                  <w:tcW w:w="780" w:type="dxa"/>
                  <w:vAlign w:val="center"/>
                </w:tcPr>
                <w:p w14:paraId="5E091E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825" w:type="dxa"/>
                  <w:vAlign w:val="center"/>
                </w:tcPr>
                <w:p w14:paraId="4B0D33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945" w:type="dxa"/>
                  <w:vAlign w:val="center"/>
                </w:tcPr>
                <w:p w14:paraId="75D658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55" w:type="dxa"/>
                  <w:vAlign w:val="center"/>
                </w:tcPr>
                <w:p w14:paraId="5E80D7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80" w:type="dxa"/>
                  <w:vAlign w:val="center"/>
                </w:tcPr>
                <w:p w14:paraId="4E496A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57" w:type="dxa"/>
                  <w:vAlign w:val="center"/>
                </w:tcPr>
                <w:p w14:paraId="4510DA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14:paraId="55E1F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vAlign w:val="center"/>
                </w:tcPr>
                <w:p w14:paraId="58EA82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127" w:type="dxa"/>
                  <w:vAlign w:val="center"/>
                </w:tcPr>
                <w:p w14:paraId="494B81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空硫酸桶、空盐酸桶、空防火液桶</w:t>
                  </w:r>
                </w:p>
              </w:tc>
              <w:tc>
                <w:tcPr>
                  <w:tcW w:w="780" w:type="dxa"/>
                  <w:vAlign w:val="center"/>
                </w:tcPr>
                <w:p w14:paraId="36D3C3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只/a</w:t>
                  </w:r>
                </w:p>
              </w:tc>
              <w:tc>
                <w:tcPr>
                  <w:tcW w:w="825" w:type="dxa"/>
                  <w:vAlign w:val="center"/>
                </w:tcPr>
                <w:p w14:paraId="0DEDF4B8">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945" w:type="dxa"/>
                  <w:vAlign w:val="center"/>
                </w:tcPr>
                <w:p w14:paraId="044358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1760</w:t>
                  </w:r>
                </w:p>
              </w:tc>
              <w:tc>
                <w:tcPr>
                  <w:tcW w:w="855" w:type="dxa"/>
                  <w:vAlign w:val="center"/>
                </w:tcPr>
                <w:p w14:paraId="3049FB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080" w:type="dxa"/>
                  <w:vAlign w:val="center"/>
                </w:tcPr>
                <w:p w14:paraId="45C2C1B7">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1760</w:t>
                  </w:r>
                </w:p>
              </w:tc>
              <w:tc>
                <w:tcPr>
                  <w:tcW w:w="1057" w:type="dxa"/>
                  <w:vAlign w:val="center"/>
                </w:tcPr>
                <w:p w14:paraId="1CB0FD62">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+1760</w:t>
                  </w:r>
                </w:p>
              </w:tc>
            </w:tr>
          </w:tbl>
          <w:p w14:paraId="491C2638">
            <w:pPr>
              <w:rPr>
                <w:rFonts w:hint="eastAsia"/>
                <w:color w:val="auto"/>
                <w:highlight w:val="none"/>
                <w:lang w:val="en-US" w:eastAsia="zh-CN"/>
              </w:rPr>
            </w:pPr>
          </w:p>
          <w:p w14:paraId="07CCB6B0">
            <w:pPr>
              <w:pStyle w:val="15"/>
              <w:rPr>
                <w:rFonts w:hint="default" w:ascii="Times New Roman" w:hAnsi="Times New Roman" w:cs="Times New Roman"/>
                <w:color w:val="auto"/>
                <w:sz w:val="24"/>
                <w:szCs w:val="28"/>
                <w:highlight w:val="none"/>
                <w:lang w:val="en-US" w:eastAsia="zh-CN"/>
              </w:rPr>
            </w:pPr>
          </w:p>
          <w:p w14:paraId="2FC93DB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jc w:val="both"/>
              <w:textAlignment w:val="baseline"/>
              <w:rPr>
                <w:rFonts w:hint="default" w:ascii="Times New Roman" w:hAnsi="Times New Roman" w:eastAsia="宋体" w:cs="Times New Roman"/>
                <w:bCs/>
                <w:color w:val="auto"/>
                <w:spacing w:val="-10"/>
                <w:szCs w:val="21"/>
                <w:highlight w:val="none"/>
              </w:rPr>
            </w:pPr>
          </w:p>
        </w:tc>
      </w:tr>
    </w:tbl>
    <w:p w14:paraId="58B99971">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B3B3DF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34" w:name="_Toc19890"/>
      <w:r>
        <w:rPr>
          <w:rFonts w:hint="default" w:ascii="Times New Roman" w:hAnsi="Times New Roman" w:eastAsia="宋体" w:cs="Times New Roman"/>
          <w:b/>
          <w:bCs/>
          <w:snapToGrid w:val="0"/>
          <w:color w:val="auto"/>
          <w:sz w:val="30"/>
          <w:szCs w:val="30"/>
          <w:highlight w:val="none"/>
        </w:rPr>
        <w:t>五、环境保护措施监督检查清单</w:t>
      </w:r>
      <w:bookmarkEnd w:id="34"/>
    </w:p>
    <w:tbl>
      <w:tblPr>
        <w:tblStyle w:val="2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606"/>
        <w:gridCol w:w="990"/>
        <w:gridCol w:w="2868"/>
        <w:gridCol w:w="2292"/>
      </w:tblGrid>
      <w:tr w14:paraId="2A21B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4" w:type="dxa"/>
            <w:tcBorders>
              <w:tl2br w:val="single" w:color="auto" w:sz="4" w:space="0"/>
            </w:tcBorders>
            <w:vAlign w:val="top"/>
          </w:tcPr>
          <w:p w14:paraId="4D28C7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14:paraId="003B01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606" w:type="dxa"/>
            <w:vAlign w:val="center"/>
          </w:tcPr>
          <w:p w14:paraId="3036B1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排放口(编号、名称)/污染源</w:t>
            </w:r>
          </w:p>
        </w:tc>
        <w:tc>
          <w:tcPr>
            <w:tcW w:w="990" w:type="dxa"/>
            <w:vAlign w:val="center"/>
          </w:tcPr>
          <w:p w14:paraId="109994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868" w:type="dxa"/>
            <w:vAlign w:val="center"/>
          </w:tcPr>
          <w:p w14:paraId="324C02D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292" w:type="dxa"/>
            <w:vAlign w:val="center"/>
          </w:tcPr>
          <w:p w14:paraId="5805A5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6FD64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8" w:hRule="atLeast"/>
          <w:jc w:val="center"/>
        </w:trPr>
        <w:tc>
          <w:tcPr>
            <w:tcW w:w="1044" w:type="dxa"/>
            <w:vMerge w:val="restart"/>
            <w:vAlign w:val="center"/>
          </w:tcPr>
          <w:p w14:paraId="539FDBF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606" w:type="dxa"/>
            <w:vAlign w:val="center"/>
          </w:tcPr>
          <w:p w14:paraId="3B9D9E5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Cs w:val="21"/>
                <w:highlight w:val="none"/>
                <w:lang w:val="en-US" w:eastAsia="zh-CN"/>
              </w:rPr>
              <w:t>DA00</w:t>
            </w:r>
            <w:r>
              <w:rPr>
                <w:rFonts w:hint="eastAsia"/>
                <w:color w:val="auto"/>
                <w:szCs w:val="21"/>
                <w:highlight w:val="none"/>
                <w:lang w:val="en-US" w:eastAsia="zh-CN"/>
              </w:rPr>
              <w:t>2/硫酸挥发废气、配料废气和蒙砂废气</w:t>
            </w:r>
          </w:p>
        </w:tc>
        <w:tc>
          <w:tcPr>
            <w:tcW w:w="990" w:type="dxa"/>
            <w:vAlign w:val="center"/>
          </w:tcPr>
          <w:p w14:paraId="4BB6063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硫酸雾、氯化氢、氟化物、颗粒物</w:t>
            </w:r>
          </w:p>
        </w:tc>
        <w:tc>
          <w:tcPr>
            <w:tcW w:w="2868" w:type="dxa"/>
            <w:vAlign w:val="center"/>
          </w:tcPr>
          <w:p w14:paraId="219A05E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zh-CN" w:eastAsia="zh-CN"/>
              </w:rPr>
              <w:t>硫酸稀释、蒙砂液配制与蒙砂过程共同置于封闭生产车间内，生产车间保持负压状态，并在上方设置集气管道，</w:t>
            </w:r>
            <w:r>
              <w:rPr>
                <w:rFonts w:hint="default" w:ascii="Times New Roman" w:hAnsi="Times New Roman" w:cs="Times New Roman"/>
                <w:color w:val="auto"/>
                <w:sz w:val="21"/>
                <w:szCs w:val="21"/>
                <w:highlight w:val="none"/>
                <w:lang w:val="zh-CN" w:eastAsia="zh-CN"/>
              </w:rPr>
              <w:t>硫酸挥发废气、配料废气</w:t>
            </w:r>
            <w:r>
              <w:rPr>
                <w:rFonts w:hint="eastAsia" w:cs="Times New Roman"/>
                <w:color w:val="auto"/>
                <w:sz w:val="21"/>
                <w:szCs w:val="21"/>
                <w:highlight w:val="none"/>
                <w:lang w:val="zh-CN" w:eastAsia="zh-CN"/>
              </w:rPr>
              <w:t>和蒙砂</w:t>
            </w:r>
            <w:r>
              <w:rPr>
                <w:rFonts w:hint="default" w:ascii="Times New Roman" w:hAnsi="Times New Roman" w:cs="Times New Roman"/>
                <w:color w:val="auto"/>
                <w:sz w:val="21"/>
                <w:szCs w:val="21"/>
                <w:highlight w:val="none"/>
                <w:lang w:val="zh-CN" w:eastAsia="zh-CN"/>
              </w:rPr>
              <w:t>废气由</w:t>
            </w:r>
            <w:r>
              <w:rPr>
                <w:rFonts w:hint="eastAsia" w:cs="Times New Roman"/>
                <w:color w:val="auto"/>
                <w:sz w:val="21"/>
                <w:szCs w:val="21"/>
                <w:highlight w:val="none"/>
                <w:lang w:val="zh-CN" w:eastAsia="zh-CN"/>
              </w:rPr>
              <w:t>封</w:t>
            </w:r>
            <w:r>
              <w:rPr>
                <w:rFonts w:hint="default" w:ascii="Times New Roman" w:hAnsi="Times New Roman" w:cs="Times New Roman"/>
                <w:color w:val="auto"/>
                <w:sz w:val="21"/>
                <w:szCs w:val="21"/>
                <w:highlight w:val="none"/>
                <w:lang w:val="zh-CN" w:eastAsia="zh-CN"/>
              </w:rPr>
              <w:t>闭生产</w:t>
            </w:r>
            <w:r>
              <w:rPr>
                <w:rFonts w:hint="eastAsia" w:cs="Times New Roman"/>
                <w:color w:val="auto"/>
                <w:sz w:val="21"/>
                <w:szCs w:val="21"/>
                <w:highlight w:val="none"/>
                <w:lang w:val="zh-CN" w:eastAsia="zh-CN"/>
              </w:rPr>
              <w:t>车间</w:t>
            </w:r>
            <w:r>
              <w:rPr>
                <w:rFonts w:hint="default" w:ascii="Times New Roman" w:hAnsi="Times New Roman" w:cs="Times New Roman"/>
                <w:color w:val="auto"/>
                <w:sz w:val="21"/>
                <w:szCs w:val="21"/>
                <w:highlight w:val="none"/>
                <w:lang w:val="en-US" w:eastAsia="zh-CN"/>
              </w:rPr>
              <w:t>集气管道</w:t>
            </w:r>
            <w:r>
              <w:rPr>
                <w:rFonts w:hint="default" w:ascii="Times New Roman" w:hAnsi="Times New Roman" w:cs="Times New Roman"/>
                <w:color w:val="auto"/>
                <w:sz w:val="21"/>
                <w:szCs w:val="21"/>
                <w:highlight w:val="none"/>
                <w:lang w:val="zh-CN" w:eastAsia="zh-CN"/>
              </w:rPr>
              <w:t>收集后，</w:t>
            </w:r>
            <w:r>
              <w:rPr>
                <w:rFonts w:hint="eastAsia" w:ascii="Times New Roman" w:hAnsi="Times New Roman" w:cs="Times New Roman"/>
                <w:color w:val="auto"/>
                <w:sz w:val="21"/>
                <w:szCs w:val="21"/>
                <w:highlight w:val="none"/>
                <w:lang w:val="zh-CN" w:eastAsia="zh-CN"/>
              </w:rPr>
              <w:t>通过</w:t>
            </w:r>
            <w:r>
              <w:rPr>
                <w:rFonts w:hint="default" w:ascii="Times New Roman" w:hAnsi="Times New Roman" w:cs="Times New Roman"/>
                <w:color w:val="auto"/>
                <w:sz w:val="21"/>
                <w:szCs w:val="21"/>
                <w:highlight w:val="none"/>
                <w:lang w:val="zh-CN" w:eastAsia="zh-CN"/>
              </w:rPr>
              <w:t>一套碱液喷淋洗涤塔废气治理设施处理，</w:t>
            </w:r>
            <w:r>
              <w:rPr>
                <w:rFonts w:hint="eastAsia" w:cs="Times New Roman"/>
                <w:color w:val="auto"/>
                <w:sz w:val="21"/>
                <w:szCs w:val="21"/>
                <w:highlight w:val="none"/>
                <w:lang w:val="zh-CN" w:eastAsia="zh-CN"/>
              </w:rPr>
              <w:t>后</w:t>
            </w:r>
            <w:r>
              <w:rPr>
                <w:rFonts w:hint="default" w:ascii="Times New Roman" w:hAnsi="Times New Roman" w:cs="Times New Roman"/>
                <w:color w:val="auto"/>
                <w:sz w:val="21"/>
                <w:szCs w:val="21"/>
                <w:highlight w:val="none"/>
                <w:lang w:val="zh-CN" w:eastAsia="zh-CN"/>
              </w:rPr>
              <w:t>经15m高排气筒（</w:t>
            </w: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z w:val="21"/>
                <w:szCs w:val="21"/>
                <w:highlight w:val="none"/>
                <w:lang w:val="zh-CN" w:eastAsia="zh-CN"/>
              </w:rPr>
              <w:t>）排放</w:t>
            </w:r>
            <w:r>
              <w:rPr>
                <w:rFonts w:hint="eastAsia"/>
                <w:color w:val="auto"/>
                <w:highlight w:val="none"/>
                <w:lang w:val="en-US" w:eastAsia="zh-CN"/>
              </w:rPr>
              <w:t>。</w:t>
            </w:r>
          </w:p>
        </w:tc>
        <w:tc>
          <w:tcPr>
            <w:tcW w:w="2292" w:type="dxa"/>
            <w:vAlign w:val="center"/>
          </w:tcPr>
          <w:p w14:paraId="40DD3B0E">
            <w:pPr>
              <w:adjustRightInd w:val="0"/>
              <w:snapToGrid w:val="0"/>
              <w:jc w:val="center"/>
              <w:rPr>
                <w:rFonts w:hint="eastAsia"/>
                <w:color w:val="auto"/>
                <w:highlight w:val="none"/>
                <w:lang w:val="en-US" w:eastAsia="zh-CN"/>
              </w:rPr>
            </w:pPr>
            <w:r>
              <w:rPr>
                <w:rFonts w:hint="eastAsia"/>
                <w:color w:val="auto"/>
                <w:highlight w:val="none"/>
                <w:lang w:val="en-US" w:eastAsia="zh-CN"/>
              </w:rPr>
              <w:t>有组织颗粒物、氯化氢、氟化物排放浓度执行《玻璃工业大气污染物排放标准》（GB 26453-2022）表1中在线镀膜尾气处理系统排放限值，有组织硫酸雾排放浓度和排放速率执行《大气污染物综合排放标准》（GB16297-1996）表2二级标准，排放速率严格50%要求</w:t>
            </w:r>
          </w:p>
        </w:tc>
      </w:tr>
      <w:tr w14:paraId="20824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044" w:type="dxa"/>
            <w:vMerge w:val="continue"/>
            <w:vAlign w:val="center"/>
          </w:tcPr>
          <w:p w14:paraId="7F56D55F">
            <w:pPr>
              <w:adjustRightInd w:val="0"/>
              <w:snapToGrid w:val="0"/>
              <w:jc w:val="center"/>
              <w:rPr>
                <w:rFonts w:hint="default" w:ascii="Times New Roman" w:hAnsi="Times New Roman" w:eastAsia="宋体" w:cs="Times New Roman"/>
                <w:color w:val="auto"/>
                <w:sz w:val="21"/>
                <w:szCs w:val="21"/>
                <w:highlight w:val="none"/>
              </w:rPr>
            </w:pPr>
          </w:p>
        </w:tc>
        <w:tc>
          <w:tcPr>
            <w:tcW w:w="1606" w:type="dxa"/>
            <w:vAlign w:val="center"/>
          </w:tcPr>
          <w:p w14:paraId="68D0D399">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无组织/硫酸挥发废气、配料废气和蒙砂废气</w:t>
            </w:r>
          </w:p>
        </w:tc>
        <w:tc>
          <w:tcPr>
            <w:tcW w:w="990" w:type="dxa"/>
            <w:vAlign w:val="center"/>
          </w:tcPr>
          <w:p w14:paraId="79C447B8">
            <w:pPr>
              <w:keepNext w:val="0"/>
              <w:keepLines w:val="0"/>
              <w:suppressLineNumbers w:val="0"/>
              <w:adjustRightInd w:val="0"/>
              <w:snapToGrid w:val="0"/>
              <w:spacing w:before="0" w:beforeAutospacing="0" w:after="0" w:afterAutospacing="0"/>
              <w:ind w:left="0" w:leftChars="0" w:right="0" w:rightChars="0"/>
              <w:jc w:val="center"/>
              <w:rPr>
                <w:rFonts w:hint="eastAsia" w:cs="宋体"/>
                <w:color w:val="auto"/>
                <w:sz w:val="21"/>
                <w:szCs w:val="21"/>
                <w:highlight w:val="none"/>
                <w:lang w:eastAsia="zh-CN"/>
              </w:rPr>
            </w:pPr>
            <w:r>
              <w:rPr>
                <w:rFonts w:hint="eastAsia" w:cs="Times New Roman"/>
                <w:color w:val="auto"/>
                <w:sz w:val="21"/>
                <w:szCs w:val="21"/>
                <w:highlight w:val="none"/>
                <w:lang w:val="en-US" w:eastAsia="zh-CN"/>
              </w:rPr>
              <w:t>硫酸雾、氯化氢、氟化物、颗粒物</w:t>
            </w:r>
          </w:p>
        </w:tc>
        <w:tc>
          <w:tcPr>
            <w:tcW w:w="2868" w:type="dxa"/>
            <w:vAlign w:val="center"/>
          </w:tcPr>
          <w:p w14:paraId="0DC19F04">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自然沉降，及时清理</w:t>
            </w:r>
          </w:p>
        </w:tc>
        <w:tc>
          <w:tcPr>
            <w:tcW w:w="2292" w:type="dxa"/>
            <w:vAlign w:val="center"/>
          </w:tcPr>
          <w:p w14:paraId="1AAFBA8B">
            <w:pPr>
              <w:pStyle w:val="9"/>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《大气污染物综合排放标准》（GB16297-1996）表2中无组织排放监控浓度限值</w:t>
            </w:r>
          </w:p>
        </w:tc>
      </w:tr>
      <w:tr w14:paraId="2199B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044" w:type="dxa"/>
            <w:vMerge w:val="continue"/>
            <w:vAlign w:val="center"/>
          </w:tcPr>
          <w:p w14:paraId="64F8E0C0">
            <w:pPr>
              <w:adjustRightInd w:val="0"/>
              <w:snapToGrid w:val="0"/>
              <w:jc w:val="center"/>
              <w:rPr>
                <w:rFonts w:hint="default" w:ascii="Times New Roman" w:hAnsi="Times New Roman" w:eastAsia="宋体" w:cs="Times New Roman"/>
                <w:color w:val="auto"/>
                <w:sz w:val="21"/>
                <w:szCs w:val="21"/>
                <w:highlight w:val="none"/>
              </w:rPr>
            </w:pPr>
          </w:p>
        </w:tc>
        <w:tc>
          <w:tcPr>
            <w:tcW w:w="1606" w:type="dxa"/>
            <w:vAlign w:val="center"/>
          </w:tcPr>
          <w:p w14:paraId="06AA115D">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厂内无组织颗粒物</w:t>
            </w:r>
          </w:p>
        </w:tc>
        <w:tc>
          <w:tcPr>
            <w:tcW w:w="990" w:type="dxa"/>
            <w:vAlign w:val="center"/>
          </w:tcPr>
          <w:p w14:paraId="39F9BC2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color w:val="auto"/>
                <w:sz w:val="21"/>
                <w:szCs w:val="21"/>
                <w:highlight w:val="none"/>
                <w:lang w:eastAsia="zh-CN"/>
              </w:rPr>
            </w:pPr>
            <w:r>
              <w:rPr>
                <w:rFonts w:hint="eastAsia" w:cs="宋体"/>
                <w:color w:val="auto"/>
                <w:sz w:val="21"/>
                <w:szCs w:val="21"/>
                <w:highlight w:val="none"/>
                <w:lang w:eastAsia="zh-CN"/>
              </w:rPr>
              <w:t>颗粒物</w:t>
            </w:r>
          </w:p>
        </w:tc>
        <w:tc>
          <w:tcPr>
            <w:tcW w:w="2868" w:type="dxa"/>
            <w:vAlign w:val="center"/>
          </w:tcPr>
          <w:p w14:paraId="452B4B13">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自然沉降，及时清理</w:t>
            </w:r>
          </w:p>
        </w:tc>
        <w:tc>
          <w:tcPr>
            <w:tcW w:w="2292" w:type="dxa"/>
            <w:vAlign w:val="center"/>
          </w:tcPr>
          <w:p w14:paraId="0C4605CE">
            <w:pPr>
              <w:pStyle w:val="9"/>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《玻璃工业大气污染物排放标准》（GB 26453-2022）附录B中的要求</w:t>
            </w:r>
          </w:p>
        </w:tc>
      </w:tr>
      <w:tr w14:paraId="74D67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4" w:type="dxa"/>
            <w:vMerge w:val="continue"/>
            <w:vAlign w:val="center"/>
          </w:tcPr>
          <w:p w14:paraId="26EC0966">
            <w:pPr>
              <w:adjustRightInd w:val="0"/>
              <w:snapToGrid w:val="0"/>
              <w:jc w:val="center"/>
              <w:rPr>
                <w:rFonts w:hint="default" w:ascii="Times New Roman" w:hAnsi="Times New Roman" w:eastAsia="宋体" w:cs="Times New Roman"/>
                <w:color w:val="auto"/>
                <w:sz w:val="21"/>
                <w:szCs w:val="21"/>
                <w:highlight w:val="none"/>
              </w:rPr>
            </w:pPr>
          </w:p>
        </w:tc>
        <w:tc>
          <w:tcPr>
            <w:tcW w:w="1606" w:type="dxa"/>
            <w:vAlign w:val="center"/>
          </w:tcPr>
          <w:p w14:paraId="160F4841">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食堂油烟</w:t>
            </w:r>
          </w:p>
        </w:tc>
        <w:tc>
          <w:tcPr>
            <w:tcW w:w="990" w:type="dxa"/>
            <w:vAlign w:val="center"/>
          </w:tcPr>
          <w:p w14:paraId="291E06F5">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油烟</w:t>
            </w:r>
          </w:p>
        </w:tc>
        <w:tc>
          <w:tcPr>
            <w:tcW w:w="2868" w:type="dxa"/>
            <w:vAlign w:val="center"/>
          </w:tcPr>
          <w:p w14:paraId="7F05B9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eastAsia="zh-CN"/>
              </w:rPr>
              <w:t>油烟净化器</w:t>
            </w:r>
            <w:r>
              <w:rPr>
                <w:rFonts w:hint="eastAsia" w:ascii="Times New Roman" w:hAnsi="Times New Roman" w:cs="Times New Roman"/>
                <w:color w:val="auto"/>
                <w:sz w:val="21"/>
                <w:szCs w:val="21"/>
                <w:highlight w:val="none"/>
                <w:lang w:val="en-US" w:eastAsia="zh-CN"/>
              </w:rPr>
              <w:t>+高于自身建筑物1.5m的排气筒</w:t>
            </w:r>
          </w:p>
        </w:tc>
        <w:tc>
          <w:tcPr>
            <w:tcW w:w="2292" w:type="dxa"/>
            <w:vAlign w:val="center"/>
          </w:tcPr>
          <w:p w14:paraId="0933C7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宋体" w:hAnsi="宋体" w:cs="宋体"/>
                <w:color w:val="auto"/>
                <w:sz w:val="21"/>
                <w:szCs w:val="21"/>
                <w:highlight w:val="none"/>
              </w:rPr>
              <w:t>《饮食业油烟排放标准</w:t>
            </w:r>
            <w:r>
              <w:rPr>
                <w:rFonts w:hint="eastAsia" w:ascii="宋体" w:hAnsi="宋体" w:cs="宋体"/>
                <w:color w:val="auto"/>
                <w:sz w:val="21"/>
                <w:szCs w:val="21"/>
                <w:highlight w:val="none"/>
                <w:lang w:eastAsia="zh-CN"/>
              </w:rPr>
              <w:t>（试行）</w:t>
            </w:r>
            <w:r>
              <w:rPr>
                <w:rFonts w:hint="eastAsia" w:ascii="宋体" w:hAnsi="宋体" w:cs="宋体"/>
                <w:color w:val="auto"/>
                <w:sz w:val="21"/>
                <w:szCs w:val="21"/>
                <w:highlight w:val="none"/>
              </w:rPr>
              <w:t>》</w:t>
            </w:r>
            <w:r>
              <w:rPr>
                <w:rFonts w:hint="default" w:ascii="Times New Roman" w:hAnsi="Times New Roman" w:cs="Times New Roman"/>
                <w:color w:val="auto"/>
                <w:sz w:val="21"/>
                <w:szCs w:val="21"/>
                <w:highlight w:val="none"/>
              </w:rPr>
              <w:t>（GB18483-2001）</w:t>
            </w:r>
            <w:r>
              <w:rPr>
                <w:rFonts w:hint="eastAsia" w:ascii="宋体" w:hAnsi="宋体" w:cs="宋体"/>
                <w:color w:val="auto"/>
                <w:sz w:val="21"/>
                <w:szCs w:val="21"/>
                <w:highlight w:val="none"/>
              </w:rPr>
              <w:t>小型标准</w:t>
            </w:r>
          </w:p>
        </w:tc>
      </w:tr>
      <w:tr w14:paraId="30725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44" w:type="dxa"/>
            <w:vMerge w:val="continue"/>
            <w:vAlign w:val="center"/>
          </w:tcPr>
          <w:p w14:paraId="53465066">
            <w:pPr>
              <w:adjustRightInd w:val="0"/>
              <w:snapToGrid w:val="0"/>
              <w:jc w:val="center"/>
              <w:rPr>
                <w:rFonts w:hint="default" w:ascii="Times New Roman" w:hAnsi="Times New Roman" w:eastAsia="宋体" w:cs="Times New Roman"/>
                <w:color w:val="auto"/>
                <w:sz w:val="21"/>
                <w:szCs w:val="21"/>
                <w:highlight w:val="none"/>
              </w:rPr>
            </w:pPr>
          </w:p>
        </w:tc>
        <w:tc>
          <w:tcPr>
            <w:tcW w:w="1606" w:type="dxa"/>
            <w:vAlign w:val="center"/>
          </w:tcPr>
          <w:p w14:paraId="34A0F0AA">
            <w:pPr>
              <w:adjustRightInd w:val="0"/>
              <w:snapToGrid w:val="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污水处理站、化粪池</w:t>
            </w:r>
          </w:p>
        </w:tc>
        <w:tc>
          <w:tcPr>
            <w:tcW w:w="990" w:type="dxa"/>
            <w:vAlign w:val="center"/>
          </w:tcPr>
          <w:p w14:paraId="21C47CA5">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异味</w:t>
            </w:r>
          </w:p>
        </w:tc>
        <w:tc>
          <w:tcPr>
            <w:tcW w:w="2868" w:type="dxa"/>
            <w:vAlign w:val="center"/>
          </w:tcPr>
          <w:p w14:paraId="10EF9969">
            <w:pP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aps w:val="0"/>
                <w:smallCaps w:val="0"/>
                <w:color w:val="auto"/>
                <w:highlight w:val="none"/>
                <w:lang w:val="en-US" w:eastAsia="zh-CN"/>
              </w:rPr>
              <w:t>化粪池为地埋式</w:t>
            </w:r>
            <w:r>
              <w:rPr>
                <w:rFonts w:hint="eastAsia" w:cs="Times New Roman"/>
                <w:color w:val="auto"/>
                <w:sz w:val="21"/>
                <w:szCs w:val="21"/>
                <w:highlight w:val="none"/>
                <w:lang w:val="en-US" w:eastAsia="zh-CN"/>
              </w:rPr>
              <w:t>设置，污水处理站设置于专门的房间内，定期喷洒除臭剂</w:t>
            </w:r>
          </w:p>
        </w:tc>
        <w:tc>
          <w:tcPr>
            <w:tcW w:w="2292" w:type="dxa"/>
            <w:vAlign w:val="center"/>
          </w:tcPr>
          <w:p w14:paraId="515A7F7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《恶臭污染物排放标准》（GB14554-93）表1中的二级标准</w:t>
            </w:r>
          </w:p>
        </w:tc>
      </w:tr>
      <w:tr w14:paraId="54A95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1044" w:type="dxa"/>
            <w:vMerge w:val="restart"/>
            <w:vAlign w:val="center"/>
          </w:tcPr>
          <w:p w14:paraId="7EBA366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606" w:type="dxa"/>
            <w:vAlign w:val="center"/>
          </w:tcPr>
          <w:p w14:paraId="7355029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Cs w:val="21"/>
                <w:highlight w:val="none"/>
                <w:lang w:val="en-US" w:eastAsia="zh-CN"/>
              </w:rPr>
              <w:t>生活</w:t>
            </w:r>
            <w:r>
              <w:rPr>
                <w:rFonts w:hint="eastAsia" w:ascii="Times New Roman" w:hAnsi="Times New Roman" w:eastAsia="宋体"/>
                <w:color w:val="auto"/>
                <w:kern w:val="0"/>
                <w:szCs w:val="21"/>
                <w:highlight w:val="none"/>
                <w:lang w:eastAsia="zh-CN"/>
              </w:rPr>
              <w:t>污水处理</w:t>
            </w:r>
            <w:r>
              <w:rPr>
                <w:rFonts w:hint="eastAsia"/>
                <w:color w:val="auto"/>
                <w:kern w:val="0"/>
                <w:szCs w:val="21"/>
                <w:highlight w:val="none"/>
                <w:lang w:eastAsia="zh-CN"/>
              </w:rPr>
              <w:t>设施</w:t>
            </w:r>
            <w:r>
              <w:rPr>
                <w:rFonts w:hint="eastAsia" w:ascii="Times New Roman" w:hAnsi="Times New Roman" w:eastAsia="宋体"/>
                <w:color w:val="auto"/>
                <w:kern w:val="0"/>
                <w:szCs w:val="21"/>
                <w:highlight w:val="none"/>
                <w:lang w:eastAsia="zh-CN"/>
              </w:rPr>
              <w:t>出口</w:t>
            </w:r>
          </w:p>
        </w:tc>
        <w:tc>
          <w:tcPr>
            <w:tcW w:w="990" w:type="dxa"/>
            <w:vAlign w:val="center"/>
          </w:tcPr>
          <w:p w14:paraId="6B44109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pacing w:val="-10"/>
                <w:sz w:val="21"/>
                <w:szCs w:val="21"/>
                <w:highlight w:val="none"/>
                <w:vertAlign w:val="baseline"/>
                <w:lang w:val="en-US" w:eastAsia="zh-CN"/>
              </w:rPr>
              <w:t>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w:t>
            </w:r>
            <w:r>
              <w:rPr>
                <w:rFonts w:hint="eastAsia" w:cs="Times New Roman"/>
                <w:b w:val="0"/>
                <w:bCs/>
                <w:color w:val="auto"/>
                <w:spacing w:val="-10"/>
                <w:sz w:val="21"/>
                <w:szCs w:val="21"/>
                <w:highlight w:val="none"/>
                <w:vertAlign w:val="baseline"/>
                <w:lang w:val="en-US" w:eastAsia="zh-CN"/>
              </w:rPr>
              <w:t>总磷、动植物油</w:t>
            </w:r>
          </w:p>
        </w:tc>
        <w:tc>
          <w:tcPr>
            <w:tcW w:w="2868" w:type="dxa"/>
            <w:vAlign w:val="center"/>
          </w:tcPr>
          <w:p w14:paraId="6CCBF4D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食堂废水拟经隔油池隔油后，与生活污水一并经三级化粪池处理后进入自建</w:t>
            </w:r>
            <w:r>
              <w:rPr>
                <w:rFonts w:hint="eastAsia" w:cs="Times New Roman"/>
                <w:color w:val="auto"/>
                <w:sz w:val="21"/>
                <w:szCs w:val="21"/>
                <w:highlight w:val="none"/>
                <w:lang w:val="en-US" w:eastAsia="zh-CN"/>
              </w:rPr>
              <w:t>生活</w:t>
            </w:r>
            <w:r>
              <w:rPr>
                <w:rFonts w:hint="default" w:ascii="Times New Roman" w:hAnsi="Times New Roman" w:eastAsia="宋体" w:cs="Times New Roman"/>
                <w:color w:val="auto"/>
                <w:sz w:val="21"/>
                <w:szCs w:val="21"/>
                <w:highlight w:val="none"/>
                <w:lang w:val="en-US" w:eastAsia="zh-CN"/>
              </w:rPr>
              <w:t>污水处理站处理达到《城市污水再生利用 城市杂用水水质》（GB/T18920-2020）中城市绿化、</w:t>
            </w:r>
            <w:r>
              <w:rPr>
                <w:rFonts w:hint="eastAsia" w:cs="Times New Roman"/>
                <w:color w:val="auto"/>
                <w:sz w:val="21"/>
                <w:szCs w:val="21"/>
                <w:highlight w:val="none"/>
                <w:lang w:val="en-US" w:eastAsia="zh-CN"/>
              </w:rPr>
              <w:t>道路广场浇洒</w:t>
            </w:r>
            <w:r>
              <w:rPr>
                <w:rFonts w:hint="default" w:ascii="Times New Roman" w:hAnsi="Times New Roman" w:eastAsia="宋体" w:cs="Times New Roman"/>
                <w:color w:val="auto"/>
                <w:sz w:val="21"/>
                <w:szCs w:val="21"/>
                <w:highlight w:val="none"/>
                <w:lang w:val="en-US" w:eastAsia="zh-CN"/>
              </w:rPr>
              <w:t>、消防、建筑施工标准后，回用于厂区绿化和道路广场浇洒，不外排。</w:t>
            </w:r>
          </w:p>
        </w:tc>
        <w:tc>
          <w:tcPr>
            <w:tcW w:w="2292" w:type="dxa"/>
            <w:vAlign w:val="center"/>
          </w:tcPr>
          <w:p w14:paraId="2C286D4D">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宋体"/>
                <w:color w:val="auto"/>
                <w:szCs w:val="21"/>
                <w:highlight w:val="none"/>
                <w:lang w:val="en-US" w:eastAsia="zh-CN"/>
              </w:rPr>
              <w:t>《城市污水再生利用 城市杂用水水质》（GB/T18920-2020）中城市绿化、</w:t>
            </w:r>
            <w:r>
              <w:rPr>
                <w:rFonts w:hint="eastAsia" w:cs="宋体"/>
                <w:color w:val="auto"/>
                <w:szCs w:val="21"/>
                <w:highlight w:val="none"/>
                <w:lang w:val="en-US" w:eastAsia="zh-CN"/>
              </w:rPr>
              <w:t>道路广场浇洒</w:t>
            </w:r>
            <w:r>
              <w:rPr>
                <w:rFonts w:hint="eastAsia" w:ascii="Times New Roman" w:hAnsi="Times New Roman" w:eastAsia="宋体" w:cs="宋体"/>
                <w:color w:val="auto"/>
                <w:szCs w:val="21"/>
                <w:highlight w:val="none"/>
                <w:lang w:val="en-US" w:eastAsia="zh-CN"/>
              </w:rPr>
              <w:t>、消防、建筑施工标准</w:t>
            </w:r>
          </w:p>
        </w:tc>
      </w:tr>
      <w:tr w14:paraId="0B4A2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2" w:hRule="atLeast"/>
          <w:jc w:val="center"/>
        </w:trPr>
        <w:tc>
          <w:tcPr>
            <w:tcW w:w="1044" w:type="dxa"/>
            <w:vMerge w:val="continue"/>
            <w:vAlign w:val="center"/>
          </w:tcPr>
          <w:p w14:paraId="6DECDB51">
            <w:pPr>
              <w:adjustRightInd w:val="0"/>
              <w:snapToGrid w:val="0"/>
              <w:jc w:val="center"/>
              <w:rPr>
                <w:rFonts w:hint="default" w:ascii="Times New Roman" w:hAnsi="Times New Roman" w:eastAsia="宋体" w:cs="Times New Roman"/>
                <w:color w:val="auto"/>
                <w:sz w:val="21"/>
                <w:szCs w:val="21"/>
                <w:highlight w:val="none"/>
              </w:rPr>
            </w:pPr>
          </w:p>
        </w:tc>
        <w:tc>
          <w:tcPr>
            <w:tcW w:w="1606" w:type="dxa"/>
            <w:vAlign w:val="center"/>
          </w:tcPr>
          <w:p w14:paraId="3FFABDDA">
            <w:pPr>
              <w:adjustRightInd w:val="0"/>
              <w:snapToGrid w:val="0"/>
              <w:jc w:val="center"/>
              <w:rPr>
                <w:rFonts w:hint="eastAsia"/>
                <w:color w:val="auto"/>
                <w:kern w:val="0"/>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生产废水处理</w:t>
            </w:r>
            <w:r>
              <w:rPr>
                <w:rFonts w:hint="eastAsia" w:eastAsia="宋体" w:cs="Times New Roman"/>
                <w:b w:val="0"/>
                <w:bCs w:val="0"/>
                <w:color w:val="auto"/>
                <w:sz w:val="21"/>
                <w:szCs w:val="21"/>
                <w:highlight w:val="none"/>
                <w:lang w:val="en-US" w:eastAsia="zh-CN"/>
              </w:rPr>
              <w:t>设施</w:t>
            </w:r>
            <w:r>
              <w:rPr>
                <w:rFonts w:hint="eastAsia" w:ascii="Times New Roman" w:hAnsi="Times New Roman" w:eastAsia="宋体" w:cs="Times New Roman"/>
                <w:b w:val="0"/>
                <w:bCs w:val="0"/>
                <w:color w:val="auto"/>
                <w:sz w:val="21"/>
                <w:szCs w:val="21"/>
                <w:highlight w:val="none"/>
                <w:lang w:val="en-US" w:eastAsia="zh-CN"/>
              </w:rPr>
              <w:t>出口</w:t>
            </w:r>
          </w:p>
        </w:tc>
        <w:tc>
          <w:tcPr>
            <w:tcW w:w="990" w:type="dxa"/>
            <w:vAlign w:val="center"/>
          </w:tcPr>
          <w:p w14:paraId="49303F85">
            <w:pPr>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pH、</w:t>
            </w:r>
            <w:r>
              <w:rPr>
                <w:rFonts w:hint="default" w:ascii="Times New Roman" w:hAnsi="Times New Roman" w:eastAsia="宋体" w:cs="Times New Roman"/>
                <w:b w:val="0"/>
                <w:bCs/>
                <w:color w:val="auto"/>
                <w:spacing w:val="-10"/>
                <w:sz w:val="21"/>
                <w:szCs w:val="21"/>
                <w:highlight w:val="none"/>
                <w:vertAlign w:val="baseline"/>
                <w:lang w:val="en-US" w:eastAsia="zh-CN"/>
              </w:rPr>
              <w:t>COD、SS、</w:t>
            </w:r>
            <w:r>
              <w:rPr>
                <w:rFonts w:hint="eastAsia" w:ascii="Times New Roman" w:hAnsi="Times New Roman" w:eastAsia="宋体" w:cs="Times New Roman"/>
                <w:i w:val="0"/>
                <w:iCs w:val="0"/>
                <w:color w:val="auto"/>
                <w:kern w:val="0"/>
                <w:sz w:val="21"/>
                <w:szCs w:val="21"/>
                <w:highlight w:val="none"/>
                <w:u w:val="none"/>
                <w:lang w:val="en-US" w:eastAsia="zh-CN" w:bidi="ar"/>
              </w:rPr>
              <w:t>氟化物</w:t>
            </w:r>
            <w:r>
              <w:rPr>
                <w:rFonts w:hint="eastAsia" w:ascii="Times New Roman" w:hAnsi="Times New Roman" w:eastAsia="宋体" w:cs="Times New Roman"/>
                <w:color w:val="auto"/>
                <w:sz w:val="21"/>
                <w:szCs w:val="21"/>
                <w:highlight w:val="none"/>
                <w:lang w:val="en-US" w:eastAsia="zh-CN"/>
              </w:rPr>
              <w:t>（以F</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r>
              <w:rPr>
                <w:rFonts w:hint="eastAsia"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氯化物（以Cl</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c>
          <w:tcPr>
            <w:tcW w:w="2868" w:type="dxa"/>
            <w:vAlign w:val="center"/>
          </w:tcPr>
          <w:p w14:paraId="391D26B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生产过程产生的弱酸清洗废液、预水洗废水、二次清洗废水、碱液喷淋洗涤废水经收集后统一进入调节池、生产废水处理设施处理</w:t>
            </w:r>
            <w:r>
              <w:rPr>
                <w:rFonts w:hint="eastAsia" w:cs="Times New Roman"/>
                <w:b w:val="0"/>
                <w:bCs w:val="0"/>
                <w:color w:val="auto"/>
                <w:sz w:val="21"/>
                <w:szCs w:val="21"/>
                <w:highlight w:val="none"/>
                <w:lang w:val="en-US" w:eastAsia="zh-CN"/>
              </w:rPr>
              <w:t>达到</w:t>
            </w:r>
            <w:r>
              <w:rPr>
                <w:rFonts w:hint="default" w:ascii="Times New Roman" w:hAnsi="Times New Roman" w:eastAsia="宋体" w:cs="Times New Roman"/>
                <w:b w:val="0"/>
                <w:bCs w:val="0"/>
                <w:color w:val="auto"/>
                <w:sz w:val="21"/>
                <w:szCs w:val="21"/>
                <w:highlight w:val="none"/>
                <w:lang w:val="en-US" w:eastAsia="zh-CN"/>
              </w:rPr>
              <w:t>《城市污水再生利用 工业用水水质》（GB/T 19923-2005）中的洗涤用水标准后回用于水洗补水，不外排</w:t>
            </w:r>
          </w:p>
        </w:tc>
        <w:tc>
          <w:tcPr>
            <w:tcW w:w="2292" w:type="dxa"/>
            <w:vAlign w:val="center"/>
          </w:tcPr>
          <w:p w14:paraId="69624D39">
            <w:pPr>
              <w:adjustRightInd w:val="0"/>
              <w:snapToGrid w:val="0"/>
              <w:jc w:val="center"/>
              <w:rPr>
                <w:rFonts w:hint="eastAsia" w:ascii="Times New Roman" w:hAnsi="Times New Roman" w:eastAsia="宋体" w:cs="宋体"/>
                <w:color w:val="auto"/>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《城市污水再生利用 工业用水水质》（GB/T 19923-2005）中的洗涤用水标准</w:t>
            </w:r>
          </w:p>
        </w:tc>
      </w:tr>
      <w:tr w14:paraId="4EFC8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4" w:type="dxa"/>
            <w:vAlign w:val="center"/>
          </w:tcPr>
          <w:p w14:paraId="1669659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606" w:type="dxa"/>
            <w:vAlign w:val="center"/>
          </w:tcPr>
          <w:p w14:paraId="734F1D42">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生产设备噪声</w:t>
            </w:r>
          </w:p>
        </w:tc>
        <w:tc>
          <w:tcPr>
            <w:tcW w:w="990" w:type="dxa"/>
            <w:vAlign w:val="center"/>
          </w:tcPr>
          <w:p w14:paraId="26A2126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868" w:type="dxa"/>
            <w:vAlign w:val="center"/>
          </w:tcPr>
          <w:p w14:paraId="691ECB5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highlight w:val="none"/>
              </w:rPr>
              <w:t>优先选用先进低噪声设备；主要产噪设备安装减震垫；加强设备管理与维护等措施</w:t>
            </w:r>
          </w:p>
        </w:tc>
        <w:tc>
          <w:tcPr>
            <w:tcW w:w="2292" w:type="dxa"/>
            <w:vAlign w:val="center"/>
          </w:tcPr>
          <w:p w14:paraId="31EEC6E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《工业企业厂界环境噪声排放标准》（GB12348-2008）中的</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类</w:t>
            </w:r>
            <w:r>
              <w:rPr>
                <w:rFonts w:hint="eastAsia" w:ascii="Times New Roman" w:hAnsi="Times New Roman" w:eastAsia="宋体" w:cs="Times New Roman"/>
                <w:color w:val="auto"/>
                <w:szCs w:val="21"/>
                <w:highlight w:val="none"/>
                <w:lang w:eastAsia="zh-CN"/>
              </w:rPr>
              <w:t>标准</w:t>
            </w:r>
          </w:p>
        </w:tc>
      </w:tr>
      <w:tr w14:paraId="1E786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4" w:type="dxa"/>
            <w:vAlign w:val="center"/>
          </w:tcPr>
          <w:p w14:paraId="47AE189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606" w:type="dxa"/>
            <w:vAlign w:val="center"/>
          </w:tcPr>
          <w:p w14:paraId="65DFBED1">
            <w:pPr>
              <w:adjustRightInd w:val="0"/>
              <w:snapToGrid w:val="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990" w:type="dxa"/>
            <w:vAlign w:val="center"/>
          </w:tcPr>
          <w:p w14:paraId="5BFA4D31">
            <w:pPr>
              <w:adjustRightInd w:val="0"/>
              <w:snapToGrid w:val="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2868" w:type="dxa"/>
            <w:vAlign w:val="center"/>
          </w:tcPr>
          <w:p w14:paraId="6AA66DFE">
            <w:pPr>
              <w:adjustRightInd w:val="0"/>
              <w:snapToGrid w:val="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2292" w:type="dxa"/>
            <w:vAlign w:val="center"/>
          </w:tcPr>
          <w:p w14:paraId="1411FDB7">
            <w:pPr>
              <w:adjustRightInd w:val="0"/>
              <w:snapToGrid w:val="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r>
      <w:tr w14:paraId="1661F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44" w:type="dxa"/>
            <w:vAlign w:val="center"/>
          </w:tcPr>
          <w:p w14:paraId="21EBE143">
            <w:pPr>
              <w:adjustRightInd w:val="0"/>
              <w:snapToGrid w:val="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固体废物</w:t>
            </w:r>
          </w:p>
        </w:tc>
        <w:tc>
          <w:tcPr>
            <w:tcW w:w="7756" w:type="dxa"/>
            <w:gridSpan w:val="4"/>
            <w:vAlign w:val="center"/>
          </w:tcPr>
          <w:p w14:paraId="27CFCC48">
            <w:pPr>
              <w:adjustRightInd w:val="0"/>
              <w:snapToGrid w:val="0"/>
              <w:jc w:val="center"/>
              <w:rPr>
                <w:rFonts w:hint="default"/>
                <w:color w:val="auto"/>
                <w:highlight w:val="none"/>
                <w:lang w:val="en-US" w:eastAsia="zh-CN"/>
              </w:rPr>
            </w:pPr>
            <w:r>
              <w:rPr>
                <w:rFonts w:hint="eastAsia"/>
                <w:color w:val="auto"/>
                <w:highlight w:val="none"/>
                <w:lang w:val="en-US" w:eastAsia="zh-CN"/>
              </w:rPr>
              <w:t>项目产生的废包装材料、废原辅料包装袋收集后暂存于一般固废暂存处，定期外售废品收购站；废弃玻璃和边角料、不合格品收集后暂存于一般固废暂存处，后定期出售给废玻璃回收商；磨边废水沉淀池沉渣（玻璃碎屑）定期打捞，经碎玻璃收集箱收集后暂存于一般固废暂存处，后定期外售废品收购站。生活垃圾集中收集于垃圾桶内，委托环卫部门清运处置；食堂泔水、隔油池废油脂统一收集后委托有资质的单位清运、处置；化粪池污泥、生活污水处理站污泥委托环卫部门定期进行清掏、清运、处置。废机油、生产废水处理站污泥分类收集暂存于危险废物暂存间，定期委托有资质的单位清运处置；</w:t>
            </w:r>
            <w:r>
              <w:rPr>
                <w:rFonts w:hint="eastAsia" w:cs="Times New Roman"/>
                <w:color w:val="auto"/>
                <w:sz w:val="21"/>
                <w:szCs w:val="21"/>
                <w:highlight w:val="none"/>
                <w:lang w:val="en-US" w:eastAsia="zh-CN"/>
              </w:rPr>
              <w:t>空硫酸桶、空盐酸桶、空防火液桶分类收集暂存于危险废物暂存间，由原料厂家定期回收。</w:t>
            </w:r>
          </w:p>
        </w:tc>
      </w:tr>
      <w:tr w14:paraId="0AEEF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4" w:type="dxa"/>
            <w:vAlign w:val="center"/>
          </w:tcPr>
          <w:p w14:paraId="3F46030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756" w:type="dxa"/>
            <w:gridSpan w:val="4"/>
            <w:vAlign w:val="center"/>
          </w:tcPr>
          <w:p w14:paraId="1104E964">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分区防渗：</w:t>
            </w:r>
            <w:r>
              <w:rPr>
                <w:rFonts w:hint="default"/>
                <w:color w:val="auto"/>
                <w:sz w:val="21"/>
                <w:szCs w:val="21"/>
                <w:highlight w:val="none"/>
                <w:lang w:val="en-US" w:eastAsia="zh-CN"/>
              </w:rPr>
              <w:t>危化品库、危废暂存间、</w:t>
            </w:r>
            <w:r>
              <w:rPr>
                <w:rFonts w:hint="eastAsia"/>
                <w:color w:val="auto"/>
                <w:sz w:val="21"/>
                <w:szCs w:val="21"/>
                <w:highlight w:val="none"/>
                <w:lang w:val="en-US" w:eastAsia="zh-CN"/>
              </w:rPr>
              <w:t>调节池、事故应急</w:t>
            </w:r>
            <w:r>
              <w:rPr>
                <w:rFonts w:hint="default"/>
                <w:color w:val="auto"/>
                <w:sz w:val="21"/>
                <w:szCs w:val="21"/>
                <w:highlight w:val="none"/>
                <w:lang w:val="en-US" w:eastAsia="zh-CN"/>
              </w:rPr>
              <w:t>池池体</w:t>
            </w:r>
            <w:r>
              <w:rPr>
                <w:rFonts w:hint="eastAsia"/>
                <w:color w:val="auto"/>
                <w:sz w:val="21"/>
                <w:szCs w:val="21"/>
                <w:highlight w:val="none"/>
                <w:lang w:val="en-US" w:eastAsia="zh-CN"/>
              </w:rPr>
              <w:t>，</w:t>
            </w:r>
            <w:r>
              <w:rPr>
                <w:rFonts w:hint="default"/>
                <w:color w:val="auto"/>
                <w:sz w:val="21"/>
                <w:szCs w:val="21"/>
                <w:highlight w:val="none"/>
                <w:lang w:val="en-US" w:eastAsia="zh-CN"/>
              </w:rPr>
              <w:t>采用“抗渗混凝土+2mm厚HDPE膜+环氧树脂涂料”进行重点防渗，渗透系数≤10</w:t>
            </w:r>
            <w:r>
              <w:rPr>
                <w:rFonts w:hint="default"/>
                <w:color w:val="auto"/>
                <w:sz w:val="21"/>
                <w:szCs w:val="21"/>
                <w:highlight w:val="none"/>
                <w:vertAlign w:val="superscript"/>
                <w:lang w:val="en-US" w:eastAsia="zh-CN"/>
              </w:rPr>
              <w:t>-10</w:t>
            </w:r>
            <w:r>
              <w:rPr>
                <w:rFonts w:hint="default"/>
                <w:color w:val="auto"/>
                <w:sz w:val="21"/>
                <w:szCs w:val="21"/>
                <w:highlight w:val="none"/>
                <w:lang w:val="en-US" w:eastAsia="zh-CN"/>
              </w:rPr>
              <w:t>cm/s；</w:t>
            </w:r>
          </w:p>
          <w:p w14:paraId="2AA5E34D">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隔油池、化粪池、污水处理站、生产加工区、其他原辅料储存区采用“抗渗混凝土+1.5mm厚HDPE+环氧树脂涂料”进行一般防渗，渗透系数≤10</w:t>
            </w:r>
            <w:r>
              <w:rPr>
                <w:rFonts w:hint="default"/>
                <w:color w:val="auto"/>
                <w:sz w:val="21"/>
                <w:szCs w:val="21"/>
                <w:highlight w:val="none"/>
                <w:vertAlign w:val="superscript"/>
                <w:lang w:val="en-US" w:eastAsia="zh-CN"/>
              </w:rPr>
              <w:t>-7</w:t>
            </w:r>
            <w:r>
              <w:rPr>
                <w:rFonts w:hint="default"/>
                <w:color w:val="auto"/>
                <w:sz w:val="21"/>
                <w:szCs w:val="21"/>
                <w:highlight w:val="none"/>
                <w:lang w:val="en-US" w:eastAsia="zh-CN"/>
              </w:rPr>
              <w:t>cm/s；</w:t>
            </w:r>
          </w:p>
          <w:p w14:paraId="2F7D238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color w:val="auto"/>
                <w:sz w:val="21"/>
                <w:szCs w:val="21"/>
                <w:highlight w:val="none"/>
                <w:lang w:val="en-US" w:eastAsia="zh-CN"/>
              </w:rPr>
              <w:t>其余生产区、道路及办公区域（除绿化外）进行简单防渗处理，地面进行硬化。</w:t>
            </w:r>
          </w:p>
        </w:tc>
      </w:tr>
      <w:tr w14:paraId="0EB4F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44" w:type="dxa"/>
            <w:vAlign w:val="center"/>
          </w:tcPr>
          <w:p w14:paraId="0CBD756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756" w:type="dxa"/>
            <w:gridSpan w:val="4"/>
            <w:vAlign w:val="center"/>
          </w:tcPr>
          <w:p w14:paraId="5ADB580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8723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044" w:type="dxa"/>
            <w:vAlign w:val="center"/>
          </w:tcPr>
          <w:p w14:paraId="46AD502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7756" w:type="dxa"/>
            <w:gridSpan w:val="4"/>
            <w:vAlign w:val="center"/>
          </w:tcPr>
          <w:p w14:paraId="14BFAA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1）危化品泄漏防范措施</w:t>
            </w:r>
          </w:p>
          <w:p w14:paraId="445C78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①严格按《危险化学品安全管理条例》的要求，加强对危化品的管理；制定危化品安全操作规程，要求操作人员严格按操作规程作业；对从事危化品作业人员 定期进行安全培训教育；经常性对危化品作业场所进行安全检查。</w:t>
            </w:r>
          </w:p>
          <w:p w14:paraId="5D4289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②仓库及库区应符合储存危化品的相关条件（如防晒、防潮、通风、防雷、 防静电等） ，实施危化品的储存和使用；在仓库、库区设置明显的防火等级标志，通道、出入口和通向消防设施的道路保持畅通。同时，危化品储存场所应严格按照规定管道、设备材质、阀门及配件，加强现场管理，消除跑、冒、滴、漏；建立健全安全规程及值勤制度，设置通讯、报警装置，确保其处于完好状态；对使用危化品的名称、数量进行严格登记；凡储存、使用危化品的岗位，都应配置合格的防毒器材、消防器材，并确保其处于完好状态；所有进入储存、使用危险化学品的人员，都必须严格遵守《危险化学品管理制度》。</w:t>
            </w:r>
          </w:p>
          <w:p w14:paraId="43CF92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③危化品存放区必须设置于阴凉、通风的库房，库房必须防渗、防漏、防雨。</w:t>
            </w:r>
          </w:p>
          <w:p w14:paraId="141F2B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④危化品存放区设置一个备用容器，当泄漏事故发生时，收集至备用容器内暂存。</w:t>
            </w:r>
          </w:p>
          <w:p w14:paraId="5427F9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⑤危化品存放区应配备吸附剂等材料，防止发生事故时能对事故进行应急处 理。</w:t>
            </w:r>
          </w:p>
          <w:p w14:paraId="76DCB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2）火灾防范措施</w:t>
            </w:r>
          </w:p>
          <w:p w14:paraId="4E08E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①科学配备灭火器材等消防设备。</w:t>
            </w:r>
          </w:p>
          <w:p w14:paraId="1B92D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②严禁动用明火、各种电热器和能引起电火花的电气设备， 室外门上应挂“严禁烟火”的警告牌，定期检查完好性。</w:t>
            </w:r>
          </w:p>
          <w:p w14:paraId="5228D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③加强设备电线及接头的检修及维护，防止因线路老化、接触不良等原因造 成火灾事故。</w:t>
            </w:r>
          </w:p>
          <w:p w14:paraId="58B426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3）地表水、地下水环境风险防范措施</w:t>
            </w:r>
          </w:p>
          <w:p w14:paraId="578C8EBB">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fldChar w:fldCharType="begin"/>
            </w:r>
            <w:r>
              <w:rPr>
                <w:rFonts w:hint="default"/>
                <w:color w:val="auto"/>
                <w:sz w:val="21"/>
                <w:szCs w:val="21"/>
                <w:highlight w:val="none"/>
                <w:lang w:val="en-US" w:eastAsia="zh-CN"/>
              </w:rPr>
              <w:instrText xml:space="preserve"> = 1 \* GB3 \* MERGEFORMAT </w:instrText>
            </w:r>
            <w:r>
              <w:rPr>
                <w:rFonts w:hint="default"/>
                <w:color w:val="auto"/>
                <w:sz w:val="21"/>
                <w:szCs w:val="21"/>
                <w:highlight w:val="none"/>
                <w:lang w:val="en-US" w:eastAsia="zh-CN"/>
              </w:rPr>
              <w:fldChar w:fldCharType="separate"/>
            </w:r>
            <w:r>
              <w:rPr>
                <w:rFonts w:hint="default"/>
                <w:color w:val="auto"/>
                <w:sz w:val="21"/>
                <w:szCs w:val="21"/>
                <w:highlight w:val="none"/>
                <w:lang w:val="en-US" w:eastAsia="zh-CN"/>
              </w:rPr>
              <w:t>①</w:t>
            </w:r>
            <w:r>
              <w:rPr>
                <w:rFonts w:hint="default"/>
                <w:color w:val="auto"/>
                <w:sz w:val="21"/>
                <w:szCs w:val="21"/>
                <w:highlight w:val="none"/>
                <w:lang w:val="en-US" w:eastAsia="zh-CN"/>
              </w:rPr>
              <w:fldChar w:fldCharType="end"/>
            </w:r>
            <w:r>
              <w:rPr>
                <w:rFonts w:hint="default"/>
                <w:color w:val="auto"/>
                <w:sz w:val="21"/>
                <w:szCs w:val="21"/>
                <w:highlight w:val="none"/>
                <w:lang w:val="en-US" w:eastAsia="zh-CN"/>
              </w:rPr>
              <w:t>项目区分区防渗，危化品库、危废暂存间、</w:t>
            </w:r>
            <w:r>
              <w:rPr>
                <w:rFonts w:hint="eastAsia"/>
                <w:color w:val="auto"/>
                <w:sz w:val="21"/>
                <w:szCs w:val="21"/>
                <w:highlight w:val="none"/>
                <w:lang w:val="en-US" w:eastAsia="zh-CN"/>
              </w:rPr>
              <w:t>调节池、事故应急</w:t>
            </w:r>
            <w:r>
              <w:rPr>
                <w:rFonts w:hint="default"/>
                <w:color w:val="auto"/>
                <w:sz w:val="21"/>
                <w:szCs w:val="21"/>
                <w:highlight w:val="none"/>
                <w:lang w:val="en-US" w:eastAsia="zh-CN"/>
              </w:rPr>
              <w:t>池池体，采用“抗渗混凝土+2mm厚HDPE膜+环氧树脂涂料”进行重点防渗，渗透系数≤10</w:t>
            </w:r>
            <w:r>
              <w:rPr>
                <w:rFonts w:hint="default"/>
                <w:color w:val="auto"/>
                <w:sz w:val="21"/>
                <w:szCs w:val="21"/>
                <w:highlight w:val="none"/>
                <w:vertAlign w:val="superscript"/>
                <w:lang w:val="en-US" w:eastAsia="zh-CN"/>
              </w:rPr>
              <w:t>-10</w:t>
            </w:r>
            <w:r>
              <w:rPr>
                <w:rFonts w:hint="default"/>
                <w:color w:val="auto"/>
                <w:sz w:val="21"/>
                <w:szCs w:val="21"/>
                <w:highlight w:val="none"/>
                <w:lang w:val="en-US" w:eastAsia="zh-CN"/>
              </w:rPr>
              <w:t>cm/s；隔油池、化粪池、污水处理站、生产加工区、其他原辅料储存区采用“抗渗混凝土+1.5mm厚HDPE+环氧树脂涂料”进行一般防渗，渗透系数≤10</w:t>
            </w:r>
            <w:r>
              <w:rPr>
                <w:rFonts w:hint="default"/>
                <w:color w:val="auto"/>
                <w:sz w:val="21"/>
                <w:szCs w:val="21"/>
                <w:highlight w:val="none"/>
                <w:vertAlign w:val="superscript"/>
                <w:lang w:val="en-US" w:eastAsia="zh-CN"/>
              </w:rPr>
              <w:t>-7</w:t>
            </w:r>
            <w:r>
              <w:rPr>
                <w:rFonts w:hint="default"/>
                <w:color w:val="auto"/>
                <w:sz w:val="21"/>
                <w:szCs w:val="21"/>
                <w:highlight w:val="none"/>
                <w:lang w:val="en-US" w:eastAsia="zh-CN"/>
              </w:rPr>
              <w:t>cm/s；其余生产区、道路及办公区域（除绿化外）进行简单防渗处理，地面进行硬化。</w:t>
            </w:r>
          </w:p>
          <w:p w14:paraId="14EECE27">
            <w:pPr>
              <w:keepNext w:val="0"/>
              <w:keepLines w:val="0"/>
              <w:suppressLineNumbers w:val="0"/>
              <w:spacing w:before="0" w:beforeAutospacing="0" w:after="0" w:afterAutospacing="0"/>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fldChar w:fldCharType="begin"/>
            </w:r>
            <w:r>
              <w:rPr>
                <w:rFonts w:hint="default"/>
                <w:color w:val="auto"/>
                <w:sz w:val="21"/>
                <w:szCs w:val="21"/>
                <w:highlight w:val="none"/>
                <w:lang w:val="en-US" w:eastAsia="zh-CN"/>
              </w:rPr>
              <w:instrText xml:space="preserve"> = 2 \* GB3 \* MERGEFORMAT </w:instrText>
            </w:r>
            <w:r>
              <w:rPr>
                <w:rFonts w:hint="default"/>
                <w:color w:val="auto"/>
                <w:sz w:val="21"/>
                <w:szCs w:val="21"/>
                <w:highlight w:val="none"/>
                <w:lang w:val="en-US" w:eastAsia="zh-CN"/>
              </w:rPr>
              <w:fldChar w:fldCharType="separate"/>
            </w:r>
            <w:r>
              <w:rPr>
                <w:rFonts w:hint="default"/>
                <w:color w:val="auto"/>
                <w:sz w:val="21"/>
                <w:szCs w:val="21"/>
                <w:highlight w:val="none"/>
                <w:lang w:val="en-US" w:eastAsia="zh-CN"/>
              </w:rPr>
              <w:t>②</w:t>
            </w:r>
            <w:r>
              <w:rPr>
                <w:rFonts w:hint="default"/>
                <w:color w:val="auto"/>
                <w:sz w:val="21"/>
                <w:szCs w:val="21"/>
                <w:highlight w:val="none"/>
                <w:lang w:val="en-US" w:eastAsia="zh-CN"/>
              </w:rPr>
              <w:fldChar w:fldCharType="end"/>
            </w:r>
            <w:r>
              <w:rPr>
                <w:rFonts w:hint="default"/>
                <w:color w:val="auto"/>
                <w:sz w:val="21"/>
                <w:szCs w:val="21"/>
                <w:highlight w:val="none"/>
                <w:lang w:val="en-US" w:eastAsia="zh-CN"/>
              </w:rPr>
              <w:t>危险废物暂存间严格按照《危险废物贮存污染控制标准》（GB 18597-2023）中的相关要求设置，地面和四周墙裙脚采用“抗渗混凝土+2mm厚HDPE膜+环氧树脂涂料”进行重点防渗，渗透系数≤10</w:t>
            </w:r>
            <w:r>
              <w:rPr>
                <w:rFonts w:hint="default"/>
                <w:color w:val="auto"/>
                <w:sz w:val="21"/>
                <w:szCs w:val="21"/>
                <w:highlight w:val="none"/>
                <w:vertAlign w:val="superscript"/>
                <w:lang w:val="en-US" w:eastAsia="zh-CN"/>
              </w:rPr>
              <w:t>-10</w:t>
            </w:r>
            <w:r>
              <w:rPr>
                <w:rFonts w:hint="default"/>
                <w:color w:val="auto"/>
                <w:sz w:val="21"/>
                <w:szCs w:val="21"/>
                <w:highlight w:val="none"/>
                <w:lang w:val="en-US" w:eastAsia="zh-CN"/>
              </w:rPr>
              <w:t>cm/s，做好防雨、防渗，防止二次污染，各危险废物根据处理单位要求进行分类收集。</w:t>
            </w:r>
          </w:p>
          <w:p w14:paraId="269357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4）大气风险防范措施</w:t>
            </w:r>
          </w:p>
          <w:p w14:paraId="138FB6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①加强对危化品库和危废暂存间的巡查，及时发现泄漏破损，及时采取措施。</w:t>
            </w:r>
          </w:p>
          <w:p w14:paraId="711CD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②加强设备电线及接头的检修及维护，防止因线路老化、接触不良等原因造成火灾事故。</w:t>
            </w:r>
          </w:p>
          <w:p w14:paraId="07100301">
            <w:pPr>
              <w:keepNext w:val="0"/>
              <w:keepLines w:val="0"/>
              <w:suppressLineNumbers w:val="0"/>
              <w:spacing w:before="0" w:beforeAutospacing="0" w:after="0" w:afterAutospacing="0"/>
              <w:ind w:left="0" w:right="0"/>
              <w:jc w:val="both"/>
              <w:rPr>
                <w:rFonts w:hint="default"/>
                <w:color w:val="auto"/>
                <w:highlight w:val="none"/>
                <w:lang w:val="en-US" w:eastAsia="zh-CN"/>
              </w:rPr>
            </w:pPr>
            <w:r>
              <w:rPr>
                <w:rFonts w:hint="default"/>
                <w:color w:val="auto"/>
                <w:sz w:val="21"/>
                <w:szCs w:val="21"/>
                <w:highlight w:val="none"/>
                <w:lang w:val="en-US" w:eastAsia="zh-CN"/>
              </w:rPr>
              <w:t>③</w:t>
            </w:r>
            <w:r>
              <w:rPr>
                <w:rFonts w:hint="default"/>
                <w:color w:val="auto"/>
                <w:sz w:val="21"/>
                <w:szCs w:val="21"/>
                <w:highlight w:val="none"/>
              </w:rPr>
              <w:t>加强</w:t>
            </w:r>
            <w:r>
              <w:rPr>
                <w:rFonts w:hint="default"/>
                <w:color w:val="auto"/>
                <w:sz w:val="21"/>
                <w:szCs w:val="21"/>
                <w:highlight w:val="none"/>
                <w:lang w:eastAsia="zh-CN"/>
              </w:rPr>
              <w:t>对废气治理设施的</w:t>
            </w:r>
            <w:r>
              <w:rPr>
                <w:rFonts w:hint="default"/>
                <w:color w:val="auto"/>
                <w:sz w:val="21"/>
                <w:szCs w:val="21"/>
                <w:highlight w:val="none"/>
              </w:rPr>
              <w:t>管理，明确岗位责任制，定期检查、维修、保养设备及构件，确保设备的正常运转。</w:t>
            </w:r>
          </w:p>
          <w:p w14:paraId="2AB95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5）其他措施</w:t>
            </w:r>
          </w:p>
          <w:p w14:paraId="1A9271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严格规范员工操作，做好防护措施，加强职工的安全教育，提高安全素质，严格执行作业规程，严禁无证上岗，严禁违章作业，防止因失误操作造成环境风险事故的发生；</w:t>
            </w:r>
          </w:p>
          <w:p w14:paraId="75662A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为保证企业及人民生命财产的安全，防止突发性重大化学事故发生，并在发生事故时，能迅速有序地开展救援工作，尽最大努力减少事故的危害和损失，项目应编制相关的应急预案并配备相应的消防物资。</w:t>
            </w:r>
          </w:p>
          <w:p w14:paraId="1CCB6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③本项目应按照《突发环境事件应急预案管理暂行办法(环发[2010]113号)》和《企业事业单位突发环境事件应急预案备案管理办法（试行）》（环发[2015]4 号）的相关要求</w:t>
            </w:r>
            <w:r>
              <w:rPr>
                <w:rFonts w:hint="default"/>
                <w:color w:val="auto"/>
                <w:sz w:val="21"/>
                <w:szCs w:val="21"/>
                <w:highlight w:val="none"/>
                <w:lang w:val="en-US" w:eastAsia="zh-CN"/>
              </w:rPr>
              <w:t>修编</w:t>
            </w:r>
            <w:r>
              <w:rPr>
                <w:rFonts w:hint="default" w:ascii="Times New Roman" w:hAnsi="Times New Roman" w:eastAsia="宋体" w:cs="Times New Roman"/>
                <w:color w:val="auto"/>
                <w:sz w:val="21"/>
                <w:szCs w:val="21"/>
                <w:highlight w:val="none"/>
                <w:lang w:val="en-US" w:eastAsia="zh-CN"/>
              </w:rPr>
              <w:t>应急预案，并报昆明市生态环境局寻甸分局备案，并定期开展应急演练。</w:t>
            </w:r>
          </w:p>
        </w:tc>
      </w:tr>
      <w:tr w14:paraId="08C16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44" w:type="dxa"/>
            <w:vAlign w:val="center"/>
          </w:tcPr>
          <w:p w14:paraId="6C108F8C">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14:paraId="33EAE24C">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756" w:type="dxa"/>
            <w:gridSpan w:val="4"/>
            <w:vAlign w:val="center"/>
          </w:tcPr>
          <w:p w14:paraId="4EBF3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1、环境管理计划</w:t>
            </w:r>
          </w:p>
          <w:p w14:paraId="41D46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1）根据国家环保政策、标准及环境监测要求，制定该项目运行期环境管理规章制度、各种污染物排放指标。</w:t>
            </w:r>
          </w:p>
          <w:p w14:paraId="675110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2）项目建成投产前建设单位应自行组织项目竣工环境保护验收工作，检查环保设施是否达到“三同时”要求。</w:t>
            </w:r>
          </w:p>
          <w:p w14:paraId="6C9202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3）加强环保设施的管理，定期检查厂内环保设施运行情况。及时排除故障，保证环保设施正常运转。</w:t>
            </w:r>
          </w:p>
          <w:p w14:paraId="389ADD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4）危险废物的收集管理应由专人负责，分类收集。</w:t>
            </w:r>
          </w:p>
          <w:p w14:paraId="19F4D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5）运用经济、教育、行政、法律及其它手段，加强项目区内人员的环保意识，加强环境保护的自觉性，不断提高环境管理水平。</w:t>
            </w:r>
          </w:p>
          <w:p w14:paraId="0F5D40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6）配合当地环保监测机构，实施环境监测计划。</w:t>
            </w:r>
          </w:p>
          <w:p w14:paraId="08232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2、排污许可证</w:t>
            </w:r>
          </w:p>
          <w:p w14:paraId="700EE4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项目国民经济行业类别为“</w:t>
            </w:r>
            <w:r>
              <w:rPr>
                <w:rFonts w:hint="default" w:ascii="Times New Roman" w:hAnsi="Times New Roman" w:eastAsia="宋体" w:cs="Times New Roman"/>
                <w:color w:val="auto"/>
                <w:sz w:val="21"/>
                <w:szCs w:val="21"/>
                <w:highlight w:val="none"/>
                <w:lang w:val="en-US" w:eastAsia="zh-CN"/>
              </w:rPr>
              <w:t>特种玻璃制造(C3042)</w:t>
            </w:r>
            <w:r>
              <w:rPr>
                <w:rFonts w:hint="default" w:ascii="Times New Roman" w:hAnsi="Times New Roman" w:eastAsia="宋体" w:cs="Times New Roman"/>
                <w:color w:val="auto"/>
                <w:sz w:val="21"/>
                <w:szCs w:val="21"/>
                <w:highlight w:val="none"/>
              </w:rPr>
              <w:t>”，根据《固定污染源排污许可分类管理名录（2019版）》，项目</w:t>
            </w:r>
            <w:r>
              <w:rPr>
                <w:rFonts w:hint="eastAsia" w:cs="Times New Roman"/>
                <w:color w:val="auto"/>
                <w:sz w:val="21"/>
                <w:szCs w:val="21"/>
                <w:highlight w:val="none"/>
                <w:lang w:val="en-US" w:eastAsia="zh-CN"/>
              </w:rPr>
              <w:t>应进行排污许可简化管理</w:t>
            </w:r>
            <w:r>
              <w:rPr>
                <w:rFonts w:hint="default" w:ascii="Times New Roman" w:hAnsi="Times New Roman" w:eastAsia="宋体" w:cs="Times New Roman"/>
                <w:color w:val="auto"/>
                <w:sz w:val="21"/>
                <w:szCs w:val="21"/>
                <w:highlight w:val="none"/>
              </w:rPr>
              <w:t>。</w:t>
            </w:r>
          </w:p>
          <w:p w14:paraId="47988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3、排污口规范化设置</w:t>
            </w:r>
          </w:p>
          <w:p w14:paraId="63F41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排污口是项目运营期污染物进入环境、污染环境的通道，强化总排口管理是实施污染物总量控制的基础工作之一，也是环境管理逐步实现污染物科学化、定量化的主要手段。</w:t>
            </w:r>
          </w:p>
          <w:p w14:paraId="198D64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项目排放口设置满足以下要求：</w:t>
            </w:r>
          </w:p>
          <w:p w14:paraId="336357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（1）污染物排放口，应按国家《环境保护图形标志排放口（源）》 （GB15562.1-1995）的规定，设置国家环保总局统一制作的环境保护图形标志牌；本项目废气排放口和废水处理设施均应设置相应标志，并进行专人管理。</w:t>
            </w:r>
          </w:p>
          <w:p w14:paraId="5451AFCA">
            <w:pPr>
              <w:adjustRightInd w:val="0"/>
              <w:snapToGrid w:val="0"/>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p>
        </w:tc>
      </w:tr>
    </w:tbl>
    <w:p w14:paraId="137F7ED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5" w:name="_Toc14258"/>
      <w:r>
        <w:rPr>
          <w:rFonts w:hint="default" w:ascii="Times New Roman" w:hAnsi="Times New Roman" w:eastAsia="宋体" w:cs="Times New Roman"/>
          <w:b/>
          <w:bCs/>
          <w:snapToGrid w:val="0"/>
          <w:color w:val="auto"/>
          <w:sz w:val="30"/>
          <w:szCs w:val="30"/>
          <w:highlight w:val="none"/>
        </w:rPr>
        <w:t>六、结论</w:t>
      </w:r>
      <w:bookmarkEnd w:id="35"/>
    </w:p>
    <w:tbl>
      <w:tblPr>
        <w:tblStyle w:val="2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99E5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594FA8F1">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本项目符合国家、地方产业政策以及相关规划，</w:t>
            </w:r>
            <w:r>
              <w:rPr>
                <w:rFonts w:ascii="宋体" w:hAnsi="宋体" w:eastAsia="宋体" w:cs="宋体"/>
                <w:color w:val="auto"/>
                <w:spacing w:val="-1"/>
                <w:sz w:val="24"/>
                <w:szCs w:val="24"/>
                <w:highlight w:val="none"/>
              </w:rPr>
              <w:t>不涉及自然保护区、</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风景名</w:t>
            </w:r>
            <w:r>
              <w:rPr>
                <w:rFonts w:ascii="宋体" w:hAnsi="宋体" w:eastAsia="宋体" w:cs="宋体"/>
                <w:color w:val="auto"/>
                <w:sz w:val="24"/>
                <w:szCs w:val="24"/>
                <w:highlight w:val="none"/>
              </w:rPr>
              <w:t xml:space="preserve">胜区、水源保护区等环境敏感区，与周围居民点、学校、医院等关心点距离 </w:t>
            </w:r>
            <w:r>
              <w:rPr>
                <w:rFonts w:ascii="宋体" w:hAnsi="宋体" w:eastAsia="宋体" w:cs="宋体"/>
                <w:color w:val="auto"/>
                <w:spacing w:val="-8"/>
                <w:sz w:val="24"/>
                <w:szCs w:val="24"/>
                <w:highlight w:val="none"/>
              </w:rPr>
              <w:t>较远，选址合理</w:t>
            </w:r>
            <w:r>
              <w:rPr>
                <w:rFonts w:hint="eastAsia" w:ascii="Times New Roman" w:hAnsi="Times New Roman" w:eastAsia="宋体" w:cs="Times New Roman"/>
                <w:color w:val="auto"/>
                <w:sz w:val="24"/>
                <w:highlight w:val="none"/>
                <w:lang w:val="en-US" w:eastAsia="zh-CN"/>
              </w:rPr>
              <w:t>。在采取环评提出的措施后，项目产生的废气、噪声能达标排放，废水不外排，固废处置率100%，对当地环境质量及主要关心点环境影响很小，符合达标排放、总量控制和不降低当地环境功能的原则要求，符合国家法律法规要求。</w:t>
            </w:r>
          </w:p>
          <w:p w14:paraId="0D466C85">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本项目在严格执行环境保护“三同时”制度，认真落实本报告提出的各项污染防治措施的基础上，该项目能够实现社会效益、经济效益和环境效益的协调发展。从环境保护角度分析，该项目是可行的。</w:t>
            </w:r>
          </w:p>
        </w:tc>
      </w:tr>
    </w:tbl>
    <w:p w14:paraId="669379AF">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719F5DC5">
      <w:pPr>
        <w:pStyle w:val="3"/>
        <w:rPr>
          <w:rFonts w:hint="default"/>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F40B0B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36" w:name="_Toc18326"/>
      <w:r>
        <w:rPr>
          <w:rFonts w:hint="eastAsia" w:ascii="Times New Roman" w:hAnsi="Times New Roman" w:eastAsia="宋体" w:cs="Times New Roman"/>
          <w:b/>
          <w:bCs/>
          <w:snapToGrid w:val="0"/>
          <w:color w:val="auto"/>
          <w:sz w:val="30"/>
          <w:szCs w:val="30"/>
          <w:highlight w:val="none"/>
        </w:rPr>
        <w:t>附表</w:t>
      </w:r>
      <w:bookmarkEnd w:id="36"/>
    </w:p>
    <w:p w14:paraId="23AAE2E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方正小标宋_GBK" w:hAnsi="黑体" w:eastAsia="方正小标宋_GBK"/>
          <w:b/>
          <w:bCs/>
          <w:snapToGrid w:val="0"/>
          <w:color w:val="auto"/>
          <w:sz w:val="24"/>
          <w:szCs w:val="24"/>
          <w:highlight w:val="none"/>
        </w:rPr>
      </w:pPr>
      <w:r>
        <w:rPr>
          <w:rFonts w:hint="eastAsia" w:ascii="方正小标宋_GBK" w:hAnsi="黑体" w:eastAsia="方正小标宋_GBK"/>
          <w:b/>
          <w:bCs/>
          <w:snapToGrid w:val="0"/>
          <w:color w:val="auto"/>
          <w:sz w:val="24"/>
          <w:szCs w:val="24"/>
          <w:highlight w:val="none"/>
        </w:rPr>
        <w:t>建设项目污染物排放量汇总表</w:t>
      </w:r>
    </w:p>
    <w:tbl>
      <w:tblPr>
        <w:tblStyle w:val="25"/>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005"/>
        <w:gridCol w:w="1701"/>
        <w:gridCol w:w="1276"/>
        <w:gridCol w:w="1701"/>
        <w:gridCol w:w="1559"/>
        <w:gridCol w:w="1554"/>
        <w:gridCol w:w="1575"/>
        <w:gridCol w:w="1417"/>
      </w:tblGrid>
      <w:tr w14:paraId="25C3B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tcBorders>
              <w:tl2br w:val="single" w:color="auto" w:sz="4" w:space="0"/>
            </w:tcBorders>
            <w:tcMar>
              <w:left w:w="28" w:type="dxa"/>
              <w:right w:w="28" w:type="dxa"/>
            </w:tcMar>
            <w:vAlign w:val="center"/>
          </w:tcPr>
          <w:p w14:paraId="501350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14:paraId="5906B6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2005" w:type="dxa"/>
            <w:tcMar>
              <w:left w:w="28" w:type="dxa"/>
              <w:right w:w="28" w:type="dxa"/>
            </w:tcMar>
            <w:vAlign w:val="center"/>
          </w:tcPr>
          <w:p w14:paraId="48818A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701" w:type="dxa"/>
            <w:tcMar>
              <w:left w:w="28" w:type="dxa"/>
              <w:right w:w="28" w:type="dxa"/>
            </w:tcMar>
            <w:vAlign w:val="center"/>
          </w:tcPr>
          <w:p w14:paraId="3C6218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276" w:type="dxa"/>
            <w:tcMar>
              <w:left w:w="28" w:type="dxa"/>
              <w:right w:w="28" w:type="dxa"/>
            </w:tcMar>
            <w:vAlign w:val="center"/>
          </w:tcPr>
          <w:p w14:paraId="01A33B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701" w:type="dxa"/>
            <w:tcMar>
              <w:left w:w="28" w:type="dxa"/>
              <w:right w:w="28" w:type="dxa"/>
            </w:tcMar>
            <w:vAlign w:val="center"/>
          </w:tcPr>
          <w:p w14:paraId="57FB18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559" w:type="dxa"/>
            <w:tcMar>
              <w:left w:w="28" w:type="dxa"/>
              <w:right w:w="28" w:type="dxa"/>
            </w:tcMar>
            <w:vAlign w:val="center"/>
          </w:tcPr>
          <w:p w14:paraId="6A2A1E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554" w:type="dxa"/>
            <w:tcMar>
              <w:left w:w="28" w:type="dxa"/>
              <w:right w:w="28" w:type="dxa"/>
            </w:tcMar>
            <w:vAlign w:val="center"/>
          </w:tcPr>
          <w:p w14:paraId="1C41C8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w:t>
            </w:r>
          </w:p>
          <w:p w14:paraId="71CDC7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575" w:type="dxa"/>
            <w:tcMar>
              <w:left w:w="28" w:type="dxa"/>
              <w:right w:w="28" w:type="dxa"/>
            </w:tcMar>
            <w:vAlign w:val="center"/>
          </w:tcPr>
          <w:p w14:paraId="220291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417" w:type="dxa"/>
            <w:tcMar>
              <w:left w:w="28" w:type="dxa"/>
              <w:right w:w="28" w:type="dxa"/>
            </w:tcMar>
            <w:vAlign w:val="center"/>
          </w:tcPr>
          <w:p w14:paraId="5FF5E7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14:paraId="7F77B9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14:paraId="64085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restart"/>
            <w:vAlign w:val="center"/>
          </w:tcPr>
          <w:p w14:paraId="47A85D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2005" w:type="dxa"/>
            <w:vAlign w:val="center"/>
          </w:tcPr>
          <w:p w14:paraId="6A9705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701" w:type="dxa"/>
            <w:vAlign w:val="center"/>
          </w:tcPr>
          <w:p w14:paraId="72E869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vAlign w:val="center"/>
          </w:tcPr>
          <w:p w14:paraId="2B34B7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1" w:type="dxa"/>
            <w:vAlign w:val="center"/>
          </w:tcPr>
          <w:p w14:paraId="7C87A0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36EA15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4" w:type="dxa"/>
            <w:vAlign w:val="center"/>
          </w:tcPr>
          <w:p w14:paraId="3F6045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75" w:type="dxa"/>
            <w:vAlign w:val="center"/>
          </w:tcPr>
          <w:p w14:paraId="4BFC92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17" w:type="dxa"/>
            <w:vAlign w:val="center"/>
          </w:tcPr>
          <w:p w14:paraId="48FFD6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CB82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34AC8E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76E50D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701" w:type="dxa"/>
            <w:vAlign w:val="center"/>
          </w:tcPr>
          <w:p w14:paraId="2F0F7B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vAlign w:val="center"/>
          </w:tcPr>
          <w:p w14:paraId="44ACAF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1" w:type="dxa"/>
            <w:vAlign w:val="center"/>
          </w:tcPr>
          <w:p w14:paraId="6F5AAC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51AD64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4" w:type="dxa"/>
            <w:vAlign w:val="center"/>
          </w:tcPr>
          <w:p w14:paraId="26753F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75" w:type="dxa"/>
            <w:vAlign w:val="center"/>
          </w:tcPr>
          <w:p w14:paraId="1BFE9D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17" w:type="dxa"/>
            <w:vAlign w:val="center"/>
          </w:tcPr>
          <w:p w14:paraId="6E2465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136B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00" w:type="dxa"/>
            <w:vMerge w:val="continue"/>
            <w:vAlign w:val="center"/>
          </w:tcPr>
          <w:p w14:paraId="36453F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39FF83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挥发性有机物</w:t>
            </w:r>
          </w:p>
        </w:tc>
        <w:tc>
          <w:tcPr>
            <w:tcW w:w="1701" w:type="dxa"/>
            <w:vAlign w:val="center"/>
          </w:tcPr>
          <w:p w14:paraId="2791AB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0.036</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4F9BCA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1" w:type="dxa"/>
            <w:vAlign w:val="center"/>
          </w:tcPr>
          <w:p w14:paraId="2AF88B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10B5CA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54" w:type="dxa"/>
            <w:vAlign w:val="center"/>
          </w:tcPr>
          <w:p w14:paraId="5AD5DD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75" w:type="dxa"/>
            <w:vAlign w:val="center"/>
          </w:tcPr>
          <w:p w14:paraId="55387DAE">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0.036</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5A3F0FB8">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r>
      <w:tr w14:paraId="73D07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60FA09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5EE7B6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1701" w:type="dxa"/>
            <w:vAlign w:val="center"/>
          </w:tcPr>
          <w:p w14:paraId="7AFF8C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76" w:type="dxa"/>
            <w:vAlign w:val="center"/>
          </w:tcPr>
          <w:p w14:paraId="43898F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55B5DB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464664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0.027</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3755B1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75" w:type="dxa"/>
            <w:vAlign w:val="center"/>
          </w:tcPr>
          <w:p w14:paraId="7DC2D4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0.027</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124A21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+0.027</w:t>
            </w:r>
            <w:r>
              <w:rPr>
                <w:rFonts w:hint="default" w:ascii="Times New Roman" w:hAnsi="Times New Roman" w:eastAsia="宋体" w:cs="Times New Roman"/>
                <w:color w:val="auto"/>
                <w:sz w:val="21"/>
                <w:szCs w:val="21"/>
                <w:highlight w:val="none"/>
                <w:lang w:val="en-US" w:eastAsia="zh-CN"/>
              </w:rPr>
              <w:t>t/a</w:t>
            </w:r>
          </w:p>
        </w:tc>
      </w:tr>
      <w:tr w14:paraId="38995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477268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7B584D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1701" w:type="dxa"/>
            <w:vAlign w:val="center"/>
          </w:tcPr>
          <w:p w14:paraId="15E821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76" w:type="dxa"/>
            <w:vAlign w:val="center"/>
          </w:tcPr>
          <w:p w14:paraId="7DE84A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36C857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40D4F1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0.00002t</w:t>
            </w:r>
            <w:r>
              <w:rPr>
                <w:rFonts w:hint="default" w:ascii="Times New Roman" w:hAnsi="Times New Roman" w:eastAsia="宋体" w:cs="Times New Roman"/>
                <w:color w:val="auto"/>
                <w:sz w:val="21"/>
                <w:szCs w:val="21"/>
                <w:highlight w:val="none"/>
                <w:lang w:val="en-US" w:eastAsia="zh-CN"/>
              </w:rPr>
              <w:t>/a</w:t>
            </w:r>
          </w:p>
        </w:tc>
        <w:tc>
          <w:tcPr>
            <w:tcW w:w="1554" w:type="dxa"/>
            <w:vAlign w:val="center"/>
          </w:tcPr>
          <w:p w14:paraId="2E1731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12A16F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0.00002t</w:t>
            </w:r>
            <w:r>
              <w:rPr>
                <w:rFonts w:hint="default" w:ascii="Times New Roman" w:hAnsi="Times New Roman" w:eastAsia="宋体" w:cs="Times New Roman"/>
                <w:color w:val="auto"/>
                <w:sz w:val="21"/>
                <w:szCs w:val="21"/>
                <w:highlight w:val="none"/>
                <w:lang w:val="en-US" w:eastAsia="zh-CN"/>
              </w:rPr>
              <w:t>/a</w:t>
            </w:r>
          </w:p>
        </w:tc>
        <w:tc>
          <w:tcPr>
            <w:tcW w:w="1417" w:type="dxa"/>
            <w:vAlign w:val="center"/>
          </w:tcPr>
          <w:p w14:paraId="277F1C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+0.00002t</w:t>
            </w:r>
            <w:r>
              <w:rPr>
                <w:rFonts w:hint="default" w:ascii="Times New Roman" w:hAnsi="Times New Roman" w:eastAsia="宋体" w:cs="Times New Roman"/>
                <w:color w:val="auto"/>
                <w:sz w:val="21"/>
                <w:szCs w:val="21"/>
                <w:highlight w:val="none"/>
                <w:lang w:val="en-US" w:eastAsia="zh-CN"/>
              </w:rPr>
              <w:t>/a</w:t>
            </w:r>
          </w:p>
        </w:tc>
      </w:tr>
      <w:tr w14:paraId="5765A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106DBC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616A23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1701" w:type="dxa"/>
            <w:vAlign w:val="center"/>
          </w:tcPr>
          <w:p w14:paraId="077E14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76" w:type="dxa"/>
            <w:vAlign w:val="center"/>
          </w:tcPr>
          <w:p w14:paraId="7553D4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5D818B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11FD11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0.00584</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1D9881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44EE72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0.00584</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2D45EA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+0.00584</w:t>
            </w:r>
            <w:r>
              <w:rPr>
                <w:rFonts w:hint="default" w:ascii="Times New Roman" w:hAnsi="Times New Roman" w:eastAsia="宋体" w:cs="Times New Roman"/>
                <w:color w:val="auto"/>
                <w:sz w:val="21"/>
                <w:szCs w:val="21"/>
                <w:highlight w:val="none"/>
                <w:lang w:val="en-US" w:eastAsia="zh-CN"/>
              </w:rPr>
              <w:t>t/a</w:t>
            </w:r>
          </w:p>
        </w:tc>
      </w:tr>
      <w:tr w14:paraId="7CC5E5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560A58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3F2D39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氟化物</w:t>
            </w:r>
          </w:p>
        </w:tc>
        <w:tc>
          <w:tcPr>
            <w:tcW w:w="1701" w:type="dxa"/>
            <w:vAlign w:val="center"/>
          </w:tcPr>
          <w:p w14:paraId="04EF36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76" w:type="dxa"/>
            <w:vAlign w:val="center"/>
          </w:tcPr>
          <w:p w14:paraId="00DFFB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5452F6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03DE08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0.1877</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25E365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778091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0.1877</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700A80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+0.1877</w:t>
            </w:r>
            <w:r>
              <w:rPr>
                <w:rFonts w:hint="default" w:ascii="Times New Roman" w:hAnsi="Times New Roman" w:eastAsia="宋体" w:cs="Times New Roman"/>
                <w:color w:val="auto"/>
                <w:sz w:val="21"/>
                <w:szCs w:val="21"/>
                <w:highlight w:val="none"/>
                <w:lang w:val="en-US" w:eastAsia="zh-CN"/>
              </w:rPr>
              <w:t>t/a</w:t>
            </w:r>
          </w:p>
        </w:tc>
      </w:tr>
      <w:tr w14:paraId="32D24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restart"/>
            <w:vAlign w:val="center"/>
          </w:tcPr>
          <w:p w14:paraId="51C6F5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2005" w:type="dxa"/>
            <w:vAlign w:val="center"/>
          </w:tcPr>
          <w:p w14:paraId="2DE97C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701" w:type="dxa"/>
            <w:vAlign w:val="center"/>
          </w:tcPr>
          <w:p w14:paraId="34D7F2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vAlign w:val="center"/>
          </w:tcPr>
          <w:p w14:paraId="3A5541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178549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27CCAE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4" w:type="dxa"/>
            <w:vAlign w:val="center"/>
          </w:tcPr>
          <w:p w14:paraId="056D99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5" w:type="dxa"/>
            <w:vAlign w:val="center"/>
          </w:tcPr>
          <w:p w14:paraId="487203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c>
          <w:tcPr>
            <w:tcW w:w="1417" w:type="dxa"/>
            <w:vAlign w:val="center"/>
          </w:tcPr>
          <w:p w14:paraId="4463C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r>
      <w:tr w14:paraId="32F0C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1E9634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54F4E9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701" w:type="dxa"/>
            <w:vAlign w:val="center"/>
          </w:tcPr>
          <w:p w14:paraId="2DF6E2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76" w:type="dxa"/>
            <w:vAlign w:val="center"/>
          </w:tcPr>
          <w:p w14:paraId="23282F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787AE6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791471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4" w:type="dxa"/>
            <w:vAlign w:val="center"/>
          </w:tcPr>
          <w:p w14:paraId="69934F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5" w:type="dxa"/>
            <w:vAlign w:val="center"/>
          </w:tcPr>
          <w:p w14:paraId="07CD31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c>
          <w:tcPr>
            <w:tcW w:w="1417" w:type="dxa"/>
            <w:vAlign w:val="center"/>
          </w:tcPr>
          <w:p w14:paraId="6D8C5A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r>
      <w:tr w14:paraId="768DF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restart"/>
            <w:vAlign w:val="center"/>
          </w:tcPr>
          <w:p w14:paraId="7CEEF6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p w14:paraId="034F2F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highlight w:val="none"/>
                <w:lang w:val="en-US" w:eastAsia="zh-CN"/>
              </w:rPr>
            </w:pPr>
          </w:p>
          <w:p w14:paraId="13E83CA1">
            <w:pPr>
              <w:pStyle w:val="3"/>
              <w:rPr>
                <w:rFonts w:hint="default"/>
                <w:color w:val="auto"/>
                <w:highlight w:val="none"/>
                <w:lang w:val="en-US" w:eastAsia="zh-CN"/>
              </w:rPr>
            </w:pPr>
          </w:p>
        </w:tc>
        <w:tc>
          <w:tcPr>
            <w:tcW w:w="2005" w:type="dxa"/>
            <w:vAlign w:val="center"/>
          </w:tcPr>
          <w:p w14:paraId="629B9E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玻璃废旧包装材料</w:t>
            </w:r>
          </w:p>
        </w:tc>
        <w:tc>
          <w:tcPr>
            <w:tcW w:w="1701" w:type="dxa"/>
            <w:vAlign w:val="center"/>
          </w:tcPr>
          <w:p w14:paraId="31A09A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0B4DF9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1" w:type="dxa"/>
            <w:vAlign w:val="center"/>
          </w:tcPr>
          <w:p w14:paraId="448DD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73E892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183549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70BDEDA1">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40.5</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44621D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lang w:val="en-US" w:eastAsia="zh-CN"/>
              </w:rPr>
              <w:t>t/a</w:t>
            </w:r>
          </w:p>
        </w:tc>
      </w:tr>
      <w:tr w14:paraId="1F7C5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06E665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107164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废弃玻璃和边角料</w:t>
            </w:r>
          </w:p>
        </w:tc>
        <w:tc>
          <w:tcPr>
            <w:tcW w:w="1701" w:type="dxa"/>
            <w:vAlign w:val="center"/>
          </w:tcPr>
          <w:p w14:paraId="0F13F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312</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335271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1" w:type="dxa"/>
            <w:vAlign w:val="center"/>
          </w:tcPr>
          <w:p w14:paraId="76D9D9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2C68A5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82.69</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53618D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293C94DC">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394.69</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46F390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+82.69</w:t>
            </w:r>
            <w:r>
              <w:rPr>
                <w:rFonts w:hint="default" w:ascii="Times New Roman" w:hAnsi="Times New Roman" w:eastAsia="宋体" w:cs="Times New Roman"/>
                <w:color w:val="auto"/>
                <w:sz w:val="21"/>
                <w:szCs w:val="21"/>
                <w:highlight w:val="none"/>
                <w:lang w:val="en-US" w:eastAsia="zh-CN"/>
              </w:rPr>
              <w:t>t/a</w:t>
            </w:r>
          </w:p>
        </w:tc>
      </w:tr>
      <w:tr w14:paraId="2594E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631CAD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2B085C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磨边废水沉淀池沉渣</w:t>
            </w:r>
            <w:r>
              <w:rPr>
                <w:rFonts w:hint="eastAsia" w:cs="Times New Roman"/>
                <w:color w:val="auto"/>
                <w:sz w:val="21"/>
                <w:szCs w:val="21"/>
                <w:highlight w:val="none"/>
                <w:lang w:val="en-US" w:eastAsia="zh-CN"/>
              </w:rPr>
              <w:t>（玻璃碎屑）</w:t>
            </w:r>
          </w:p>
        </w:tc>
        <w:tc>
          <w:tcPr>
            <w:tcW w:w="1701" w:type="dxa"/>
            <w:vAlign w:val="center"/>
          </w:tcPr>
          <w:p w14:paraId="6FE6D1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104</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35D511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5A528D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7F3E6F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27.56</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5436C0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5E05DA8B">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131.56</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5C3C71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+27.56</w:t>
            </w:r>
            <w:r>
              <w:rPr>
                <w:rFonts w:hint="default" w:ascii="Times New Roman" w:hAnsi="Times New Roman" w:eastAsia="宋体" w:cs="Times New Roman"/>
                <w:color w:val="auto"/>
                <w:sz w:val="21"/>
                <w:szCs w:val="21"/>
                <w:highlight w:val="none"/>
                <w:lang w:val="en-US" w:eastAsia="zh-CN"/>
              </w:rPr>
              <w:t>t/a</w:t>
            </w:r>
          </w:p>
        </w:tc>
      </w:tr>
      <w:tr w14:paraId="43EA6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2FA212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01B711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铝条</w:t>
            </w:r>
            <w:r>
              <w:rPr>
                <w:rFonts w:hint="eastAsia" w:ascii="Times New Roman" w:hAnsi="Times New Roman" w:eastAsia="宋体" w:cs="Times New Roman"/>
                <w:color w:val="auto"/>
                <w:sz w:val="21"/>
                <w:szCs w:val="21"/>
                <w:highlight w:val="none"/>
                <w:lang w:val="en-US" w:eastAsia="zh-CN"/>
              </w:rPr>
              <w:t>角</w:t>
            </w:r>
            <w:r>
              <w:rPr>
                <w:rFonts w:hint="default" w:ascii="Times New Roman" w:hAnsi="Times New Roman" w:eastAsia="宋体" w:cs="Times New Roman"/>
                <w:color w:val="auto"/>
                <w:sz w:val="21"/>
                <w:szCs w:val="21"/>
                <w:highlight w:val="none"/>
                <w:lang w:val="en-US" w:eastAsia="zh-CN"/>
              </w:rPr>
              <w:t>料</w:t>
            </w:r>
          </w:p>
        </w:tc>
        <w:tc>
          <w:tcPr>
            <w:tcW w:w="1701" w:type="dxa"/>
            <w:vAlign w:val="center"/>
          </w:tcPr>
          <w:p w14:paraId="6D3FEF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74DF26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7728BD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6735C9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54" w:type="dxa"/>
            <w:vAlign w:val="center"/>
          </w:tcPr>
          <w:p w14:paraId="4161CF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1ABC8B7F">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0.1</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1634E2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w:t>
            </w:r>
          </w:p>
        </w:tc>
      </w:tr>
      <w:tr w14:paraId="742F0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5A2AF6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2EC7B0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废金刚砂</w:t>
            </w:r>
          </w:p>
        </w:tc>
        <w:tc>
          <w:tcPr>
            <w:tcW w:w="1701" w:type="dxa"/>
            <w:vAlign w:val="center"/>
          </w:tcPr>
          <w:p w14:paraId="6FA1BC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0.6</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64091C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779632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69FB20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54" w:type="dxa"/>
            <w:vAlign w:val="center"/>
          </w:tcPr>
          <w:p w14:paraId="7E5D2C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3DE59CD0">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0.6</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5B0B00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w:t>
            </w:r>
          </w:p>
        </w:tc>
      </w:tr>
      <w:tr w14:paraId="7C58D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1C680D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097813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丁基密封胶、硅酮密封胶外部盛装铁桶</w:t>
            </w:r>
          </w:p>
        </w:tc>
        <w:tc>
          <w:tcPr>
            <w:tcW w:w="1701" w:type="dxa"/>
            <w:vAlign w:val="center"/>
          </w:tcPr>
          <w:p w14:paraId="56D180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0.04</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525E5E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321243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28397C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54" w:type="dxa"/>
            <w:vAlign w:val="center"/>
          </w:tcPr>
          <w:p w14:paraId="5AAB7A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6BCF1F71">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0.04</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26C893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w:t>
            </w:r>
          </w:p>
        </w:tc>
      </w:tr>
      <w:tr w14:paraId="31882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20B745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1D4CDE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不合格品</w:t>
            </w:r>
          </w:p>
        </w:tc>
        <w:tc>
          <w:tcPr>
            <w:tcW w:w="1701" w:type="dxa"/>
            <w:vAlign w:val="center"/>
          </w:tcPr>
          <w:p w14:paraId="4AC06D55">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76" w:type="dxa"/>
            <w:vAlign w:val="center"/>
          </w:tcPr>
          <w:p w14:paraId="7B9C86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57D7FC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3EB334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27.56</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3751A5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6DDC7729">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27.56</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1D6D8C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+27.56</w:t>
            </w:r>
            <w:r>
              <w:rPr>
                <w:rFonts w:hint="default" w:ascii="Times New Roman" w:hAnsi="Times New Roman" w:eastAsia="宋体" w:cs="Times New Roman"/>
                <w:color w:val="auto"/>
                <w:sz w:val="21"/>
                <w:szCs w:val="21"/>
                <w:highlight w:val="none"/>
                <w:lang w:val="en-US" w:eastAsia="zh-CN"/>
              </w:rPr>
              <w:t>t/a</w:t>
            </w:r>
          </w:p>
        </w:tc>
      </w:tr>
      <w:tr w14:paraId="04E13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011AB1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72C0C3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Style w:val="45"/>
                <w:rFonts w:hint="default"/>
                <w:bCs/>
                <w:color w:val="auto"/>
                <w:sz w:val="21"/>
                <w:szCs w:val="21"/>
                <w:highlight w:val="none"/>
                <w:lang w:val="zh-CN" w:eastAsia="zh-CN"/>
              </w:rPr>
              <w:t>废</w:t>
            </w:r>
            <w:r>
              <w:rPr>
                <w:rStyle w:val="45"/>
                <w:rFonts w:hint="eastAsia"/>
                <w:bCs/>
                <w:color w:val="auto"/>
                <w:sz w:val="21"/>
                <w:szCs w:val="21"/>
                <w:highlight w:val="none"/>
                <w:lang w:val="zh-CN" w:eastAsia="zh-CN"/>
              </w:rPr>
              <w:t>原辅料包装袋</w:t>
            </w:r>
          </w:p>
        </w:tc>
        <w:tc>
          <w:tcPr>
            <w:tcW w:w="1701" w:type="dxa"/>
            <w:vAlign w:val="center"/>
          </w:tcPr>
          <w:p w14:paraId="74B2A7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76" w:type="dxa"/>
            <w:vAlign w:val="center"/>
          </w:tcPr>
          <w:p w14:paraId="76F60A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6A8675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180E0E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4A28AB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75" w:type="dxa"/>
            <w:vAlign w:val="center"/>
          </w:tcPr>
          <w:p w14:paraId="09DD8F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761562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t/a</w:t>
            </w:r>
          </w:p>
        </w:tc>
      </w:tr>
      <w:tr w14:paraId="6BA01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restart"/>
            <w:vAlign w:val="center"/>
          </w:tcPr>
          <w:p w14:paraId="7CF805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生活固废</w:t>
            </w:r>
          </w:p>
        </w:tc>
        <w:tc>
          <w:tcPr>
            <w:tcW w:w="2005" w:type="dxa"/>
            <w:vAlign w:val="center"/>
          </w:tcPr>
          <w:p w14:paraId="78B8E2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1701" w:type="dxa"/>
            <w:vAlign w:val="center"/>
          </w:tcPr>
          <w:p w14:paraId="401224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14635D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3076A3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451D8C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43D6E4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75" w:type="dxa"/>
            <w:vAlign w:val="center"/>
          </w:tcPr>
          <w:p w14:paraId="65D8A7AD">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12</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28002C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t/a</w:t>
            </w:r>
          </w:p>
        </w:tc>
      </w:tr>
      <w:tr w14:paraId="23795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7FE8E5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005" w:type="dxa"/>
            <w:vAlign w:val="center"/>
          </w:tcPr>
          <w:p w14:paraId="177839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食堂泔水及</w:t>
            </w:r>
            <w:r>
              <w:rPr>
                <w:rFonts w:hint="default" w:ascii="Times New Roman" w:hAnsi="Times New Roman" w:eastAsia="宋体" w:cs="Times New Roman"/>
                <w:color w:val="auto"/>
                <w:sz w:val="21"/>
                <w:szCs w:val="21"/>
                <w:highlight w:val="none"/>
                <w:lang w:val="en-US" w:eastAsia="zh-CN"/>
              </w:rPr>
              <w:t>隔油池废油脂</w:t>
            </w:r>
          </w:p>
        </w:tc>
        <w:tc>
          <w:tcPr>
            <w:tcW w:w="1701" w:type="dxa"/>
            <w:vAlign w:val="center"/>
          </w:tcPr>
          <w:p w14:paraId="1CA309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1.044</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55910D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028074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4D655F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1.21</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18AD80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75" w:type="dxa"/>
            <w:vAlign w:val="center"/>
          </w:tcPr>
          <w:p w14:paraId="7B20C3D9">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2.254</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590556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+1.21</w:t>
            </w:r>
            <w:r>
              <w:rPr>
                <w:rFonts w:hint="default" w:ascii="Times New Roman" w:hAnsi="Times New Roman" w:eastAsia="宋体" w:cs="Times New Roman"/>
                <w:color w:val="auto"/>
                <w:sz w:val="21"/>
                <w:szCs w:val="21"/>
                <w:highlight w:val="none"/>
                <w:lang w:val="en-US" w:eastAsia="zh-CN"/>
              </w:rPr>
              <w:t>t/a</w:t>
            </w:r>
          </w:p>
        </w:tc>
      </w:tr>
      <w:tr w14:paraId="01D73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302052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005" w:type="dxa"/>
            <w:vAlign w:val="center"/>
          </w:tcPr>
          <w:p w14:paraId="282502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化粪池污泥</w:t>
            </w:r>
          </w:p>
        </w:tc>
        <w:tc>
          <w:tcPr>
            <w:tcW w:w="1701" w:type="dxa"/>
            <w:vAlign w:val="center"/>
          </w:tcPr>
          <w:p w14:paraId="3848C8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6 54</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1EE847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181F5F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20B228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0.054</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50EF3D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75" w:type="dxa"/>
            <w:vAlign w:val="center"/>
          </w:tcPr>
          <w:p w14:paraId="616A84F6">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6.594</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4C9FAE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+0.054</w:t>
            </w:r>
            <w:r>
              <w:rPr>
                <w:rFonts w:hint="default" w:ascii="Times New Roman" w:hAnsi="Times New Roman" w:eastAsia="宋体" w:cs="Times New Roman"/>
                <w:color w:val="auto"/>
                <w:sz w:val="21"/>
                <w:szCs w:val="21"/>
                <w:highlight w:val="none"/>
                <w:lang w:val="en-US" w:eastAsia="zh-CN"/>
              </w:rPr>
              <w:t>t/a</w:t>
            </w:r>
          </w:p>
        </w:tc>
      </w:tr>
      <w:tr w14:paraId="0F5EE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39884E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2005" w:type="dxa"/>
            <w:vAlign w:val="center"/>
          </w:tcPr>
          <w:p w14:paraId="209B13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生活污水处理</w:t>
            </w:r>
            <w:r>
              <w:rPr>
                <w:rFonts w:hint="default" w:ascii="Times New Roman" w:hAnsi="Times New Roman" w:eastAsia="宋体" w:cs="Times New Roman"/>
                <w:color w:val="auto"/>
                <w:sz w:val="21"/>
                <w:szCs w:val="21"/>
                <w:highlight w:val="none"/>
                <w:lang w:val="en-US" w:eastAsia="zh-CN"/>
              </w:rPr>
              <w:t>站污泥</w:t>
            </w:r>
          </w:p>
        </w:tc>
        <w:tc>
          <w:tcPr>
            <w:tcW w:w="1701" w:type="dxa"/>
            <w:vAlign w:val="center"/>
          </w:tcPr>
          <w:p w14:paraId="52089D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3.825</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321343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6AD9E5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672854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2.105</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53AB5B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75" w:type="dxa"/>
            <w:vAlign w:val="center"/>
          </w:tcPr>
          <w:p w14:paraId="46F18C78">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5.93</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7C2496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+2.105</w:t>
            </w:r>
            <w:r>
              <w:rPr>
                <w:rFonts w:hint="default" w:ascii="Times New Roman" w:hAnsi="Times New Roman" w:eastAsia="宋体" w:cs="Times New Roman"/>
                <w:color w:val="auto"/>
                <w:sz w:val="21"/>
                <w:szCs w:val="21"/>
                <w:highlight w:val="none"/>
                <w:lang w:val="en-US" w:eastAsia="zh-CN"/>
              </w:rPr>
              <w:t>t/a</w:t>
            </w:r>
          </w:p>
        </w:tc>
      </w:tr>
      <w:tr w14:paraId="31903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restart"/>
            <w:vAlign w:val="center"/>
          </w:tcPr>
          <w:p w14:paraId="162846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危险废物</w:t>
            </w:r>
          </w:p>
        </w:tc>
        <w:tc>
          <w:tcPr>
            <w:tcW w:w="2005" w:type="dxa"/>
            <w:vAlign w:val="center"/>
          </w:tcPr>
          <w:p w14:paraId="18BB3A5D">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废胶</w:t>
            </w:r>
            <w:r>
              <w:rPr>
                <w:rFonts w:hint="eastAsia" w:cs="Times New Roman"/>
                <w:color w:val="auto"/>
                <w:sz w:val="21"/>
                <w:szCs w:val="21"/>
                <w:highlight w:val="none"/>
                <w:lang w:val="en-US" w:eastAsia="zh-CN"/>
              </w:rPr>
              <w:t>袋</w:t>
            </w:r>
          </w:p>
        </w:tc>
        <w:tc>
          <w:tcPr>
            <w:tcW w:w="1701" w:type="dxa"/>
            <w:vAlign w:val="center"/>
          </w:tcPr>
          <w:p w14:paraId="6E0ECE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0.0034</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7D64D8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1839AD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0C885F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54" w:type="dxa"/>
            <w:vAlign w:val="center"/>
          </w:tcPr>
          <w:p w14:paraId="414AD6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75" w:type="dxa"/>
            <w:vAlign w:val="center"/>
          </w:tcPr>
          <w:p w14:paraId="7E9787EE">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0.0034</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6B22F1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w:t>
            </w:r>
          </w:p>
        </w:tc>
      </w:tr>
      <w:tr w14:paraId="65DCC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2A8F24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1F8922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701" w:type="dxa"/>
            <w:vAlign w:val="center"/>
          </w:tcPr>
          <w:p w14:paraId="632022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w:t>
            </w:r>
            <w:r>
              <w:rPr>
                <w:rFonts w:hint="default" w:ascii="Times New Roman" w:hAnsi="Times New Roman" w:eastAsia="宋体" w:cs="Times New Roman"/>
                <w:color w:val="auto"/>
                <w:sz w:val="21"/>
                <w:szCs w:val="21"/>
                <w:highlight w:val="none"/>
                <w:lang w:val="en-US" w:eastAsia="zh-CN"/>
              </w:rPr>
              <w:t>t/a</w:t>
            </w:r>
          </w:p>
        </w:tc>
        <w:tc>
          <w:tcPr>
            <w:tcW w:w="1276" w:type="dxa"/>
            <w:vAlign w:val="center"/>
          </w:tcPr>
          <w:p w14:paraId="1B14DC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01" w:type="dxa"/>
            <w:vAlign w:val="center"/>
          </w:tcPr>
          <w:p w14:paraId="6A859F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59" w:type="dxa"/>
            <w:vAlign w:val="center"/>
          </w:tcPr>
          <w:p w14:paraId="32B0B3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464B57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0903EC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0.66</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7C9769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lang w:val="en-US" w:eastAsia="zh-CN"/>
              </w:rPr>
              <w:t>t/a</w:t>
            </w:r>
          </w:p>
        </w:tc>
      </w:tr>
      <w:tr w14:paraId="7BD6C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5F97C7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58C16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生产废水处理站污泥</w:t>
            </w:r>
          </w:p>
        </w:tc>
        <w:tc>
          <w:tcPr>
            <w:tcW w:w="1701" w:type="dxa"/>
            <w:vAlign w:val="center"/>
          </w:tcPr>
          <w:p w14:paraId="75E658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276" w:type="dxa"/>
            <w:vAlign w:val="center"/>
          </w:tcPr>
          <w:p w14:paraId="7D4B48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1701" w:type="dxa"/>
            <w:vAlign w:val="center"/>
          </w:tcPr>
          <w:p w14:paraId="68A0A4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p>
        </w:tc>
        <w:tc>
          <w:tcPr>
            <w:tcW w:w="1559" w:type="dxa"/>
            <w:vAlign w:val="center"/>
          </w:tcPr>
          <w:p w14:paraId="36DA62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c>
          <w:tcPr>
            <w:tcW w:w="1554" w:type="dxa"/>
            <w:vAlign w:val="center"/>
          </w:tcPr>
          <w:p w14:paraId="15BC95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75" w:type="dxa"/>
            <w:vAlign w:val="center"/>
          </w:tcPr>
          <w:p w14:paraId="00ABC0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c>
          <w:tcPr>
            <w:tcW w:w="1417" w:type="dxa"/>
            <w:vAlign w:val="center"/>
          </w:tcPr>
          <w:p w14:paraId="10B5ED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r>
      <w:tr w14:paraId="07379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0" w:type="dxa"/>
            <w:vMerge w:val="continue"/>
            <w:vAlign w:val="center"/>
          </w:tcPr>
          <w:p w14:paraId="343E59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05" w:type="dxa"/>
            <w:vAlign w:val="center"/>
          </w:tcPr>
          <w:p w14:paraId="16B7E9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空硫酸桶、空盐酸桶、空防火液桶</w:t>
            </w:r>
          </w:p>
        </w:tc>
        <w:tc>
          <w:tcPr>
            <w:tcW w:w="1701" w:type="dxa"/>
            <w:vAlign w:val="center"/>
          </w:tcPr>
          <w:p w14:paraId="2649BC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76" w:type="dxa"/>
            <w:vAlign w:val="center"/>
          </w:tcPr>
          <w:p w14:paraId="6AECB3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701" w:type="dxa"/>
            <w:vAlign w:val="center"/>
          </w:tcPr>
          <w:p w14:paraId="439BDB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559" w:type="dxa"/>
            <w:vAlign w:val="center"/>
          </w:tcPr>
          <w:p w14:paraId="5A2516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1760只</w:t>
            </w:r>
            <w:r>
              <w:rPr>
                <w:rFonts w:hint="default" w:ascii="Times New Roman" w:hAnsi="Times New Roman" w:eastAsia="宋体" w:cs="Times New Roman"/>
                <w:color w:val="auto"/>
                <w:sz w:val="21"/>
                <w:szCs w:val="21"/>
                <w:highlight w:val="none"/>
                <w:lang w:val="en-US" w:eastAsia="zh-CN"/>
              </w:rPr>
              <w:t>/a</w:t>
            </w:r>
          </w:p>
        </w:tc>
        <w:tc>
          <w:tcPr>
            <w:tcW w:w="1554" w:type="dxa"/>
            <w:vAlign w:val="center"/>
          </w:tcPr>
          <w:p w14:paraId="5413B1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575" w:type="dxa"/>
            <w:vAlign w:val="center"/>
          </w:tcPr>
          <w:p w14:paraId="25C35A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1760只</w:t>
            </w:r>
            <w:r>
              <w:rPr>
                <w:rFonts w:hint="default" w:ascii="Times New Roman" w:hAnsi="Times New Roman" w:eastAsia="宋体" w:cs="Times New Roman"/>
                <w:color w:val="auto"/>
                <w:sz w:val="21"/>
                <w:szCs w:val="21"/>
                <w:highlight w:val="none"/>
                <w:lang w:val="en-US" w:eastAsia="zh-CN"/>
              </w:rPr>
              <w:t>/a</w:t>
            </w:r>
          </w:p>
        </w:tc>
        <w:tc>
          <w:tcPr>
            <w:tcW w:w="1417" w:type="dxa"/>
            <w:vAlign w:val="center"/>
          </w:tcPr>
          <w:p w14:paraId="4B83C7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+1760只</w:t>
            </w:r>
            <w:r>
              <w:rPr>
                <w:rFonts w:hint="default" w:ascii="Times New Roman" w:hAnsi="Times New Roman" w:eastAsia="宋体" w:cs="Times New Roman"/>
                <w:color w:val="auto"/>
                <w:sz w:val="21"/>
                <w:szCs w:val="21"/>
                <w:highlight w:val="none"/>
                <w:lang w:val="en-US" w:eastAsia="zh-CN"/>
              </w:rPr>
              <w:t>/a</w:t>
            </w:r>
          </w:p>
        </w:tc>
      </w:tr>
    </w:tbl>
    <w:p w14:paraId="4E0EBE4A">
      <w:pPr>
        <w:rPr>
          <w:rFonts w:hAnsi="宋体"/>
          <w:snapToGrid w:val="0"/>
          <w:color w:val="auto"/>
          <w:spacing w:val="-6"/>
          <w:kern w:val="21"/>
          <w:szCs w:val="21"/>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4AFCC098">
      <w:pPr>
        <w:rPr>
          <w:rFonts w:hint="default"/>
          <w:color w:val="auto"/>
          <w:highlight w:val="none"/>
        </w:rPr>
      </w:pPr>
    </w:p>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Arial Narrow">
    <w:altName w:val="Arial"/>
    <w:panose1 w:val="020B0606020202030204"/>
    <w:charset w:val="00"/>
    <w:family w:val="swiss"/>
    <w:pitch w:val="default"/>
    <w:sig w:usb0="00000000"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9B4E2">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B140F">
    <w:pPr>
      <w:pStyle w:val="18"/>
      <w:framePr w:wrap="around" w:vAnchor="text" w:hAnchor="margin" w:xAlign="center" w:y="1"/>
      <w:rPr>
        <w:rStyle w:val="29"/>
      </w:rPr>
    </w:pPr>
    <w:r>
      <w:fldChar w:fldCharType="begin"/>
    </w:r>
    <w:r>
      <w:rPr>
        <w:rStyle w:val="29"/>
      </w:rPr>
      <w:instrText xml:space="preserve">PAGE  </w:instrText>
    </w:r>
    <w:r>
      <w:fldChar w:fldCharType="end"/>
    </w:r>
  </w:p>
  <w:p w14:paraId="1BB575C9">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A8D33">
    <w:pPr>
      <w:pStyle w:val="1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22EA9">
    <w:pPr>
      <w:pStyle w:val="18"/>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9</w:t>
    </w:r>
    <w:r>
      <w:rPr>
        <w:rStyle w:val="29"/>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14:paraId="608BD8FD">
    <w:pPr>
      <w:pStyle w:val="1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3"/>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s>
  <w:rsids>
    <w:rsidRoot w:val="00172A27"/>
    <w:rsid w:val="00051995"/>
    <w:rsid w:val="000B6281"/>
    <w:rsid w:val="000C024B"/>
    <w:rsid w:val="000E1EAD"/>
    <w:rsid w:val="000F4ED1"/>
    <w:rsid w:val="00195B31"/>
    <w:rsid w:val="001A2B41"/>
    <w:rsid w:val="00351550"/>
    <w:rsid w:val="004363DA"/>
    <w:rsid w:val="00493475"/>
    <w:rsid w:val="004E5BE2"/>
    <w:rsid w:val="00634EAF"/>
    <w:rsid w:val="006A623D"/>
    <w:rsid w:val="00710A00"/>
    <w:rsid w:val="00733E26"/>
    <w:rsid w:val="00793189"/>
    <w:rsid w:val="007F65B0"/>
    <w:rsid w:val="00830733"/>
    <w:rsid w:val="00844F1E"/>
    <w:rsid w:val="00897128"/>
    <w:rsid w:val="00903BBE"/>
    <w:rsid w:val="00B477D2"/>
    <w:rsid w:val="00C14D25"/>
    <w:rsid w:val="00C861A4"/>
    <w:rsid w:val="00C90818"/>
    <w:rsid w:val="00D04B7F"/>
    <w:rsid w:val="00D30FFE"/>
    <w:rsid w:val="00D75AEB"/>
    <w:rsid w:val="00F66F31"/>
    <w:rsid w:val="00F75FE1"/>
    <w:rsid w:val="00FC04D2"/>
    <w:rsid w:val="00FF43E9"/>
    <w:rsid w:val="01022F84"/>
    <w:rsid w:val="010333FC"/>
    <w:rsid w:val="01042CD0"/>
    <w:rsid w:val="010A79CD"/>
    <w:rsid w:val="010B7F7D"/>
    <w:rsid w:val="012B64AF"/>
    <w:rsid w:val="01303AC5"/>
    <w:rsid w:val="01317CBE"/>
    <w:rsid w:val="0136518B"/>
    <w:rsid w:val="014A102B"/>
    <w:rsid w:val="014C5490"/>
    <w:rsid w:val="015A07FE"/>
    <w:rsid w:val="0163340B"/>
    <w:rsid w:val="017E63B3"/>
    <w:rsid w:val="01864707"/>
    <w:rsid w:val="01940A17"/>
    <w:rsid w:val="019450FA"/>
    <w:rsid w:val="01991C4C"/>
    <w:rsid w:val="01993D60"/>
    <w:rsid w:val="019D7064"/>
    <w:rsid w:val="01A267E0"/>
    <w:rsid w:val="01A73147"/>
    <w:rsid w:val="01BA638F"/>
    <w:rsid w:val="01C12B06"/>
    <w:rsid w:val="01CF66BA"/>
    <w:rsid w:val="01D152A8"/>
    <w:rsid w:val="01D408F4"/>
    <w:rsid w:val="01D43CEC"/>
    <w:rsid w:val="01D51CEF"/>
    <w:rsid w:val="01E54191"/>
    <w:rsid w:val="01E941C6"/>
    <w:rsid w:val="01EA50F6"/>
    <w:rsid w:val="01EC1682"/>
    <w:rsid w:val="01EE4FF6"/>
    <w:rsid w:val="01EF1790"/>
    <w:rsid w:val="01F62F61"/>
    <w:rsid w:val="01F82A37"/>
    <w:rsid w:val="020322D7"/>
    <w:rsid w:val="02095BDC"/>
    <w:rsid w:val="020F02A3"/>
    <w:rsid w:val="021805A0"/>
    <w:rsid w:val="02325913"/>
    <w:rsid w:val="02382CFA"/>
    <w:rsid w:val="023D6CAD"/>
    <w:rsid w:val="02457B88"/>
    <w:rsid w:val="02462C24"/>
    <w:rsid w:val="0246777B"/>
    <w:rsid w:val="024A4B13"/>
    <w:rsid w:val="025817C9"/>
    <w:rsid w:val="025D2A90"/>
    <w:rsid w:val="026223D1"/>
    <w:rsid w:val="026325B2"/>
    <w:rsid w:val="026A1647"/>
    <w:rsid w:val="026C21D1"/>
    <w:rsid w:val="026D3223"/>
    <w:rsid w:val="026E555F"/>
    <w:rsid w:val="0270395D"/>
    <w:rsid w:val="027B0375"/>
    <w:rsid w:val="028D2B28"/>
    <w:rsid w:val="028D4325"/>
    <w:rsid w:val="028F0155"/>
    <w:rsid w:val="029213A5"/>
    <w:rsid w:val="02951D50"/>
    <w:rsid w:val="029611CC"/>
    <w:rsid w:val="02A53D13"/>
    <w:rsid w:val="02B50098"/>
    <w:rsid w:val="02B76EA0"/>
    <w:rsid w:val="02B8605F"/>
    <w:rsid w:val="02C41954"/>
    <w:rsid w:val="02C668D9"/>
    <w:rsid w:val="02CF32AF"/>
    <w:rsid w:val="02DE0E9B"/>
    <w:rsid w:val="02DE4DAE"/>
    <w:rsid w:val="02F61397"/>
    <w:rsid w:val="030C6E5A"/>
    <w:rsid w:val="030F3421"/>
    <w:rsid w:val="0310301D"/>
    <w:rsid w:val="03153BB5"/>
    <w:rsid w:val="03195159"/>
    <w:rsid w:val="031B0711"/>
    <w:rsid w:val="033129DB"/>
    <w:rsid w:val="033919F9"/>
    <w:rsid w:val="033D5F32"/>
    <w:rsid w:val="0341505A"/>
    <w:rsid w:val="034841B8"/>
    <w:rsid w:val="03550A4B"/>
    <w:rsid w:val="035703B8"/>
    <w:rsid w:val="035A1C5B"/>
    <w:rsid w:val="0385483A"/>
    <w:rsid w:val="038D16A3"/>
    <w:rsid w:val="03941436"/>
    <w:rsid w:val="039B40BE"/>
    <w:rsid w:val="03A75CF2"/>
    <w:rsid w:val="03BB7FBE"/>
    <w:rsid w:val="03BE0EAD"/>
    <w:rsid w:val="03BE3B85"/>
    <w:rsid w:val="03C12DFC"/>
    <w:rsid w:val="03C35F89"/>
    <w:rsid w:val="03C36E72"/>
    <w:rsid w:val="03CA06B3"/>
    <w:rsid w:val="03E233D6"/>
    <w:rsid w:val="04041379"/>
    <w:rsid w:val="04182BE0"/>
    <w:rsid w:val="041D47D5"/>
    <w:rsid w:val="04233597"/>
    <w:rsid w:val="04277401"/>
    <w:rsid w:val="04305E97"/>
    <w:rsid w:val="04411321"/>
    <w:rsid w:val="044E2BE0"/>
    <w:rsid w:val="045E1054"/>
    <w:rsid w:val="045E438B"/>
    <w:rsid w:val="046248DD"/>
    <w:rsid w:val="0467752E"/>
    <w:rsid w:val="047D7290"/>
    <w:rsid w:val="049011E4"/>
    <w:rsid w:val="04A472BC"/>
    <w:rsid w:val="04A60661"/>
    <w:rsid w:val="04AE464C"/>
    <w:rsid w:val="04B000EE"/>
    <w:rsid w:val="04B70203"/>
    <w:rsid w:val="04B92BFF"/>
    <w:rsid w:val="04C537A6"/>
    <w:rsid w:val="04CD61FB"/>
    <w:rsid w:val="04E2157A"/>
    <w:rsid w:val="04E35592"/>
    <w:rsid w:val="04F21618"/>
    <w:rsid w:val="04F31B46"/>
    <w:rsid w:val="050442C2"/>
    <w:rsid w:val="0507507E"/>
    <w:rsid w:val="05087233"/>
    <w:rsid w:val="053814B3"/>
    <w:rsid w:val="0544074D"/>
    <w:rsid w:val="05567DAB"/>
    <w:rsid w:val="055A75B0"/>
    <w:rsid w:val="055B676C"/>
    <w:rsid w:val="055C3C08"/>
    <w:rsid w:val="0560741C"/>
    <w:rsid w:val="05643096"/>
    <w:rsid w:val="05796D93"/>
    <w:rsid w:val="057A4108"/>
    <w:rsid w:val="057A4A23"/>
    <w:rsid w:val="05820786"/>
    <w:rsid w:val="058A40EC"/>
    <w:rsid w:val="05917228"/>
    <w:rsid w:val="059A6453"/>
    <w:rsid w:val="059B3670"/>
    <w:rsid w:val="05A23AEA"/>
    <w:rsid w:val="05AC4A68"/>
    <w:rsid w:val="05B32B87"/>
    <w:rsid w:val="05C2407D"/>
    <w:rsid w:val="05C84C14"/>
    <w:rsid w:val="05CF7E3D"/>
    <w:rsid w:val="05E23E12"/>
    <w:rsid w:val="05FC1F0A"/>
    <w:rsid w:val="06084F90"/>
    <w:rsid w:val="061076E0"/>
    <w:rsid w:val="06174947"/>
    <w:rsid w:val="061D4CD9"/>
    <w:rsid w:val="062B572E"/>
    <w:rsid w:val="062F2FDC"/>
    <w:rsid w:val="063476CC"/>
    <w:rsid w:val="063E50AD"/>
    <w:rsid w:val="065869FD"/>
    <w:rsid w:val="065B0CF6"/>
    <w:rsid w:val="065B4D4F"/>
    <w:rsid w:val="06666849"/>
    <w:rsid w:val="066801DD"/>
    <w:rsid w:val="06681980"/>
    <w:rsid w:val="067715EA"/>
    <w:rsid w:val="06783F44"/>
    <w:rsid w:val="067A04CA"/>
    <w:rsid w:val="06824601"/>
    <w:rsid w:val="0686109B"/>
    <w:rsid w:val="06867DFC"/>
    <w:rsid w:val="06930D7E"/>
    <w:rsid w:val="06936051"/>
    <w:rsid w:val="06954AF6"/>
    <w:rsid w:val="06966A2B"/>
    <w:rsid w:val="06A34A08"/>
    <w:rsid w:val="06B6686D"/>
    <w:rsid w:val="06BA5030"/>
    <w:rsid w:val="06C22A4B"/>
    <w:rsid w:val="06C7630B"/>
    <w:rsid w:val="06DD024B"/>
    <w:rsid w:val="06EA30A8"/>
    <w:rsid w:val="06F40FF5"/>
    <w:rsid w:val="06F86E33"/>
    <w:rsid w:val="06FC03DF"/>
    <w:rsid w:val="070F0EB1"/>
    <w:rsid w:val="071B32B6"/>
    <w:rsid w:val="071D13D8"/>
    <w:rsid w:val="07242B53"/>
    <w:rsid w:val="07294453"/>
    <w:rsid w:val="072960D0"/>
    <w:rsid w:val="072A5F91"/>
    <w:rsid w:val="0737795B"/>
    <w:rsid w:val="073A0D5A"/>
    <w:rsid w:val="075C3866"/>
    <w:rsid w:val="07613AE7"/>
    <w:rsid w:val="076378F4"/>
    <w:rsid w:val="07712C4F"/>
    <w:rsid w:val="07767EF0"/>
    <w:rsid w:val="077767F3"/>
    <w:rsid w:val="07822CFC"/>
    <w:rsid w:val="07847CB2"/>
    <w:rsid w:val="07893DAF"/>
    <w:rsid w:val="07905206"/>
    <w:rsid w:val="07934F98"/>
    <w:rsid w:val="07A174CB"/>
    <w:rsid w:val="07C136C9"/>
    <w:rsid w:val="07C25320"/>
    <w:rsid w:val="07C40CE7"/>
    <w:rsid w:val="07CE1789"/>
    <w:rsid w:val="07D21289"/>
    <w:rsid w:val="07D644E9"/>
    <w:rsid w:val="07DC51C2"/>
    <w:rsid w:val="07F32AD5"/>
    <w:rsid w:val="0800140A"/>
    <w:rsid w:val="08043EC4"/>
    <w:rsid w:val="080D0674"/>
    <w:rsid w:val="08114650"/>
    <w:rsid w:val="08134441"/>
    <w:rsid w:val="08370CCE"/>
    <w:rsid w:val="08517028"/>
    <w:rsid w:val="085966E8"/>
    <w:rsid w:val="086262F2"/>
    <w:rsid w:val="087A387F"/>
    <w:rsid w:val="087E15BA"/>
    <w:rsid w:val="08852292"/>
    <w:rsid w:val="08A54080"/>
    <w:rsid w:val="08A6059A"/>
    <w:rsid w:val="08C96CD9"/>
    <w:rsid w:val="08DC2B16"/>
    <w:rsid w:val="08DE692E"/>
    <w:rsid w:val="08DF474E"/>
    <w:rsid w:val="08EA7DC9"/>
    <w:rsid w:val="09206DDD"/>
    <w:rsid w:val="092D0AEF"/>
    <w:rsid w:val="092E0BCF"/>
    <w:rsid w:val="09360D77"/>
    <w:rsid w:val="09391A25"/>
    <w:rsid w:val="09420185"/>
    <w:rsid w:val="094A557B"/>
    <w:rsid w:val="094F2C22"/>
    <w:rsid w:val="09526DDB"/>
    <w:rsid w:val="095347F5"/>
    <w:rsid w:val="09695353"/>
    <w:rsid w:val="096C7F4A"/>
    <w:rsid w:val="0972481F"/>
    <w:rsid w:val="09774987"/>
    <w:rsid w:val="097F1859"/>
    <w:rsid w:val="098904FD"/>
    <w:rsid w:val="098A46BA"/>
    <w:rsid w:val="09A03EDE"/>
    <w:rsid w:val="09A33480"/>
    <w:rsid w:val="09A86D7F"/>
    <w:rsid w:val="09AD65FB"/>
    <w:rsid w:val="09D46C34"/>
    <w:rsid w:val="09D9119E"/>
    <w:rsid w:val="09DC47EA"/>
    <w:rsid w:val="09E83EF5"/>
    <w:rsid w:val="0A074A96"/>
    <w:rsid w:val="0A1F579B"/>
    <w:rsid w:val="0A221EB5"/>
    <w:rsid w:val="0A330A9D"/>
    <w:rsid w:val="0A375EC4"/>
    <w:rsid w:val="0A3D7FAC"/>
    <w:rsid w:val="0A5A356F"/>
    <w:rsid w:val="0A664130"/>
    <w:rsid w:val="0A73514E"/>
    <w:rsid w:val="0A792992"/>
    <w:rsid w:val="0A7964DD"/>
    <w:rsid w:val="0A7D2446"/>
    <w:rsid w:val="0A7D5FE8"/>
    <w:rsid w:val="0A827987"/>
    <w:rsid w:val="0A91287B"/>
    <w:rsid w:val="0A93759F"/>
    <w:rsid w:val="0A9D4330"/>
    <w:rsid w:val="0AB75863"/>
    <w:rsid w:val="0AB813A8"/>
    <w:rsid w:val="0AD04BFB"/>
    <w:rsid w:val="0AF60B31"/>
    <w:rsid w:val="0AF96715"/>
    <w:rsid w:val="0AFA6055"/>
    <w:rsid w:val="0B057F54"/>
    <w:rsid w:val="0B1664AA"/>
    <w:rsid w:val="0B1E751F"/>
    <w:rsid w:val="0B1F26F8"/>
    <w:rsid w:val="0B250B22"/>
    <w:rsid w:val="0B2C17A1"/>
    <w:rsid w:val="0B2D5B3C"/>
    <w:rsid w:val="0B33619E"/>
    <w:rsid w:val="0B3F14D4"/>
    <w:rsid w:val="0B423028"/>
    <w:rsid w:val="0B5B3783"/>
    <w:rsid w:val="0B6251C3"/>
    <w:rsid w:val="0B6815BF"/>
    <w:rsid w:val="0B6B3F04"/>
    <w:rsid w:val="0B6C2B48"/>
    <w:rsid w:val="0B6D1AC3"/>
    <w:rsid w:val="0B725406"/>
    <w:rsid w:val="0B7B0B24"/>
    <w:rsid w:val="0B7B3430"/>
    <w:rsid w:val="0B927856"/>
    <w:rsid w:val="0BA002DD"/>
    <w:rsid w:val="0BA86E9A"/>
    <w:rsid w:val="0BBF2615"/>
    <w:rsid w:val="0BC23E6A"/>
    <w:rsid w:val="0BD4354D"/>
    <w:rsid w:val="0BF30E45"/>
    <w:rsid w:val="0BF607B7"/>
    <w:rsid w:val="0BF610F7"/>
    <w:rsid w:val="0C063DA0"/>
    <w:rsid w:val="0C0E3EB6"/>
    <w:rsid w:val="0C0F63E7"/>
    <w:rsid w:val="0C105847"/>
    <w:rsid w:val="0C107808"/>
    <w:rsid w:val="0C112AE3"/>
    <w:rsid w:val="0C1C35C4"/>
    <w:rsid w:val="0C2E6944"/>
    <w:rsid w:val="0C36486D"/>
    <w:rsid w:val="0C3D30AA"/>
    <w:rsid w:val="0C3F43CE"/>
    <w:rsid w:val="0C423F0D"/>
    <w:rsid w:val="0C4A237D"/>
    <w:rsid w:val="0C4E586A"/>
    <w:rsid w:val="0C5E7B7E"/>
    <w:rsid w:val="0C77337C"/>
    <w:rsid w:val="0C7A4320"/>
    <w:rsid w:val="0C7B1920"/>
    <w:rsid w:val="0C807FF6"/>
    <w:rsid w:val="0C8D767F"/>
    <w:rsid w:val="0C902FC9"/>
    <w:rsid w:val="0CA30FB8"/>
    <w:rsid w:val="0CBF24CD"/>
    <w:rsid w:val="0CC55A09"/>
    <w:rsid w:val="0CC76A93"/>
    <w:rsid w:val="0CCA210A"/>
    <w:rsid w:val="0CCF511E"/>
    <w:rsid w:val="0CD15E30"/>
    <w:rsid w:val="0CD22704"/>
    <w:rsid w:val="0CD321A9"/>
    <w:rsid w:val="0CD41CD5"/>
    <w:rsid w:val="0CDC4DB2"/>
    <w:rsid w:val="0CE560AB"/>
    <w:rsid w:val="0CE858E9"/>
    <w:rsid w:val="0CF04ACE"/>
    <w:rsid w:val="0D025F34"/>
    <w:rsid w:val="0D04428B"/>
    <w:rsid w:val="0D06704C"/>
    <w:rsid w:val="0D0769D7"/>
    <w:rsid w:val="0D0A343A"/>
    <w:rsid w:val="0D233FEC"/>
    <w:rsid w:val="0D3875BE"/>
    <w:rsid w:val="0D533015"/>
    <w:rsid w:val="0D5C5FEA"/>
    <w:rsid w:val="0D69204A"/>
    <w:rsid w:val="0D7C4200"/>
    <w:rsid w:val="0D835EB7"/>
    <w:rsid w:val="0D877DE2"/>
    <w:rsid w:val="0D9120C2"/>
    <w:rsid w:val="0D95362E"/>
    <w:rsid w:val="0D9A0C44"/>
    <w:rsid w:val="0DA02EFC"/>
    <w:rsid w:val="0DA05230"/>
    <w:rsid w:val="0DA254C0"/>
    <w:rsid w:val="0DA25D4B"/>
    <w:rsid w:val="0DA4071F"/>
    <w:rsid w:val="0DAF6DA3"/>
    <w:rsid w:val="0DB74F9C"/>
    <w:rsid w:val="0DC26E06"/>
    <w:rsid w:val="0DC65EDD"/>
    <w:rsid w:val="0DD010BC"/>
    <w:rsid w:val="0DE83021"/>
    <w:rsid w:val="0DF1473F"/>
    <w:rsid w:val="0E034A3B"/>
    <w:rsid w:val="0E102753"/>
    <w:rsid w:val="0E161372"/>
    <w:rsid w:val="0E1D147C"/>
    <w:rsid w:val="0E2551CB"/>
    <w:rsid w:val="0E296834"/>
    <w:rsid w:val="0E3177FA"/>
    <w:rsid w:val="0E353770"/>
    <w:rsid w:val="0E3C2671"/>
    <w:rsid w:val="0E6A6AD6"/>
    <w:rsid w:val="0E7A1EC2"/>
    <w:rsid w:val="0E7E7C35"/>
    <w:rsid w:val="0E810A63"/>
    <w:rsid w:val="0E8518F4"/>
    <w:rsid w:val="0E865ECD"/>
    <w:rsid w:val="0E8D69FB"/>
    <w:rsid w:val="0E913380"/>
    <w:rsid w:val="0EA26359"/>
    <w:rsid w:val="0EA72B92"/>
    <w:rsid w:val="0EAB3973"/>
    <w:rsid w:val="0EAB78DD"/>
    <w:rsid w:val="0EAF4BC3"/>
    <w:rsid w:val="0EC9736F"/>
    <w:rsid w:val="0EC97C3C"/>
    <w:rsid w:val="0EDA02D8"/>
    <w:rsid w:val="0EDD6DC3"/>
    <w:rsid w:val="0EEA5BFB"/>
    <w:rsid w:val="0EEB125D"/>
    <w:rsid w:val="0EF20FBD"/>
    <w:rsid w:val="0EFA347F"/>
    <w:rsid w:val="0F142919"/>
    <w:rsid w:val="0F1B51C3"/>
    <w:rsid w:val="0F1C4B69"/>
    <w:rsid w:val="0F1F0356"/>
    <w:rsid w:val="0F235324"/>
    <w:rsid w:val="0F2904D1"/>
    <w:rsid w:val="0F2A424A"/>
    <w:rsid w:val="0F35775A"/>
    <w:rsid w:val="0F447184"/>
    <w:rsid w:val="0F4848FF"/>
    <w:rsid w:val="0F4E1581"/>
    <w:rsid w:val="0F4E1CE6"/>
    <w:rsid w:val="0F52045C"/>
    <w:rsid w:val="0F5372FC"/>
    <w:rsid w:val="0F547B3E"/>
    <w:rsid w:val="0F597A04"/>
    <w:rsid w:val="0F5A38D7"/>
    <w:rsid w:val="0F67724C"/>
    <w:rsid w:val="0F6A4A1F"/>
    <w:rsid w:val="0F755613"/>
    <w:rsid w:val="0F794B69"/>
    <w:rsid w:val="0F7F6343"/>
    <w:rsid w:val="0F8D5AB3"/>
    <w:rsid w:val="0F8E6586"/>
    <w:rsid w:val="0F927274"/>
    <w:rsid w:val="0F971605"/>
    <w:rsid w:val="0F9A589C"/>
    <w:rsid w:val="0FA42567"/>
    <w:rsid w:val="0FA83B24"/>
    <w:rsid w:val="0FAC1F29"/>
    <w:rsid w:val="0FAC3659"/>
    <w:rsid w:val="0FAF7FC5"/>
    <w:rsid w:val="0FB50EE8"/>
    <w:rsid w:val="0FC262D0"/>
    <w:rsid w:val="0FD35650"/>
    <w:rsid w:val="0FF43D4D"/>
    <w:rsid w:val="0FF44180"/>
    <w:rsid w:val="0FF86D9C"/>
    <w:rsid w:val="0FFC1427"/>
    <w:rsid w:val="101A14F8"/>
    <w:rsid w:val="101D73C4"/>
    <w:rsid w:val="10250AC8"/>
    <w:rsid w:val="10415A78"/>
    <w:rsid w:val="104C1361"/>
    <w:rsid w:val="104E518D"/>
    <w:rsid w:val="105155A2"/>
    <w:rsid w:val="105C33D3"/>
    <w:rsid w:val="1067038F"/>
    <w:rsid w:val="106B66E0"/>
    <w:rsid w:val="106E0EC2"/>
    <w:rsid w:val="10705797"/>
    <w:rsid w:val="1084576B"/>
    <w:rsid w:val="108C3F83"/>
    <w:rsid w:val="109127D2"/>
    <w:rsid w:val="10967DE9"/>
    <w:rsid w:val="10A03E8D"/>
    <w:rsid w:val="10A51D08"/>
    <w:rsid w:val="10B10B15"/>
    <w:rsid w:val="10CE221E"/>
    <w:rsid w:val="10CF03ED"/>
    <w:rsid w:val="10DD253A"/>
    <w:rsid w:val="10E7388C"/>
    <w:rsid w:val="10EC652E"/>
    <w:rsid w:val="10F068F9"/>
    <w:rsid w:val="10F24D3D"/>
    <w:rsid w:val="10F634DA"/>
    <w:rsid w:val="1102547E"/>
    <w:rsid w:val="110B7891"/>
    <w:rsid w:val="111C104D"/>
    <w:rsid w:val="111D1A3C"/>
    <w:rsid w:val="11205904"/>
    <w:rsid w:val="11273711"/>
    <w:rsid w:val="1129747F"/>
    <w:rsid w:val="112E4DD8"/>
    <w:rsid w:val="11395C46"/>
    <w:rsid w:val="113D77E1"/>
    <w:rsid w:val="113E4421"/>
    <w:rsid w:val="11425059"/>
    <w:rsid w:val="114801D2"/>
    <w:rsid w:val="117B0D8C"/>
    <w:rsid w:val="117B6A61"/>
    <w:rsid w:val="118E1F67"/>
    <w:rsid w:val="119A56B6"/>
    <w:rsid w:val="119B5B01"/>
    <w:rsid w:val="119C4E19"/>
    <w:rsid w:val="11AA515D"/>
    <w:rsid w:val="11BB0D53"/>
    <w:rsid w:val="11C412E0"/>
    <w:rsid w:val="11C91940"/>
    <w:rsid w:val="11D35FAC"/>
    <w:rsid w:val="11D84431"/>
    <w:rsid w:val="11DA1F57"/>
    <w:rsid w:val="11EB41F5"/>
    <w:rsid w:val="11F93491"/>
    <w:rsid w:val="12095A3E"/>
    <w:rsid w:val="120B437A"/>
    <w:rsid w:val="120C5E99"/>
    <w:rsid w:val="12135AE0"/>
    <w:rsid w:val="12180AE1"/>
    <w:rsid w:val="121A2353"/>
    <w:rsid w:val="121B6CCA"/>
    <w:rsid w:val="123155A1"/>
    <w:rsid w:val="123F1E38"/>
    <w:rsid w:val="12466189"/>
    <w:rsid w:val="125062A1"/>
    <w:rsid w:val="125C38BD"/>
    <w:rsid w:val="126626F8"/>
    <w:rsid w:val="12664815"/>
    <w:rsid w:val="126E269F"/>
    <w:rsid w:val="127C6B6A"/>
    <w:rsid w:val="127D6304"/>
    <w:rsid w:val="127F48AC"/>
    <w:rsid w:val="12894C9F"/>
    <w:rsid w:val="1294300B"/>
    <w:rsid w:val="12AB0DC2"/>
    <w:rsid w:val="12AF6F40"/>
    <w:rsid w:val="12BB3B36"/>
    <w:rsid w:val="12C301CE"/>
    <w:rsid w:val="12C31FBF"/>
    <w:rsid w:val="12C97029"/>
    <w:rsid w:val="12D5055C"/>
    <w:rsid w:val="12D5073B"/>
    <w:rsid w:val="12D75CEB"/>
    <w:rsid w:val="130A640C"/>
    <w:rsid w:val="130F0069"/>
    <w:rsid w:val="131E2317"/>
    <w:rsid w:val="13282143"/>
    <w:rsid w:val="132B25B1"/>
    <w:rsid w:val="132C164E"/>
    <w:rsid w:val="13322B9C"/>
    <w:rsid w:val="134372EB"/>
    <w:rsid w:val="13453400"/>
    <w:rsid w:val="134E6759"/>
    <w:rsid w:val="136A10B9"/>
    <w:rsid w:val="136A42B0"/>
    <w:rsid w:val="136D727B"/>
    <w:rsid w:val="136E751F"/>
    <w:rsid w:val="13791B85"/>
    <w:rsid w:val="13975FCE"/>
    <w:rsid w:val="13A22B24"/>
    <w:rsid w:val="13A35FA2"/>
    <w:rsid w:val="13A5434E"/>
    <w:rsid w:val="13B75648"/>
    <w:rsid w:val="13BE63AE"/>
    <w:rsid w:val="13C54441"/>
    <w:rsid w:val="13C82D78"/>
    <w:rsid w:val="13D823D0"/>
    <w:rsid w:val="13DF1AA7"/>
    <w:rsid w:val="13DF6E73"/>
    <w:rsid w:val="13E0137B"/>
    <w:rsid w:val="13F17A57"/>
    <w:rsid w:val="13FD1F2D"/>
    <w:rsid w:val="13FD4129"/>
    <w:rsid w:val="13FF219B"/>
    <w:rsid w:val="140339E5"/>
    <w:rsid w:val="141259D8"/>
    <w:rsid w:val="142A6E60"/>
    <w:rsid w:val="14333B9F"/>
    <w:rsid w:val="1434290B"/>
    <w:rsid w:val="14362AA9"/>
    <w:rsid w:val="143D375D"/>
    <w:rsid w:val="143F5FAA"/>
    <w:rsid w:val="14492598"/>
    <w:rsid w:val="144B2C98"/>
    <w:rsid w:val="14590E51"/>
    <w:rsid w:val="145F5D93"/>
    <w:rsid w:val="14611454"/>
    <w:rsid w:val="14613264"/>
    <w:rsid w:val="14623B2B"/>
    <w:rsid w:val="14673CCC"/>
    <w:rsid w:val="148D1026"/>
    <w:rsid w:val="14991DEC"/>
    <w:rsid w:val="14A664BF"/>
    <w:rsid w:val="14B75363"/>
    <w:rsid w:val="14BD1B8C"/>
    <w:rsid w:val="14BD65D4"/>
    <w:rsid w:val="14CA079F"/>
    <w:rsid w:val="14D94748"/>
    <w:rsid w:val="14D95C9F"/>
    <w:rsid w:val="14DC7D94"/>
    <w:rsid w:val="14F579D0"/>
    <w:rsid w:val="150741EC"/>
    <w:rsid w:val="15086DDB"/>
    <w:rsid w:val="1527568C"/>
    <w:rsid w:val="152B63FC"/>
    <w:rsid w:val="153A651A"/>
    <w:rsid w:val="154C1C66"/>
    <w:rsid w:val="155073CC"/>
    <w:rsid w:val="15561AD6"/>
    <w:rsid w:val="155C16B2"/>
    <w:rsid w:val="155E4A4F"/>
    <w:rsid w:val="156B1DF9"/>
    <w:rsid w:val="156E33B1"/>
    <w:rsid w:val="157035C4"/>
    <w:rsid w:val="15732D30"/>
    <w:rsid w:val="157A747A"/>
    <w:rsid w:val="158346B4"/>
    <w:rsid w:val="158E4352"/>
    <w:rsid w:val="158E5532"/>
    <w:rsid w:val="159259DB"/>
    <w:rsid w:val="15987A9A"/>
    <w:rsid w:val="15A3099A"/>
    <w:rsid w:val="15A37950"/>
    <w:rsid w:val="15AB5CEE"/>
    <w:rsid w:val="15AE1730"/>
    <w:rsid w:val="15AE34DE"/>
    <w:rsid w:val="15B23B51"/>
    <w:rsid w:val="15B76DF2"/>
    <w:rsid w:val="15BD4731"/>
    <w:rsid w:val="15C33CB3"/>
    <w:rsid w:val="15DF30B1"/>
    <w:rsid w:val="15E11E98"/>
    <w:rsid w:val="15F15C66"/>
    <w:rsid w:val="1602417B"/>
    <w:rsid w:val="16090D0A"/>
    <w:rsid w:val="160924E4"/>
    <w:rsid w:val="16134180"/>
    <w:rsid w:val="16214CED"/>
    <w:rsid w:val="162842C8"/>
    <w:rsid w:val="162C2700"/>
    <w:rsid w:val="16344AE2"/>
    <w:rsid w:val="163934C9"/>
    <w:rsid w:val="163E47A2"/>
    <w:rsid w:val="164F37B9"/>
    <w:rsid w:val="16512C66"/>
    <w:rsid w:val="165C73DE"/>
    <w:rsid w:val="165E479A"/>
    <w:rsid w:val="1666781F"/>
    <w:rsid w:val="167171D0"/>
    <w:rsid w:val="167B0147"/>
    <w:rsid w:val="16810BF3"/>
    <w:rsid w:val="1686632E"/>
    <w:rsid w:val="168C2EEF"/>
    <w:rsid w:val="1698130C"/>
    <w:rsid w:val="16A91EF8"/>
    <w:rsid w:val="16B24B93"/>
    <w:rsid w:val="16B30AE1"/>
    <w:rsid w:val="16BA41CB"/>
    <w:rsid w:val="16BC7E2F"/>
    <w:rsid w:val="16C02C8A"/>
    <w:rsid w:val="16D97DC7"/>
    <w:rsid w:val="16E53D6B"/>
    <w:rsid w:val="16E93B6D"/>
    <w:rsid w:val="16ED10C9"/>
    <w:rsid w:val="16F63FFF"/>
    <w:rsid w:val="16FD2DDE"/>
    <w:rsid w:val="1718615B"/>
    <w:rsid w:val="171B2DF6"/>
    <w:rsid w:val="17366E04"/>
    <w:rsid w:val="173E42B8"/>
    <w:rsid w:val="17424758"/>
    <w:rsid w:val="174836DA"/>
    <w:rsid w:val="17532F30"/>
    <w:rsid w:val="17560DA8"/>
    <w:rsid w:val="175E3E19"/>
    <w:rsid w:val="175F2179"/>
    <w:rsid w:val="176A79A2"/>
    <w:rsid w:val="177845C9"/>
    <w:rsid w:val="178C273E"/>
    <w:rsid w:val="17917D74"/>
    <w:rsid w:val="17992B23"/>
    <w:rsid w:val="17AB21BE"/>
    <w:rsid w:val="17AD7E79"/>
    <w:rsid w:val="17B4609B"/>
    <w:rsid w:val="17B52287"/>
    <w:rsid w:val="17B648CC"/>
    <w:rsid w:val="17B814A8"/>
    <w:rsid w:val="17C12BED"/>
    <w:rsid w:val="17C36FE9"/>
    <w:rsid w:val="17C50FB3"/>
    <w:rsid w:val="17CC65DA"/>
    <w:rsid w:val="17D00BC5"/>
    <w:rsid w:val="17D9065B"/>
    <w:rsid w:val="17F322B2"/>
    <w:rsid w:val="17F329A6"/>
    <w:rsid w:val="180A784C"/>
    <w:rsid w:val="180C652F"/>
    <w:rsid w:val="180D4E89"/>
    <w:rsid w:val="18136923"/>
    <w:rsid w:val="181B2927"/>
    <w:rsid w:val="18227BC0"/>
    <w:rsid w:val="18307A87"/>
    <w:rsid w:val="18417598"/>
    <w:rsid w:val="18482706"/>
    <w:rsid w:val="184F4F03"/>
    <w:rsid w:val="185B5A96"/>
    <w:rsid w:val="185F70EF"/>
    <w:rsid w:val="186913B9"/>
    <w:rsid w:val="186950A5"/>
    <w:rsid w:val="18703AE0"/>
    <w:rsid w:val="18836BCC"/>
    <w:rsid w:val="189310B2"/>
    <w:rsid w:val="18936B5F"/>
    <w:rsid w:val="18955D8E"/>
    <w:rsid w:val="18982224"/>
    <w:rsid w:val="189A1485"/>
    <w:rsid w:val="189C4571"/>
    <w:rsid w:val="18BC3EAF"/>
    <w:rsid w:val="18C214B2"/>
    <w:rsid w:val="18C555F5"/>
    <w:rsid w:val="18D71DD8"/>
    <w:rsid w:val="18DA6CE0"/>
    <w:rsid w:val="18E322BF"/>
    <w:rsid w:val="18E33632"/>
    <w:rsid w:val="18FF04F5"/>
    <w:rsid w:val="190351DC"/>
    <w:rsid w:val="190568F9"/>
    <w:rsid w:val="190A59E8"/>
    <w:rsid w:val="190F25B6"/>
    <w:rsid w:val="19107413"/>
    <w:rsid w:val="191E6BCD"/>
    <w:rsid w:val="1934492D"/>
    <w:rsid w:val="193B2CF7"/>
    <w:rsid w:val="193E2DCB"/>
    <w:rsid w:val="194175B6"/>
    <w:rsid w:val="1942407F"/>
    <w:rsid w:val="19466D15"/>
    <w:rsid w:val="1946725F"/>
    <w:rsid w:val="19473734"/>
    <w:rsid w:val="194C364D"/>
    <w:rsid w:val="19597DE9"/>
    <w:rsid w:val="197174BD"/>
    <w:rsid w:val="19837863"/>
    <w:rsid w:val="19840902"/>
    <w:rsid w:val="19880B1B"/>
    <w:rsid w:val="19882078"/>
    <w:rsid w:val="19A604F8"/>
    <w:rsid w:val="19AF09B2"/>
    <w:rsid w:val="19B85026"/>
    <w:rsid w:val="19BA156E"/>
    <w:rsid w:val="19C138F0"/>
    <w:rsid w:val="19C73E97"/>
    <w:rsid w:val="19CB09B9"/>
    <w:rsid w:val="19CE7612"/>
    <w:rsid w:val="19D21766"/>
    <w:rsid w:val="19D77581"/>
    <w:rsid w:val="19DE47E2"/>
    <w:rsid w:val="19E219A9"/>
    <w:rsid w:val="19FE2D9C"/>
    <w:rsid w:val="1A006DFA"/>
    <w:rsid w:val="1A08785B"/>
    <w:rsid w:val="1A122BC9"/>
    <w:rsid w:val="1A144985"/>
    <w:rsid w:val="1A18186E"/>
    <w:rsid w:val="1A1879FE"/>
    <w:rsid w:val="1A1B310D"/>
    <w:rsid w:val="1A2D1CA6"/>
    <w:rsid w:val="1A3C2FDF"/>
    <w:rsid w:val="1A405F82"/>
    <w:rsid w:val="1A5D0811"/>
    <w:rsid w:val="1A5D3B32"/>
    <w:rsid w:val="1A6E2201"/>
    <w:rsid w:val="1A737ABB"/>
    <w:rsid w:val="1A7A00FB"/>
    <w:rsid w:val="1A7F5038"/>
    <w:rsid w:val="1A8470D5"/>
    <w:rsid w:val="1A8A0CDA"/>
    <w:rsid w:val="1A9829AF"/>
    <w:rsid w:val="1AA62EF1"/>
    <w:rsid w:val="1AAD228C"/>
    <w:rsid w:val="1AB23A71"/>
    <w:rsid w:val="1AC90407"/>
    <w:rsid w:val="1ACA1236"/>
    <w:rsid w:val="1AE67E64"/>
    <w:rsid w:val="1AF61A82"/>
    <w:rsid w:val="1B083691"/>
    <w:rsid w:val="1B1738D4"/>
    <w:rsid w:val="1B177FFD"/>
    <w:rsid w:val="1B1A3309"/>
    <w:rsid w:val="1B251795"/>
    <w:rsid w:val="1B2D4256"/>
    <w:rsid w:val="1B2D785E"/>
    <w:rsid w:val="1B3F08CF"/>
    <w:rsid w:val="1B4D1F87"/>
    <w:rsid w:val="1B5B12DF"/>
    <w:rsid w:val="1B606BA8"/>
    <w:rsid w:val="1B6A6DEC"/>
    <w:rsid w:val="1B772383"/>
    <w:rsid w:val="1B97034C"/>
    <w:rsid w:val="1BBC37D7"/>
    <w:rsid w:val="1BC32C8E"/>
    <w:rsid w:val="1BCD5916"/>
    <w:rsid w:val="1BD6346B"/>
    <w:rsid w:val="1BD75CCD"/>
    <w:rsid w:val="1BDF3A0A"/>
    <w:rsid w:val="1BEA17C8"/>
    <w:rsid w:val="1BEA723A"/>
    <w:rsid w:val="1BEC4D61"/>
    <w:rsid w:val="1BF954ED"/>
    <w:rsid w:val="1BFA03EC"/>
    <w:rsid w:val="1C007543"/>
    <w:rsid w:val="1C057BD0"/>
    <w:rsid w:val="1C062CAE"/>
    <w:rsid w:val="1C2A719F"/>
    <w:rsid w:val="1C2D0693"/>
    <w:rsid w:val="1C410423"/>
    <w:rsid w:val="1C497201"/>
    <w:rsid w:val="1C511779"/>
    <w:rsid w:val="1C607A2E"/>
    <w:rsid w:val="1C7D2F9B"/>
    <w:rsid w:val="1C7F52B5"/>
    <w:rsid w:val="1C843CC0"/>
    <w:rsid w:val="1C9049DE"/>
    <w:rsid w:val="1C93342E"/>
    <w:rsid w:val="1C96006A"/>
    <w:rsid w:val="1C973EFE"/>
    <w:rsid w:val="1CA1250B"/>
    <w:rsid w:val="1CA2734E"/>
    <w:rsid w:val="1CA44644"/>
    <w:rsid w:val="1CA943A7"/>
    <w:rsid w:val="1CAE2016"/>
    <w:rsid w:val="1CB4492A"/>
    <w:rsid w:val="1CBB1301"/>
    <w:rsid w:val="1CBC6688"/>
    <w:rsid w:val="1CCF3FBA"/>
    <w:rsid w:val="1CD210FF"/>
    <w:rsid w:val="1CD4241E"/>
    <w:rsid w:val="1CD852E5"/>
    <w:rsid w:val="1CE57F1E"/>
    <w:rsid w:val="1CE65C54"/>
    <w:rsid w:val="1CEC2B3E"/>
    <w:rsid w:val="1CEE2D5A"/>
    <w:rsid w:val="1CF02B1A"/>
    <w:rsid w:val="1CF32560"/>
    <w:rsid w:val="1CFE015B"/>
    <w:rsid w:val="1D081F61"/>
    <w:rsid w:val="1D0870CF"/>
    <w:rsid w:val="1D1C1BDC"/>
    <w:rsid w:val="1D1C3F8F"/>
    <w:rsid w:val="1D1F0D32"/>
    <w:rsid w:val="1D206B8C"/>
    <w:rsid w:val="1D2442D6"/>
    <w:rsid w:val="1D26506D"/>
    <w:rsid w:val="1D3E1022"/>
    <w:rsid w:val="1D672D1A"/>
    <w:rsid w:val="1D715174"/>
    <w:rsid w:val="1D7517E7"/>
    <w:rsid w:val="1D7C0366"/>
    <w:rsid w:val="1D7E25A9"/>
    <w:rsid w:val="1D8B67FB"/>
    <w:rsid w:val="1D974A58"/>
    <w:rsid w:val="1DC472CD"/>
    <w:rsid w:val="1DD714CA"/>
    <w:rsid w:val="1DEE1475"/>
    <w:rsid w:val="1E0104B3"/>
    <w:rsid w:val="1E0A4DB8"/>
    <w:rsid w:val="1E0E00F8"/>
    <w:rsid w:val="1E123FF1"/>
    <w:rsid w:val="1E1E141D"/>
    <w:rsid w:val="1E1F515D"/>
    <w:rsid w:val="1E2076B7"/>
    <w:rsid w:val="1E274922"/>
    <w:rsid w:val="1E2857DF"/>
    <w:rsid w:val="1E2D7605"/>
    <w:rsid w:val="1E2E0D3E"/>
    <w:rsid w:val="1E301183"/>
    <w:rsid w:val="1E303A24"/>
    <w:rsid w:val="1E446CAA"/>
    <w:rsid w:val="1E546BED"/>
    <w:rsid w:val="1E55227A"/>
    <w:rsid w:val="1E5A2881"/>
    <w:rsid w:val="1E6432D4"/>
    <w:rsid w:val="1E6913D1"/>
    <w:rsid w:val="1E6C3BCE"/>
    <w:rsid w:val="1E6E3BA0"/>
    <w:rsid w:val="1E704B77"/>
    <w:rsid w:val="1E7C3A20"/>
    <w:rsid w:val="1E86075E"/>
    <w:rsid w:val="1E934CC5"/>
    <w:rsid w:val="1E9E10D9"/>
    <w:rsid w:val="1EB06519"/>
    <w:rsid w:val="1EB34E95"/>
    <w:rsid w:val="1EB82905"/>
    <w:rsid w:val="1ECF34C0"/>
    <w:rsid w:val="1EE214C0"/>
    <w:rsid w:val="1EE75E4D"/>
    <w:rsid w:val="1EEC2369"/>
    <w:rsid w:val="1EEF5D6F"/>
    <w:rsid w:val="1EF55B62"/>
    <w:rsid w:val="1F0B7084"/>
    <w:rsid w:val="1F136DFA"/>
    <w:rsid w:val="1F24386A"/>
    <w:rsid w:val="1F2D10D7"/>
    <w:rsid w:val="1F2F67AE"/>
    <w:rsid w:val="1F30519D"/>
    <w:rsid w:val="1F330197"/>
    <w:rsid w:val="1F360D7E"/>
    <w:rsid w:val="1F36422B"/>
    <w:rsid w:val="1F436CAC"/>
    <w:rsid w:val="1F4924CA"/>
    <w:rsid w:val="1F4D0EF4"/>
    <w:rsid w:val="1F4D3D58"/>
    <w:rsid w:val="1F4E7B24"/>
    <w:rsid w:val="1F552FA7"/>
    <w:rsid w:val="1F5E41C7"/>
    <w:rsid w:val="1F84433B"/>
    <w:rsid w:val="1F890EAF"/>
    <w:rsid w:val="1F897FDF"/>
    <w:rsid w:val="1F8B7B1F"/>
    <w:rsid w:val="1F9626BE"/>
    <w:rsid w:val="1F976D27"/>
    <w:rsid w:val="1FA35DC6"/>
    <w:rsid w:val="1FA46A26"/>
    <w:rsid w:val="1FAB5D51"/>
    <w:rsid w:val="1FAD2A59"/>
    <w:rsid w:val="1FB82523"/>
    <w:rsid w:val="1FB91E05"/>
    <w:rsid w:val="1FCE5246"/>
    <w:rsid w:val="1FE32A14"/>
    <w:rsid w:val="1FE3647B"/>
    <w:rsid w:val="1FE412FD"/>
    <w:rsid w:val="1FFC4FAE"/>
    <w:rsid w:val="201069E8"/>
    <w:rsid w:val="2012795A"/>
    <w:rsid w:val="201357FC"/>
    <w:rsid w:val="202E0A44"/>
    <w:rsid w:val="20445CF6"/>
    <w:rsid w:val="204557E3"/>
    <w:rsid w:val="204721AA"/>
    <w:rsid w:val="20495156"/>
    <w:rsid w:val="20560F85"/>
    <w:rsid w:val="20595441"/>
    <w:rsid w:val="20597CE2"/>
    <w:rsid w:val="205B7CB4"/>
    <w:rsid w:val="20601879"/>
    <w:rsid w:val="206C47FE"/>
    <w:rsid w:val="206C4FEC"/>
    <w:rsid w:val="207B3A1F"/>
    <w:rsid w:val="20826462"/>
    <w:rsid w:val="208B17F4"/>
    <w:rsid w:val="20930891"/>
    <w:rsid w:val="20971013"/>
    <w:rsid w:val="20A63400"/>
    <w:rsid w:val="20AA70DB"/>
    <w:rsid w:val="20B0346B"/>
    <w:rsid w:val="20B06AF5"/>
    <w:rsid w:val="20BE3384"/>
    <w:rsid w:val="20C808AA"/>
    <w:rsid w:val="20DC26D0"/>
    <w:rsid w:val="20DE6C42"/>
    <w:rsid w:val="20E90E99"/>
    <w:rsid w:val="20EA0B6C"/>
    <w:rsid w:val="20F33B84"/>
    <w:rsid w:val="20F51ED0"/>
    <w:rsid w:val="20F6042F"/>
    <w:rsid w:val="20FC5411"/>
    <w:rsid w:val="21022B5C"/>
    <w:rsid w:val="210244EE"/>
    <w:rsid w:val="210E79E8"/>
    <w:rsid w:val="21154A34"/>
    <w:rsid w:val="21172781"/>
    <w:rsid w:val="212305FE"/>
    <w:rsid w:val="212E61B0"/>
    <w:rsid w:val="21305B1D"/>
    <w:rsid w:val="21381B3A"/>
    <w:rsid w:val="213F00CE"/>
    <w:rsid w:val="213F377A"/>
    <w:rsid w:val="2147554F"/>
    <w:rsid w:val="21577120"/>
    <w:rsid w:val="216B448C"/>
    <w:rsid w:val="217C0498"/>
    <w:rsid w:val="217C2978"/>
    <w:rsid w:val="218510F2"/>
    <w:rsid w:val="219829E4"/>
    <w:rsid w:val="21983295"/>
    <w:rsid w:val="21A00408"/>
    <w:rsid w:val="21A23447"/>
    <w:rsid w:val="21A26EB1"/>
    <w:rsid w:val="21BC1067"/>
    <w:rsid w:val="21BC51D5"/>
    <w:rsid w:val="21BE0F4D"/>
    <w:rsid w:val="21BF3F6C"/>
    <w:rsid w:val="21C33D3D"/>
    <w:rsid w:val="21C607D4"/>
    <w:rsid w:val="21C86A9F"/>
    <w:rsid w:val="21DC50BF"/>
    <w:rsid w:val="21DE2A1F"/>
    <w:rsid w:val="21E16A64"/>
    <w:rsid w:val="21F45635"/>
    <w:rsid w:val="21F661E7"/>
    <w:rsid w:val="220407AE"/>
    <w:rsid w:val="220728C0"/>
    <w:rsid w:val="222515C7"/>
    <w:rsid w:val="222B1CE7"/>
    <w:rsid w:val="2234120F"/>
    <w:rsid w:val="224372CA"/>
    <w:rsid w:val="22463676"/>
    <w:rsid w:val="22596F7E"/>
    <w:rsid w:val="226406C3"/>
    <w:rsid w:val="22717EF7"/>
    <w:rsid w:val="227855A0"/>
    <w:rsid w:val="22813D29"/>
    <w:rsid w:val="22886418"/>
    <w:rsid w:val="22950AE8"/>
    <w:rsid w:val="229C0B63"/>
    <w:rsid w:val="229F7AB5"/>
    <w:rsid w:val="22A76C6B"/>
    <w:rsid w:val="22BA6296"/>
    <w:rsid w:val="22BB2971"/>
    <w:rsid w:val="22C60B71"/>
    <w:rsid w:val="22C87E8B"/>
    <w:rsid w:val="22C91529"/>
    <w:rsid w:val="22D05933"/>
    <w:rsid w:val="22D17576"/>
    <w:rsid w:val="22DA2031"/>
    <w:rsid w:val="22DF2808"/>
    <w:rsid w:val="22E630DA"/>
    <w:rsid w:val="22EA5D72"/>
    <w:rsid w:val="231E28F1"/>
    <w:rsid w:val="23203542"/>
    <w:rsid w:val="232D56CF"/>
    <w:rsid w:val="23330232"/>
    <w:rsid w:val="233A6758"/>
    <w:rsid w:val="23471B9A"/>
    <w:rsid w:val="235B20D6"/>
    <w:rsid w:val="235E4CD5"/>
    <w:rsid w:val="23672C8A"/>
    <w:rsid w:val="236E16F8"/>
    <w:rsid w:val="23706277"/>
    <w:rsid w:val="23740623"/>
    <w:rsid w:val="237815D0"/>
    <w:rsid w:val="238F3A02"/>
    <w:rsid w:val="23904D06"/>
    <w:rsid w:val="23906919"/>
    <w:rsid w:val="23942FA6"/>
    <w:rsid w:val="23A300A3"/>
    <w:rsid w:val="23A46E10"/>
    <w:rsid w:val="23AE4F4C"/>
    <w:rsid w:val="23B84730"/>
    <w:rsid w:val="23C045EA"/>
    <w:rsid w:val="23D71594"/>
    <w:rsid w:val="23DF15A0"/>
    <w:rsid w:val="23EF1892"/>
    <w:rsid w:val="23F14035"/>
    <w:rsid w:val="23F231AE"/>
    <w:rsid w:val="240F7182"/>
    <w:rsid w:val="2418246B"/>
    <w:rsid w:val="243E3A80"/>
    <w:rsid w:val="245903FB"/>
    <w:rsid w:val="245A3DFD"/>
    <w:rsid w:val="24695B13"/>
    <w:rsid w:val="246F63CE"/>
    <w:rsid w:val="247216A5"/>
    <w:rsid w:val="247B17AA"/>
    <w:rsid w:val="24A3533A"/>
    <w:rsid w:val="24B84975"/>
    <w:rsid w:val="24BB713C"/>
    <w:rsid w:val="24CD34A2"/>
    <w:rsid w:val="24CE2EF8"/>
    <w:rsid w:val="24D4797A"/>
    <w:rsid w:val="24D665AE"/>
    <w:rsid w:val="24D82326"/>
    <w:rsid w:val="24D8422A"/>
    <w:rsid w:val="24E80FD5"/>
    <w:rsid w:val="24ED075D"/>
    <w:rsid w:val="2506733C"/>
    <w:rsid w:val="25071B35"/>
    <w:rsid w:val="25092E7C"/>
    <w:rsid w:val="25167121"/>
    <w:rsid w:val="253D7D1E"/>
    <w:rsid w:val="253E508F"/>
    <w:rsid w:val="25427EBB"/>
    <w:rsid w:val="25486290"/>
    <w:rsid w:val="25641E0C"/>
    <w:rsid w:val="25653D07"/>
    <w:rsid w:val="256718FC"/>
    <w:rsid w:val="257263BF"/>
    <w:rsid w:val="258B75A4"/>
    <w:rsid w:val="25991D80"/>
    <w:rsid w:val="25B6062E"/>
    <w:rsid w:val="25C846BD"/>
    <w:rsid w:val="25D10929"/>
    <w:rsid w:val="25D1233A"/>
    <w:rsid w:val="25D94253"/>
    <w:rsid w:val="25EE5FE5"/>
    <w:rsid w:val="25F9324C"/>
    <w:rsid w:val="25FD7B6A"/>
    <w:rsid w:val="26000462"/>
    <w:rsid w:val="26041520"/>
    <w:rsid w:val="260B2287"/>
    <w:rsid w:val="261A1E67"/>
    <w:rsid w:val="262A7FB0"/>
    <w:rsid w:val="265156C8"/>
    <w:rsid w:val="265A6D6B"/>
    <w:rsid w:val="265B69C3"/>
    <w:rsid w:val="2666158F"/>
    <w:rsid w:val="266A0D63"/>
    <w:rsid w:val="267C5E66"/>
    <w:rsid w:val="268E11BD"/>
    <w:rsid w:val="268F41C1"/>
    <w:rsid w:val="26AF38E8"/>
    <w:rsid w:val="26B452EF"/>
    <w:rsid w:val="26B80661"/>
    <w:rsid w:val="26BD5C77"/>
    <w:rsid w:val="26C25870"/>
    <w:rsid w:val="26CA7D26"/>
    <w:rsid w:val="26D31039"/>
    <w:rsid w:val="26D65F40"/>
    <w:rsid w:val="26E038BD"/>
    <w:rsid w:val="26E26D33"/>
    <w:rsid w:val="27017B97"/>
    <w:rsid w:val="270513CC"/>
    <w:rsid w:val="2706150A"/>
    <w:rsid w:val="270620FC"/>
    <w:rsid w:val="27195750"/>
    <w:rsid w:val="27260322"/>
    <w:rsid w:val="272A2BE1"/>
    <w:rsid w:val="272C6D60"/>
    <w:rsid w:val="273D46C2"/>
    <w:rsid w:val="27400656"/>
    <w:rsid w:val="27491CE2"/>
    <w:rsid w:val="274E68CF"/>
    <w:rsid w:val="27526510"/>
    <w:rsid w:val="27544D31"/>
    <w:rsid w:val="27554346"/>
    <w:rsid w:val="27585596"/>
    <w:rsid w:val="275F7B4F"/>
    <w:rsid w:val="2760787D"/>
    <w:rsid w:val="277D0F63"/>
    <w:rsid w:val="2782385D"/>
    <w:rsid w:val="278E13C2"/>
    <w:rsid w:val="27941F58"/>
    <w:rsid w:val="2794393C"/>
    <w:rsid w:val="2799071E"/>
    <w:rsid w:val="279A78CF"/>
    <w:rsid w:val="279E1D79"/>
    <w:rsid w:val="27A45880"/>
    <w:rsid w:val="27A91953"/>
    <w:rsid w:val="27A92336"/>
    <w:rsid w:val="27BA750C"/>
    <w:rsid w:val="27BB257C"/>
    <w:rsid w:val="27BB423B"/>
    <w:rsid w:val="27BE6B40"/>
    <w:rsid w:val="27C110E8"/>
    <w:rsid w:val="27E05A24"/>
    <w:rsid w:val="27EB6B0D"/>
    <w:rsid w:val="27EC0B22"/>
    <w:rsid w:val="2808000B"/>
    <w:rsid w:val="280E5870"/>
    <w:rsid w:val="280F766B"/>
    <w:rsid w:val="28251E9F"/>
    <w:rsid w:val="282E5678"/>
    <w:rsid w:val="28303D1C"/>
    <w:rsid w:val="283C7464"/>
    <w:rsid w:val="284B190C"/>
    <w:rsid w:val="2851494D"/>
    <w:rsid w:val="28517347"/>
    <w:rsid w:val="28587696"/>
    <w:rsid w:val="285D1471"/>
    <w:rsid w:val="28606245"/>
    <w:rsid w:val="286E5DEC"/>
    <w:rsid w:val="28763F5F"/>
    <w:rsid w:val="28830526"/>
    <w:rsid w:val="2887059C"/>
    <w:rsid w:val="288753C6"/>
    <w:rsid w:val="288A5FB2"/>
    <w:rsid w:val="289E7EA6"/>
    <w:rsid w:val="28A00DCC"/>
    <w:rsid w:val="28A15125"/>
    <w:rsid w:val="28A507E6"/>
    <w:rsid w:val="28A60778"/>
    <w:rsid w:val="28A71382"/>
    <w:rsid w:val="28AA3FD9"/>
    <w:rsid w:val="28B90FF5"/>
    <w:rsid w:val="28CE3051"/>
    <w:rsid w:val="28CE4BFD"/>
    <w:rsid w:val="28CF2988"/>
    <w:rsid w:val="28DC0D01"/>
    <w:rsid w:val="28DC1928"/>
    <w:rsid w:val="28E5138A"/>
    <w:rsid w:val="28E55456"/>
    <w:rsid w:val="28E60D8A"/>
    <w:rsid w:val="28E76FDC"/>
    <w:rsid w:val="290365C7"/>
    <w:rsid w:val="290814D4"/>
    <w:rsid w:val="291476A5"/>
    <w:rsid w:val="29174DB1"/>
    <w:rsid w:val="2918044D"/>
    <w:rsid w:val="29201EFD"/>
    <w:rsid w:val="292B0F16"/>
    <w:rsid w:val="293D522B"/>
    <w:rsid w:val="29430DF1"/>
    <w:rsid w:val="29455AB0"/>
    <w:rsid w:val="295201CD"/>
    <w:rsid w:val="29611A6E"/>
    <w:rsid w:val="296350A7"/>
    <w:rsid w:val="29653242"/>
    <w:rsid w:val="297114B3"/>
    <w:rsid w:val="29905947"/>
    <w:rsid w:val="29986DEC"/>
    <w:rsid w:val="29AA117D"/>
    <w:rsid w:val="29AB66CC"/>
    <w:rsid w:val="29BB1BAC"/>
    <w:rsid w:val="29BC5D51"/>
    <w:rsid w:val="29BD4789"/>
    <w:rsid w:val="29BD5F8E"/>
    <w:rsid w:val="29C07A40"/>
    <w:rsid w:val="29CE0F19"/>
    <w:rsid w:val="29D12CC0"/>
    <w:rsid w:val="29E6508D"/>
    <w:rsid w:val="29E8736F"/>
    <w:rsid w:val="29E95A0B"/>
    <w:rsid w:val="29EC72FA"/>
    <w:rsid w:val="29FB6096"/>
    <w:rsid w:val="29FD2C93"/>
    <w:rsid w:val="2A0421AD"/>
    <w:rsid w:val="2A064179"/>
    <w:rsid w:val="2A104310"/>
    <w:rsid w:val="2A161237"/>
    <w:rsid w:val="2A176CD8"/>
    <w:rsid w:val="2A190AFA"/>
    <w:rsid w:val="2A1D44C3"/>
    <w:rsid w:val="2A214F83"/>
    <w:rsid w:val="2A224043"/>
    <w:rsid w:val="2A2800E1"/>
    <w:rsid w:val="2A321D99"/>
    <w:rsid w:val="2A326C9B"/>
    <w:rsid w:val="2A3D6440"/>
    <w:rsid w:val="2A650689"/>
    <w:rsid w:val="2A7560F7"/>
    <w:rsid w:val="2A7D2445"/>
    <w:rsid w:val="2A7D24C5"/>
    <w:rsid w:val="2A9413C9"/>
    <w:rsid w:val="2AA03243"/>
    <w:rsid w:val="2AA812D6"/>
    <w:rsid w:val="2AA8279A"/>
    <w:rsid w:val="2AB34501"/>
    <w:rsid w:val="2ABB0C08"/>
    <w:rsid w:val="2ABE7D2D"/>
    <w:rsid w:val="2AC276FE"/>
    <w:rsid w:val="2AD16F39"/>
    <w:rsid w:val="2ADB31FA"/>
    <w:rsid w:val="2ADD0128"/>
    <w:rsid w:val="2AE63E41"/>
    <w:rsid w:val="2AFE498C"/>
    <w:rsid w:val="2AFF2FAD"/>
    <w:rsid w:val="2B0261C7"/>
    <w:rsid w:val="2B08148B"/>
    <w:rsid w:val="2B14199B"/>
    <w:rsid w:val="2B1616C0"/>
    <w:rsid w:val="2B1A4D1A"/>
    <w:rsid w:val="2B284A29"/>
    <w:rsid w:val="2B2C0B1E"/>
    <w:rsid w:val="2B316D5D"/>
    <w:rsid w:val="2B375A80"/>
    <w:rsid w:val="2B3A54A0"/>
    <w:rsid w:val="2B406075"/>
    <w:rsid w:val="2B54134E"/>
    <w:rsid w:val="2B5618EA"/>
    <w:rsid w:val="2B6A60AE"/>
    <w:rsid w:val="2B7514D3"/>
    <w:rsid w:val="2B7B144C"/>
    <w:rsid w:val="2B7C11DE"/>
    <w:rsid w:val="2B7F321F"/>
    <w:rsid w:val="2B8F5781"/>
    <w:rsid w:val="2B955EB9"/>
    <w:rsid w:val="2B970891"/>
    <w:rsid w:val="2BB12FF2"/>
    <w:rsid w:val="2BB852FB"/>
    <w:rsid w:val="2BCD6895"/>
    <w:rsid w:val="2BCE7663"/>
    <w:rsid w:val="2BCE7FDF"/>
    <w:rsid w:val="2BD5774A"/>
    <w:rsid w:val="2BDE7A6E"/>
    <w:rsid w:val="2BDF08AF"/>
    <w:rsid w:val="2BE22220"/>
    <w:rsid w:val="2BE805E0"/>
    <w:rsid w:val="2BEB2BA4"/>
    <w:rsid w:val="2BEC7577"/>
    <w:rsid w:val="2BF27B31"/>
    <w:rsid w:val="2BFA1EB2"/>
    <w:rsid w:val="2BFA2551"/>
    <w:rsid w:val="2C044FCB"/>
    <w:rsid w:val="2C064ECB"/>
    <w:rsid w:val="2C104E0B"/>
    <w:rsid w:val="2C223CCD"/>
    <w:rsid w:val="2C275E71"/>
    <w:rsid w:val="2C2C690D"/>
    <w:rsid w:val="2C351641"/>
    <w:rsid w:val="2C39711E"/>
    <w:rsid w:val="2C3B60EB"/>
    <w:rsid w:val="2C5504A2"/>
    <w:rsid w:val="2C603C73"/>
    <w:rsid w:val="2C693CED"/>
    <w:rsid w:val="2C696B54"/>
    <w:rsid w:val="2C790D48"/>
    <w:rsid w:val="2C7D07AF"/>
    <w:rsid w:val="2C854E8D"/>
    <w:rsid w:val="2CA03331"/>
    <w:rsid w:val="2CAA76C2"/>
    <w:rsid w:val="2CB177FA"/>
    <w:rsid w:val="2CB53328"/>
    <w:rsid w:val="2CB82A3D"/>
    <w:rsid w:val="2CC077C8"/>
    <w:rsid w:val="2CC80F42"/>
    <w:rsid w:val="2CCD4076"/>
    <w:rsid w:val="2CDB5B13"/>
    <w:rsid w:val="2CEC3C97"/>
    <w:rsid w:val="2CF717B7"/>
    <w:rsid w:val="2CFB6EDA"/>
    <w:rsid w:val="2D07093B"/>
    <w:rsid w:val="2D0930DD"/>
    <w:rsid w:val="2D1929F3"/>
    <w:rsid w:val="2D2B7FD9"/>
    <w:rsid w:val="2D3034C0"/>
    <w:rsid w:val="2D354EA0"/>
    <w:rsid w:val="2D53331B"/>
    <w:rsid w:val="2D636E4D"/>
    <w:rsid w:val="2D682422"/>
    <w:rsid w:val="2D6E0C65"/>
    <w:rsid w:val="2D9B34F3"/>
    <w:rsid w:val="2DA14747"/>
    <w:rsid w:val="2DA3194D"/>
    <w:rsid w:val="2DAA3B1E"/>
    <w:rsid w:val="2DAB444D"/>
    <w:rsid w:val="2DB245D8"/>
    <w:rsid w:val="2DB5435D"/>
    <w:rsid w:val="2DB553C8"/>
    <w:rsid w:val="2DC55411"/>
    <w:rsid w:val="2DC77DCA"/>
    <w:rsid w:val="2DCA6ECC"/>
    <w:rsid w:val="2DF13843"/>
    <w:rsid w:val="2E0416EC"/>
    <w:rsid w:val="2E08204A"/>
    <w:rsid w:val="2E0F39C1"/>
    <w:rsid w:val="2E132ACC"/>
    <w:rsid w:val="2E314855"/>
    <w:rsid w:val="2E3809D2"/>
    <w:rsid w:val="2E461C72"/>
    <w:rsid w:val="2E570BA6"/>
    <w:rsid w:val="2E5F292E"/>
    <w:rsid w:val="2E5F6D7F"/>
    <w:rsid w:val="2E607A11"/>
    <w:rsid w:val="2E700114"/>
    <w:rsid w:val="2E8579BB"/>
    <w:rsid w:val="2EAE40F8"/>
    <w:rsid w:val="2EAE5336"/>
    <w:rsid w:val="2EB20720"/>
    <w:rsid w:val="2EB42CB5"/>
    <w:rsid w:val="2EB72FAC"/>
    <w:rsid w:val="2EC1611A"/>
    <w:rsid w:val="2EE20771"/>
    <w:rsid w:val="2EF73845"/>
    <w:rsid w:val="2F020D8A"/>
    <w:rsid w:val="2F031B7D"/>
    <w:rsid w:val="2F0C71FB"/>
    <w:rsid w:val="2F1F39B0"/>
    <w:rsid w:val="2F320BC6"/>
    <w:rsid w:val="2F363DB4"/>
    <w:rsid w:val="2F407445"/>
    <w:rsid w:val="2F446CE9"/>
    <w:rsid w:val="2F464330"/>
    <w:rsid w:val="2F477B7C"/>
    <w:rsid w:val="2F4F2227"/>
    <w:rsid w:val="2F4F6AE8"/>
    <w:rsid w:val="2F561FC3"/>
    <w:rsid w:val="2F6A03D2"/>
    <w:rsid w:val="2F6E3C71"/>
    <w:rsid w:val="2F7056E3"/>
    <w:rsid w:val="2F787D25"/>
    <w:rsid w:val="2F7964B4"/>
    <w:rsid w:val="2F7A7FD9"/>
    <w:rsid w:val="2F7C15C4"/>
    <w:rsid w:val="2F7F1920"/>
    <w:rsid w:val="2F807842"/>
    <w:rsid w:val="2F942940"/>
    <w:rsid w:val="2F9645AE"/>
    <w:rsid w:val="2FAB748D"/>
    <w:rsid w:val="2FB44FFE"/>
    <w:rsid w:val="2FCA419D"/>
    <w:rsid w:val="2FCD2C86"/>
    <w:rsid w:val="2FCD4B7E"/>
    <w:rsid w:val="2FD42EE9"/>
    <w:rsid w:val="2FD521F9"/>
    <w:rsid w:val="2FD808A9"/>
    <w:rsid w:val="2FD858D0"/>
    <w:rsid w:val="2FDB6941"/>
    <w:rsid w:val="2FFB2DCC"/>
    <w:rsid w:val="3006476D"/>
    <w:rsid w:val="30261906"/>
    <w:rsid w:val="303F594F"/>
    <w:rsid w:val="30432274"/>
    <w:rsid w:val="30504D55"/>
    <w:rsid w:val="3058256D"/>
    <w:rsid w:val="305D5210"/>
    <w:rsid w:val="305D7B03"/>
    <w:rsid w:val="306B5DA3"/>
    <w:rsid w:val="308169BB"/>
    <w:rsid w:val="308C711B"/>
    <w:rsid w:val="308F19DA"/>
    <w:rsid w:val="30934F8B"/>
    <w:rsid w:val="30A55F03"/>
    <w:rsid w:val="30B12607"/>
    <w:rsid w:val="30BA6D84"/>
    <w:rsid w:val="30C22D2D"/>
    <w:rsid w:val="30D23F36"/>
    <w:rsid w:val="30ED53AB"/>
    <w:rsid w:val="30EF1D20"/>
    <w:rsid w:val="312144AA"/>
    <w:rsid w:val="3121527B"/>
    <w:rsid w:val="3134032E"/>
    <w:rsid w:val="31363E4E"/>
    <w:rsid w:val="3153463F"/>
    <w:rsid w:val="315469E8"/>
    <w:rsid w:val="31554C27"/>
    <w:rsid w:val="31566970"/>
    <w:rsid w:val="31574969"/>
    <w:rsid w:val="315938D7"/>
    <w:rsid w:val="31597DB3"/>
    <w:rsid w:val="315B5C24"/>
    <w:rsid w:val="31682C84"/>
    <w:rsid w:val="31690CC7"/>
    <w:rsid w:val="317E76C9"/>
    <w:rsid w:val="31807FCD"/>
    <w:rsid w:val="31865C33"/>
    <w:rsid w:val="31961D9E"/>
    <w:rsid w:val="31A5035D"/>
    <w:rsid w:val="31B25476"/>
    <w:rsid w:val="31B77B07"/>
    <w:rsid w:val="31B959C7"/>
    <w:rsid w:val="31C11945"/>
    <w:rsid w:val="31CF465E"/>
    <w:rsid w:val="31D26A97"/>
    <w:rsid w:val="31D65860"/>
    <w:rsid w:val="31D65E3F"/>
    <w:rsid w:val="31D83648"/>
    <w:rsid w:val="31DF2946"/>
    <w:rsid w:val="31E5382A"/>
    <w:rsid w:val="31E6043F"/>
    <w:rsid w:val="31E76E07"/>
    <w:rsid w:val="31E77E49"/>
    <w:rsid w:val="31EE10DC"/>
    <w:rsid w:val="31F27808"/>
    <w:rsid w:val="31F519ED"/>
    <w:rsid w:val="31FC5730"/>
    <w:rsid w:val="3202347A"/>
    <w:rsid w:val="32042F37"/>
    <w:rsid w:val="320669BE"/>
    <w:rsid w:val="32075FF9"/>
    <w:rsid w:val="32197A18"/>
    <w:rsid w:val="321B38AD"/>
    <w:rsid w:val="322A7FAB"/>
    <w:rsid w:val="323816E9"/>
    <w:rsid w:val="3239730B"/>
    <w:rsid w:val="32431AD0"/>
    <w:rsid w:val="32433759"/>
    <w:rsid w:val="32512142"/>
    <w:rsid w:val="325A6A70"/>
    <w:rsid w:val="32601BAD"/>
    <w:rsid w:val="326501D5"/>
    <w:rsid w:val="32686E48"/>
    <w:rsid w:val="326C67A3"/>
    <w:rsid w:val="32716E51"/>
    <w:rsid w:val="32863194"/>
    <w:rsid w:val="32894C0B"/>
    <w:rsid w:val="328C0139"/>
    <w:rsid w:val="328E671A"/>
    <w:rsid w:val="32A42E3E"/>
    <w:rsid w:val="32A55811"/>
    <w:rsid w:val="32AB22E8"/>
    <w:rsid w:val="32AF043E"/>
    <w:rsid w:val="32C263C3"/>
    <w:rsid w:val="32CF2B72"/>
    <w:rsid w:val="32D50524"/>
    <w:rsid w:val="32E43B71"/>
    <w:rsid w:val="32E53A10"/>
    <w:rsid w:val="32F117F1"/>
    <w:rsid w:val="32FA10E4"/>
    <w:rsid w:val="32FA3431"/>
    <w:rsid w:val="32FE5223"/>
    <w:rsid w:val="3306616E"/>
    <w:rsid w:val="33140930"/>
    <w:rsid w:val="332A151B"/>
    <w:rsid w:val="332D7D9C"/>
    <w:rsid w:val="333A389D"/>
    <w:rsid w:val="333B707D"/>
    <w:rsid w:val="337554A3"/>
    <w:rsid w:val="338401D6"/>
    <w:rsid w:val="338B6CA7"/>
    <w:rsid w:val="338C030E"/>
    <w:rsid w:val="33A70F4C"/>
    <w:rsid w:val="33A84B8F"/>
    <w:rsid w:val="33D26243"/>
    <w:rsid w:val="33DA1856"/>
    <w:rsid w:val="33E23EB3"/>
    <w:rsid w:val="33E84308"/>
    <w:rsid w:val="34065260"/>
    <w:rsid w:val="34070A4D"/>
    <w:rsid w:val="340C2A82"/>
    <w:rsid w:val="340C3D9A"/>
    <w:rsid w:val="343668E0"/>
    <w:rsid w:val="343A7E32"/>
    <w:rsid w:val="343C5ADB"/>
    <w:rsid w:val="34403BA5"/>
    <w:rsid w:val="34495444"/>
    <w:rsid w:val="34562B57"/>
    <w:rsid w:val="345E1E65"/>
    <w:rsid w:val="346C56D7"/>
    <w:rsid w:val="348E2A01"/>
    <w:rsid w:val="348F1A97"/>
    <w:rsid w:val="349721D9"/>
    <w:rsid w:val="3498562E"/>
    <w:rsid w:val="34AA5593"/>
    <w:rsid w:val="34AD47A2"/>
    <w:rsid w:val="34BC0417"/>
    <w:rsid w:val="34BC24F2"/>
    <w:rsid w:val="34CD1D68"/>
    <w:rsid w:val="34D52371"/>
    <w:rsid w:val="34D7676C"/>
    <w:rsid w:val="34E7489C"/>
    <w:rsid w:val="34F36FD5"/>
    <w:rsid w:val="34FB5F6A"/>
    <w:rsid w:val="3504664D"/>
    <w:rsid w:val="35082926"/>
    <w:rsid w:val="350E3ED7"/>
    <w:rsid w:val="350F40EB"/>
    <w:rsid w:val="35161D20"/>
    <w:rsid w:val="351E091F"/>
    <w:rsid w:val="351F0FAC"/>
    <w:rsid w:val="35210197"/>
    <w:rsid w:val="35225A22"/>
    <w:rsid w:val="35262F68"/>
    <w:rsid w:val="352A4256"/>
    <w:rsid w:val="35301D0A"/>
    <w:rsid w:val="35431424"/>
    <w:rsid w:val="35480CF6"/>
    <w:rsid w:val="354D5BB4"/>
    <w:rsid w:val="354E225C"/>
    <w:rsid w:val="354E7463"/>
    <w:rsid w:val="355222A0"/>
    <w:rsid w:val="35525CAC"/>
    <w:rsid w:val="355702EC"/>
    <w:rsid w:val="355C75FC"/>
    <w:rsid w:val="355D069A"/>
    <w:rsid w:val="35682F56"/>
    <w:rsid w:val="356C6C11"/>
    <w:rsid w:val="35774AB9"/>
    <w:rsid w:val="358B781C"/>
    <w:rsid w:val="358D6E3D"/>
    <w:rsid w:val="35951B6D"/>
    <w:rsid w:val="359F5BA6"/>
    <w:rsid w:val="35A3072E"/>
    <w:rsid w:val="35AB2ECC"/>
    <w:rsid w:val="35AE1B85"/>
    <w:rsid w:val="35B00755"/>
    <w:rsid w:val="35B277CF"/>
    <w:rsid w:val="35BA5E1A"/>
    <w:rsid w:val="35BD593A"/>
    <w:rsid w:val="35C63003"/>
    <w:rsid w:val="35C84690"/>
    <w:rsid w:val="35E87354"/>
    <w:rsid w:val="35F116EA"/>
    <w:rsid w:val="35F45E8B"/>
    <w:rsid w:val="35FB28FC"/>
    <w:rsid w:val="360D36C6"/>
    <w:rsid w:val="361377D5"/>
    <w:rsid w:val="3632560E"/>
    <w:rsid w:val="36373832"/>
    <w:rsid w:val="363B44C3"/>
    <w:rsid w:val="363D46DF"/>
    <w:rsid w:val="366E276C"/>
    <w:rsid w:val="368340BC"/>
    <w:rsid w:val="368954CA"/>
    <w:rsid w:val="368A369C"/>
    <w:rsid w:val="368C1783"/>
    <w:rsid w:val="36940CDD"/>
    <w:rsid w:val="36AA4451"/>
    <w:rsid w:val="36AF19C0"/>
    <w:rsid w:val="36D15A22"/>
    <w:rsid w:val="36D749F7"/>
    <w:rsid w:val="36D96DD9"/>
    <w:rsid w:val="36F63DEA"/>
    <w:rsid w:val="370B613D"/>
    <w:rsid w:val="370D0710"/>
    <w:rsid w:val="37130057"/>
    <w:rsid w:val="371D0F76"/>
    <w:rsid w:val="372235BD"/>
    <w:rsid w:val="37252C7D"/>
    <w:rsid w:val="37261EC6"/>
    <w:rsid w:val="372B7CE0"/>
    <w:rsid w:val="372D7A74"/>
    <w:rsid w:val="37326C37"/>
    <w:rsid w:val="373309DC"/>
    <w:rsid w:val="373824B0"/>
    <w:rsid w:val="373A34D5"/>
    <w:rsid w:val="37441862"/>
    <w:rsid w:val="37490A6C"/>
    <w:rsid w:val="37643EED"/>
    <w:rsid w:val="37667C65"/>
    <w:rsid w:val="376D3CEA"/>
    <w:rsid w:val="3772660A"/>
    <w:rsid w:val="37772CCC"/>
    <w:rsid w:val="37773C20"/>
    <w:rsid w:val="377C1716"/>
    <w:rsid w:val="378A51C2"/>
    <w:rsid w:val="379C53EC"/>
    <w:rsid w:val="37A16891"/>
    <w:rsid w:val="37A21BDD"/>
    <w:rsid w:val="37A434A3"/>
    <w:rsid w:val="37A920BC"/>
    <w:rsid w:val="37D22ECB"/>
    <w:rsid w:val="37D76FF4"/>
    <w:rsid w:val="37EB72B3"/>
    <w:rsid w:val="37EE6AE0"/>
    <w:rsid w:val="37EF11A5"/>
    <w:rsid w:val="37EF7C5B"/>
    <w:rsid w:val="37F0694A"/>
    <w:rsid w:val="37F14165"/>
    <w:rsid w:val="38061A6B"/>
    <w:rsid w:val="381257AF"/>
    <w:rsid w:val="381450F7"/>
    <w:rsid w:val="38186116"/>
    <w:rsid w:val="38276324"/>
    <w:rsid w:val="382D3FDE"/>
    <w:rsid w:val="383729F6"/>
    <w:rsid w:val="3837600C"/>
    <w:rsid w:val="38452845"/>
    <w:rsid w:val="3858386A"/>
    <w:rsid w:val="386D247F"/>
    <w:rsid w:val="38703520"/>
    <w:rsid w:val="38747024"/>
    <w:rsid w:val="3876642F"/>
    <w:rsid w:val="387A5AF6"/>
    <w:rsid w:val="387A74C6"/>
    <w:rsid w:val="38805BCB"/>
    <w:rsid w:val="38A86413"/>
    <w:rsid w:val="38AB12BA"/>
    <w:rsid w:val="38B10CD7"/>
    <w:rsid w:val="38B16D32"/>
    <w:rsid w:val="38B761F8"/>
    <w:rsid w:val="38BC484B"/>
    <w:rsid w:val="38BD382D"/>
    <w:rsid w:val="38C21810"/>
    <w:rsid w:val="38C66BFE"/>
    <w:rsid w:val="38C7370E"/>
    <w:rsid w:val="38CC55EE"/>
    <w:rsid w:val="38CF4977"/>
    <w:rsid w:val="38DA765D"/>
    <w:rsid w:val="38E1756D"/>
    <w:rsid w:val="38E813DB"/>
    <w:rsid w:val="38E90128"/>
    <w:rsid w:val="38F51C6A"/>
    <w:rsid w:val="390115DC"/>
    <w:rsid w:val="39023408"/>
    <w:rsid w:val="391029D4"/>
    <w:rsid w:val="391279F7"/>
    <w:rsid w:val="39270E63"/>
    <w:rsid w:val="392F0835"/>
    <w:rsid w:val="393305D0"/>
    <w:rsid w:val="39373D86"/>
    <w:rsid w:val="394B5125"/>
    <w:rsid w:val="39522F81"/>
    <w:rsid w:val="395C78BE"/>
    <w:rsid w:val="39640917"/>
    <w:rsid w:val="396C6F56"/>
    <w:rsid w:val="39755F3E"/>
    <w:rsid w:val="39896F58"/>
    <w:rsid w:val="39985DC1"/>
    <w:rsid w:val="399A1DB9"/>
    <w:rsid w:val="39A148C7"/>
    <w:rsid w:val="39C6206E"/>
    <w:rsid w:val="39ED1F78"/>
    <w:rsid w:val="39FE4185"/>
    <w:rsid w:val="3A0D1341"/>
    <w:rsid w:val="3A125E82"/>
    <w:rsid w:val="3A140C5B"/>
    <w:rsid w:val="3A19697C"/>
    <w:rsid w:val="3A1A5C49"/>
    <w:rsid w:val="3A1B30E3"/>
    <w:rsid w:val="3A1F3810"/>
    <w:rsid w:val="3A275664"/>
    <w:rsid w:val="3A296A5E"/>
    <w:rsid w:val="3A2A3C13"/>
    <w:rsid w:val="3A2A6678"/>
    <w:rsid w:val="3A3777BD"/>
    <w:rsid w:val="3A4124B6"/>
    <w:rsid w:val="3A445748"/>
    <w:rsid w:val="3A4A3A60"/>
    <w:rsid w:val="3A514FCD"/>
    <w:rsid w:val="3A585B44"/>
    <w:rsid w:val="3A5B78CA"/>
    <w:rsid w:val="3A6E781E"/>
    <w:rsid w:val="3A6F0BDF"/>
    <w:rsid w:val="3A7B2781"/>
    <w:rsid w:val="3A8F3D9B"/>
    <w:rsid w:val="3AB139C4"/>
    <w:rsid w:val="3ABE1346"/>
    <w:rsid w:val="3ABE19F9"/>
    <w:rsid w:val="3AC34C06"/>
    <w:rsid w:val="3AD64613"/>
    <w:rsid w:val="3AE45C9E"/>
    <w:rsid w:val="3AE53462"/>
    <w:rsid w:val="3AFB3AFA"/>
    <w:rsid w:val="3AFC1592"/>
    <w:rsid w:val="3B013858"/>
    <w:rsid w:val="3B0B7032"/>
    <w:rsid w:val="3B1267F6"/>
    <w:rsid w:val="3B1503C1"/>
    <w:rsid w:val="3B174F09"/>
    <w:rsid w:val="3B2B436B"/>
    <w:rsid w:val="3B335250"/>
    <w:rsid w:val="3B7259C1"/>
    <w:rsid w:val="3BA80C52"/>
    <w:rsid w:val="3BAA410E"/>
    <w:rsid w:val="3BAF04D3"/>
    <w:rsid w:val="3BC25E1C"/>
    <w:rsid w:val="3BC94CDA"/>
    <w:rsid w:val="3BCC1D52"/>
    <w:rsid w:val="3BD841D8"/>
    <w:rsid w:val="3BDB2906"/>
    <w:rsid w:val="3BEF7C8C"/>
    <w:rsid w:val="3BEF7DD6"/>
    <w:rsid w:val="3BF127D4"/>
    <w:rsid w:val="3BF55114"/>
    <w:rsid w:val="3BF82EB3"/>
    <w:rsid w:val="3C1832DF"/>
    <w:rsid w:val="3C1A0D0E"/>
    <w:rsid w:val="3C1D7D04"/>
    <w:rsid w:val="3C353F33"/>
    <w:rsid w:val="3C463BC1"/>
    <w:rsid w:val="3C4C468E"/>
    <w:rsid w:val="3C5920F3"/>
    <w:rsid w:val="3C5F4C83"/>
    <w:rsid w:val="3C6D180D"/>
    <w:rsid w:val="3C733814"/>
    <w:rsid w:val="3C892432"/>
    <w:rsid w:val="3C97441D"/>
    <w:rsid w:val="3C9E126E"/>
    <w:rsid w:val="3C9E65CD"/>
    <w:rsid w:val="3CA60B9E"/>
    <w:rsid w:val="3CBB0E0C"/>
    <w:rsid w:val="3CC33464"/>
    <w:rsid w:val="3CC72F54"/>
    <w:rsid w:val="3CDC7007"/>
    <w:rsid w:val="3CDE3DFA"/>
    <w:rsid w:val="3CE84C78"/>
    <w:rsid w:val="3CF403DB"/>
    <w:rsid w:val="3CF95BE6"/>
    <w:rsid w:val="3D0972C9"/>
    <w:rsid w:val="3D106A12"/>
    <w:rsid w:val="3D1230BD"/>
    <w:rsid w:val="3D15228D"/>
    <w:rsid w:val="3D154912"/>
    <w:rsid w:val="3D197528"/>
    <w:rsid w:val="3D22018A"/>
    <w:rsid w:val="3D273DC8"/>
    <w:rsid w:val="3D2D7B8E"/>
    <w:rsid w:val="3D3E563D"/>
    <w:rsid w:val="3D417C62"/>
    <w:rsid w:val="3D464B66"/>
    <w:rsid w:val="3D4E0855"/>
    <w:rsid w:val="3D564C96"/>
    <w:rsid w:val="3D66794A"/>
    <w:rsid w:val="3D6A740C"/>
    <w:rsid w:val="3D6E0D11"/>
    <w:rsid w:val="3D717859"/>
    <w:rsid w:val="3D7C0AFE"/>
    <w:rsid w:val="3D8438F5"/>
    <w:rsid w:val="3D854414"/>
    <w:rsid w:val="3D8A5D30"/>
    <w:rsid w:val="3DAA55A9"/>
    <w:rsid w:val="3DB272D8"/>
    <w:rsid w:val="3DB35702"/>
    <w:rsid w:val="3DC7633D"/>
    <w:rsid w:val="3DCA44E8"/>
    <w:rsid w:val="3DCE1303"/>
    <w:rsid w:val="3DCE24ED"/>
    <w:rsid w:val="3DD9381B"/>
    <w:rsid w:val="3DDD5DF0"/>
    <w:rsid w:val="3DE03BA2"/>
    <w:rsid w:val="3DE13432"/>
    <w:rsid w:val="3DED5318"/>
    <w:rsid w:val="3DF0359A"/>
    <w:rsid w:val="3DF245B0"/>
    <w:rsid w:val="3DFF127E"/>
    <w:rsid w:val="3E05072E"/>
    <w:rsid w:val="3E054B75"/>
    <w:rsid w:val="3E0D578B"/>
    <w:rsid w:val="3E270777"/>
    <w:rsid w:val="3E311AB7"/>
    <w:rsid w:val="3E350391"/>
    <w:rsid w:val="3E38190A"/>
    <w:rsid w:val="3E3A7756"/>
    <w:rsid w:val="3E3E180B"/>
    <w:rsid w:val="3E5C4AA2"/>
    <w:rsid w:val="3E5C751E"/>
    <w:rsid w:val="3E70571F"/>
    <w:rsid w:val="3E726EC9"/>
    <w:rsid w:val="3E74361E"/>
    <w:rsid w:val="3E77093E"/>
    <w:rsid w:val="3E78381A"/>
    <w:rsid w:val="3E7A66EF"/>
    <w:rsid w:val="3E7C3589"/>
    <w:rsid w:val="3E82109A"/>
    <w:rsid w:val="3E862539"/>
    <w:rsid w:val="3E8E326B"/>
    <w:rsid w:val="3E9629CF"/>
    <w:rsid w:val="3EA20FE2"/>
    <w:rsid w:val="3EA21806"/>
    <w:rsid w:val="3EA96219"/>
    <w:rsid w:val="3EAC6A0F"/>
    <w:rsid w:val="3EBC1F33"/>
    <w:rsid w:val="3EC3206C"/>
    <w:rsid w:val="3ED057D7"/>
    <w:rsid w:val="3EDF07E5"/>
    <w:rsid w:val="3EE217B6"/>
    <w:rsid w:val="3EEE178A"/>
    <w:rsid w:val="3EEE2F1C"/>
    <w:rsid w:val="3EFA07BA"/>
    <w:rsid w:val="3F002ACF"/>
    <w:rsid w:val="3F0044E3"/>
    <w:rsid w:val="3F071D01"/>
    <w:rsid w:val="3F096D0B"/>
    <w:rsid w:val="3F0B7179"/>
    <w:rsid w:val="3F152CA0"/>
    <w:rsid w:val="3F220CD8"/>
    <w:rsid w:val="3F260E41"/>
    <w:rsid w:val="3F312079"/>
    <w:rsid w:val="3F3348D1"/>
    <w:rsid w:val="3F400A2E"/>
    <w:rsid w:val="3F432F52"/>
    <w:rsid w:val="3F5605BF"/>
    <w:rsid w:val="3F656A54"/>
    <w:rsid w:val="3F667372"/>
    <w:rsid w:val="3F6D115F"/>
    <w:rsid w:val="3F760C61"/>
    <w:rsid w:val="3F7622E0"/>
    <w:rsid w:val="3F84512C"/>
    <w:rsid w:val="3F873F7A"/>
    <w:rsid w:val="3F963DEC"/>
    <w:rsid w:val="3F9D61EE"/>
    <w:rsid w:val="3F9F16AD"/>
    <w:rsid w:val="3FA541A9"/>
    <w:rsid w:val="3FC41290"/>
    <w:rsid w:val="3FC83EA5"/>
    <w:rsid w:val="3FC97D74"/>
    <w:rsid w:val="3FD140EA"/>
    <w:rsid w:val="3FDC1D23"/>
    <w:rsid w:val="3FE03F00"/>
    <w:rsid w:val="3FEE76F8"/>
    <w:rsid w:val="3FFB49A4"/>
    <w:rsid w:val="3FFB7246"/>
    <w:rsid w:val="402C78D5"/>
    <w:rsid w:val="40354679"/>
    <w:rsid w:val="403B186E"/>
    <w:rsid w:val="403B4FB3"/>
    <w:rsid w:val="4048768D"/>
    <w:rsid w:val="40524D19"/>
    <w:rsid w:val="405E5CCB"/>
    <w:rsid w:val="40614DE2"/>
    <w:rsid w:val="40617D66"/>
    <w:rsid w:val="406202C7"/>
    <w:rsid w:val="40624D42"/>
    <w:rsid w:val="406D3E12"/>
    <w:rsid w:val="408E54D0"/>
    <w:rsid w:val="40926379"/>
    <w:rsid w:val="40AB0497"/>
    <w:rsid w:val="40AC7A1C"/>
    <w:rsid w:val="40B233BA"/>
    <w:rsid w:val="40B93A72"/>
    <w:rsid w:val="40DC0019"/>
    <w:rsid w:val="40DC6260"/>
    <w:rsid w:val="40EC3A72"/>
    <w:rsid w:val="410249B5"/>
    <w:rsid w:val="410267D2"/>
    <w:rsid w:val="4102795A"/>
    <w:rsid w:val="41063014"/>
    <w:rsid w:val="410C127B"/>
    <w:rsid w:val="41165E91"/>
    <w:rsid w:val="41195D48"/>
    <w:rsid w:val="4132553C"/>
    <w:rsid w:val="41394BB6"/>
    <w:rsid w:val="41450E55"/>
    <w:rsid w:val="415437EE"/>
    <w:rsid w:val="41676221"/>
    <w:rsid w:val="417D157C"/>
    <w:rsid w:val="418B0215"/>
    <w:rsid w:val="41AC44C7"/>
    <w:rsid w:val="41BA6556"/>
    <w:rsid w:val="41BD4926"/>
    <w:rsid w:val="41CC497C"/>
    <w:rsid w:val="42097B6B"/>
    <w:rsid w:val="42115317"/>
    <w:rsid w:val="42160607"/>
    <w:rsid w:val="421B648D"/>
    <w:rsid w:val="421F7E6A"/>
    <w:rsid w:val="4220623E"/>
    <w:rsid w:val="42280E98"/>
    <w:rsid w:val="422F6EA6"/>
    <w:rsid w:val="42312C1E"/>
    <w:rsid w:val="4233012A"/>
    <w:rsid w:val="42330A76"/>
    <w:rsid w:val="42330CE7"/>
    <w:rsid w:val="4234376D"/>
    <w:rsid w:val="423A2687"/>
    <w:rsid w:val="424711EF"/>
    <w:rsid w:val="424D7596"/>
    <w:rsid w:val="42846653"/>
    <w:rsid w:val="428A7B32"/>
    <w:rsid w:val="428B1E08"/>
    <w:rsid w:val="428F4D4F"/>
    <w:rsid w:val="42925DB2"/>
    <w:rsid w:val="42AB5097"/>
    <w:rsid w:val="42B71734"/>
    <w:rsid w:val="42BA0748"/>
    <w:rsid w:val="42BA2ABB"/>
    <w:rsid w:val="42BD7008"/>
    <w:rsid w:val="42BD7C3D"/>
    <w:rsid w:val="42E15D74"/>
    <w:rsid w:val="43141147"/>
    <w:rsid w:val="431920F3"/>
    <w:rsid w:val="431C7FAA"/>
    <w:rsid w:val="43271C5E"/>
    <w:rsid w:val="4329203E"/>
    <w:rsid w:val="43370D9F"/>
    <w:rsid w:val="433E296C"/>
    <w:rsid w:val="43410F50"/>
    <w:rsid w:val="434A043B"/>
    <w:rsid w:val="43657023"/>
    <w:rsid w:val="436A0E67"/>
    <w:rsid w:val="436C76AE"/>
    <w:rsid w:val="43710B5F"/>
    <w:rsid w:val="43816EEE"/>
    <w:rsid w:val="4388593B"/>
    <w:rsid w:val="438927A9"/>
    <w:rsid w:val="438C1176"/>
    <w:rsid w:val="438F7FE7"/>
    <w:rsid w:val="43994F1E"/>
    <w:rsid w:val="43A32A80"/>
    <w:rsid w:val="43AC59CC"/>
    <w:rsid w:val="43BA62BC"/>
    <w:rsid w:val="43BE1CB8"/>
    <w:rsid w:val="43D16466"/>
    <w:rsid w:val="43E85F2B"/>
    <w:rsid w:val="440452E5"/>
    <w:rsid w:val="4404680F"/>
    <w:rsid w:val="441214D8"/>
    <w:rsid w:val="44242D25"/>
    <w:rsid w:val="442C2E1A"/>
    <w:rsid w:val="44303159"/>
    <w:rsid w:val="443D1F73"/>
    <w:rsid w:val="444A2C93"/>
    <w:rsid w:val="444C28E2"/>
    <w:rsid w:val="44693D42"/>
    <w:rsid w:val="44776BD6"/>
    <w:rsid w:val="449A7A08"/>
    <w:rsid w:val="449F737F"/>
    <w:rsid w:val="44A66B12"/>
    <w:rsid w:val="44A73506"/>
    <w:rsid w:val="44AC1A56"/>
    <w:rsid w:val="44B231B4"/>
    <w:rsid w:val="44BB50D5"/>
    <w:rsid w:val="44C63AF1"/>
    <w:rsid w:val="44CC3666"/>
    <w:rsid w:val="44CE1831"/>
    <w:rsid w:val="44DD34EB"/>
    <w:rsid w:val="44E51137"/>
    <w:rsid w:val="44ED79C4"/>
    <w:rsid w:val="44F20D8A"/>
    <w:rsid w:val="44F370A9"/>
    <w:rsid w:val="44F90BDD"/>
    <w:rsid w:val="450A01C3"/>
    <w:rsid w:val="450A4C6A"/>
    <w:rsid w:val="450B1B4F"/>
    <w:rsid w:val="450C697A"/>
    <w:rsid w:val="45182F1B"/>
    <w:rsid w:val="45253CD9"/>
    <w:rsid w:val="45282BE1"/>
    <w:rsid w:val="452B28FF"/>
    <w:rsid w:val="452F40CC"/>
    <w:rsid w:val="45316E0E"/>
    <w:rsid w:val="453273D9"/>
    <w:rsid w:val="45355285"/>
    <w:rsid w:val="45371B5A"/>
    <w:rsid w:val="453A49D5"/>
    <w:rsid w:val="453D40FD"/>
    <w:rsid w:val="453F6E28"/>
    <w:rsid w:val="45476910"/>
    <w:rsid w:val="454C290C"/>
    <w:rsid w:val="4550160D"/>
    <w:rsid w:val="45565EE6"/>
    <w:rsid w:val="45566CB6"/>
    <w:rsid w:val="455B35C9"/>
    <w:rsid w:val="45677CAF"/>
    <w:rsid w:val="456C66EC"/>
    <w:rsid w:val="45795008"/>
    <w:rsid w:val="458223D8"/>
    <w:rsid w:val="458319E2"/>
    <w:rsid w:val="458A2AA4"/>
    <w:rsid w:val="458F3DA1"/>
    <w:rsid w:val="45965BB9"/>
    <w:rsid w:val="45981F3C"/>
    <w:rsid w:val="45B221F6"/>
    <w:rsid w:val="45B47047"/>
    <w:rsid w:val="45BD0976"/>
    <w:rsid w:val="45C04592"/>
    <w:rsid w:val="45C268AA"/>
    <w:rsid w:val="45D42C90"/>
    <w:rsid w:val="45D43FEC"/>
    <w:rsid w:val="45D87924"/>
    <w:rsid w:val="45E306D3"/>
    <w:rsid w:val="4615105E"/>
    <w:rsid w:val="461D64FB"/>
    <w:rsid w:val="4634247E"/>
    <w:rsid w:val="463D4287"/>
    <w:rsid w:val="464667A1"/>
    <w:rsid w:val="46554340"/>
    <w:rsid w:val="465869CB"/>
    <w:rsid w:val="466510E8"/>
    <w:rsid w:val="46681373"/>
    <w:rsid w:val="466E3935"/>
    <w:rsid w:val="4671675C"/>
    <w:rsid w:val="467B4CE3"/>
    <w:rsid w:val="467C09D7"/>
    <w:rsid w:val="467C1A62"/>
    <w:rsid w:val="467D1FC8"/>
    <w:rsid w:val="46815495"/>
    <w:rsid w:val="46841BC1"/>
    <w:rsid w:val="469203F9"/>
    <w:rsid w:val="46951FED"/>
    <w:rsid w:val="46C87FF5"/>
    <w:rsid w:val="46C92EF6"/>
    <w:rsid w:val="46CA02DF"/>
    <w:rsid w:val="46CA5F1E"/>
    <w:rsid w:val="46E62384"/>
    <w:rsid w:val="46E829B9"/>
    <w:rsid w:val="46F02917"/>
    <w:rsid w:val="46F849A1"/>
    <w:rsid w:val="470445DE"/>
    <w:rsid w:val="47207C7B"/>
    <w:rsid w:val="47297A89"/>
    <w:rsid w:val="473016F6"/>
    <w:rsid w:val="47370AF7"/>
    <w:rsid w:val="475A0F43"/>
    <w:rsid w:val="475E2707"/>
    <w:rsid w:val="47B17848"/>
    <w:rsid w:val="47BB36B5"/>
    <w:rsid w:val="47C575D2"/>
    <w:rsid w:val="47D07485"/>
    <w:rsid w:val="47D332DE"/>
    <w:rsid w:val="47E30FB0"/>
    <w:rsid w:val="48021AE4"/>
    <w:rsid w:val="48084421"/>
    <w:rsid w:val="48151DFF"/>
    <w:rsid w:val="481A51DC"/>
    <w:rsid w:val="482254E2"/>
    <w:rsid w:val="48240268"/>
    <w:rsid w:val="484418FD"/>
    <w:rsid w:val="485B49C4"/>
    <w:rsid w:val="486050DE"/>
    <w:rsid w:val="4887615C"/>
    <w:rsid w:val="48951381"/>
    <w:rsid w:val="48A25E13"/>
    <w:rsid w:val="48A3413E"/>
    <w:rsid w:val="48C2431F"/>
    <w:rsid w:val="48CE4062"/>
    <w:rsid w:val="48DC2D1F"/>
    <w:rsid w:val="48DD7B03"/>
    <w:rsid w:val="48E17849"/>
    <w:rsid w:val="48E34B1D"/>
    <w:rsid w:val="48E851E2"/>
    <w:rsid w:val="48E9279C"/>
    <w:rsid w:val="48EF37C0"/>
    <w:rsid w:val="48F31DDC"/>
    <w:rsid w:val="48F71600"/>
    <w:rsid w:val="48FB4A13"/>
    <w:rsid w:val="48FE0901"/>
    <w:rsid w:val="49051EDD"/>
    <w:rsid w:val="490B40ED"/>
    <w:rsid w:val="49297EBD"/>
    <w:rsid w:val="49482783"/>
    <w:rsid w:val="49491C6D"/>
    <w:rsid w:val="494C5331"/>
    <w:rsid w:val="49523CA5"/>
    <w:rsid w:val="49606E78"/>
    <w:rsid w:val="49684A40"/>
    <w:rsid w:val="496A6BED"/>
    <w:rsid w:val="496E27A5"/>
    <w:rsid w:val="49707CE7"/>
    <w:rsid w:val="49827A17"/>
    <w:rsid w:val="49A65620"/>
    <w:rsid w:val="49AB4594"/>
    <w:rsid w:val="49C42620"/>
    <w:rsid w:val="49C445A1"/>
    <w:rsid w:val="49C65640"/>
    <w:rsid w:val="49DB1DED"/>
    <w:rsid w:val="49DD5D09"/>
    <w:rsid w:val="49EE509A"/>
    <w:rsid w:val="49F44C5D"/>
    <w:rsid w:val="4A190B67"/>
    <w:rsid w:val="4A1A220D"/>
    <w:rsid w:val="4A235A4E"/>
    <w:rsid w:val="4A24383D"/>
    <w:rsid w:val="4A28761C"/>
    <w:rsid w:val="4A2A68FC"/>
    <w:rsid w:val="4A2B616B"/>
    <w:rsid w:val="4A482FDB"/>
    <w:rsid w:val="4A493403"/>
    <w:rsid w:val="4A54703F"/>
    <w:rsid w:val="4A5804B6"/>
    <w:rsid w:val="4A677F4D"/>
    <w:rsid w:val="4A683556"/>
    <w:rsid w:val="4A716A7E"/>
    <w:rsid w:val="4A8A51F8"/>
    <w:rsid w:val="4A8A736F"/>
    <w:rsid w:val="4A9303DA"/>
    <w:rsid w:val="4A9F68FD"/>
    <w:rsid w:val="4AB50890"/>
    <w:rsid w:val="4AB55D69"/>
    <w:rsid w:val="4AB84FEA"/>
    <w:rsid w:val="4ABA448F"/>
    <w:rsid w:val="4AC34A65"/>
    <w:rsid w:val="4AD35351"/>
    <w:rsid w:val="4AD815EF"/>
    <w:rsid w:val="4AE33C6A"/>
    <w:rsid w:val="4AE56C80"/>
    <w:rsid w:val="4AEF2C99"/>
    <w:rsid w:val="4AFC5D33"/>
    <w:rsid w:val="4B040426"/>
    <w:rsid w:val="4B0573E1"/>
    <w:rsid w:val="4B1923E5"/>
    <w:rsid w:val="4B240CF0"/>
    <w:rsid w:val="4B253989"/>
    <w:rsid w:val="4B2D6BF0"/>
    <w:rsid w:val="4B2E05DC"/>
    <w:rsid w:val="4B2E3A39"/>
    <w:rsid w:val="4B304467"/>
    <w:rsid w:val="4B361226"/>
    <w:rsid w:val="4B3C29B6"/>
    <w:rsid w:val="4B4C0AC8"/>
    <w:rsid w:val="4B5861CE"/>
    <w:rsid w:val="4B5C1AD6"/>
    <w:rsid w:val="4B682440"/>
    <w:rsid w:val="4B853AF1"/>
    <w:rsid w:val="4B8926B1"/>
    <w:rsid w:val="4B8D20F8"/>
    <w:rsid w:val="4B9439FC"/>
    <w:rsid w:val="4B9C1A50"/>
    <w:rsid w:val="4B9C6C39"/>
    <w:rsid w:val="4BA42E2D"/>
    <w:rsid w:val="4BA674B6"/>
    <w:rsid w:val="4BA91505"/>
    <w:rsid w:val="4BB2262D"/>
    <w:rsid w:val="4BB60D41"/>
    <w:rsid w:val="4BBA2895"/>
    <w:rsid w:val="4BBC5AC7"/>
    <w:rsid w:val="4BC44E0D"/>
    <w:rsid w:val="4BCF5632"/>
    <w:rsid w:val="4BD07BE4"/>
    <w:rsid w:val="4BD31D15"/>
    <w:rsid w:val="4BDD6EB5"/>
    <w:rsid w:val="4BDF2047"/>
    <w:rsid w:val="4BDF36EB"/>
    <w:rsid w:val="4BDF4EAA"/>
    <w:rsid w:val="4BEE3322"/>
    <w:rsid w:val="4C0D06C3"/>
    <w:rsid w:val="4C11202B"/>
    <w:rsid w:val="4C1A464C"/>
    <w:rsid w:val="4C2A69C2"/>
    <w:rsid w:val="4C30416B"/>
    <w:rsid w:val="4C3A20C9"/>
    <w:rsid w:val="4C3F38E5"/>
    <w:rsid w:val="4C425A91"/>
    <w:rsid w:val="4C491F0B"/>
    <w:rsid w:val="4C581C45"/>
    <w:rsid w:val="4C5C7746"/>
    <w:rsid w:val="4C6D5A2A"/>
    <w:rsid w:val="4C8B07F7"/>
    <w:rsid w:val="4C8E02FB"/>
    <w:rsid w:val="4C983FC5"/>
    <w:rsid w:val="4C9C159D"/>
    <w:rsid w:val="4CA62F89"/>
    <w:rsid w:val="4CAB0E68"/>
    <w:rsid w:val="4CB73E4F"/>
    <w:rsid w:val="4CC775B6"/>
    <w:rsid w:val="4CCD2714"/>
    <w:rsid w:val="4CCE5C39"/>
    <w:rsid w:val="4CD4551D"/>
    <w:rsid w:val="4CE72B28"/>
    <w:rsid w:val="4CE94A6F"/>
    <w:rsid w:val="4CEA5226"/>
    <w:rsid w:val="4CED6161"/>
    <w:rsid w:val="4D016156"/>
    <w:rsid w:val="4D0D0E37"/>
    <w:rsid w:val="4D0D66B0"/>
    <w:rsid w:val="4D14442F"/>
    <w:rsid w:val="4D16603F"/>
    <w:rsid w:val="4D167E69"/>
    <w:rsid w:val="4D1C123C"/>
    <w:rsid w:val="4D27640F"/>
    <w:rsid w:val="4D463D6D"/>
    <w:rsid w:val="4D493511"/>
    <w:rsid w:val="4D4B227E"/>
    <w:rsid w:val="4D5659DD"/>
    <w:rsid w:val="4D5E4583"/>
    <w:rsid w:val="4D721F65"/>
    <w:rsid w:val="4D7527CA"/>
    <w:rsid w:val="4D7A21FD"/>
    <w:rsid w:val="4D7F4F57"/>
    <w:rsid w:val="4D82460E"/>
    <w:rsid w:val="4D9146B3"/>
    <w:rsid w:val="4D9D385D"/>
    <w:rsid w:val="4DA35860"/>
    <w:rsid w:val="4DBB187B"/>
    <w:rsid w:val="4DC71B86"/>
    <w:rsid w:val="4DC951B1"/>
    <w:rsid w:val="4DD5073E"/>
    <w:rsid w:val="4DDA06F9"/>
    <w:rsid w:val="4DDE36D5"/>
    <w:rsid w:val="4DE2213B"/>
    <w:rsid w:val="4E086F29"/>
    <w:rsid w:val="4E0E73E4"/>
    <w:rsid w:val="4E2109F5"/>
    <w:rsid w:val="4E30583C"/>
    <w:rsid w:val="4E331A18"/>
    <w:rsid w:val="4E481665"/>
    <w:rsid w:val="4E4F4CE8"/>
    <w:rsid w:val="4E4F571C"/>
    <w:rsid w:val="4E555954"/>
    <w:rsid w:val="4E5D7313"/>
    <w:rsid w:val="4E5F3DC3"/>
    <w:rsid w:val="4E7B5A76"/>
    <w:rsid w:val="4E7D6D91"/>
    <w:rsid w:val="4E7E45D4"/>
    <w:rsid w:val="4E8746E7"/>
    <w:rsid w:val="4E8B11B5"/>
    <w:rsid w:val="4E931D00"/>
    <w:rsid w:val="4E996FA8"/>
    <w:rsid w:val="4E9D17BD"/>
    <w:rsid w:val="4EAD0EA5"/>
    <w:rsid w:val="4EAD1524"/>
    <w:rsid w:val="4EB36B00"/>
    <w:rsid w:val="4EBF5D7E"/>
    <w:rsid w:val="4EC12182"/>
    <w:rsid w:val="4EC15936"/>
    <w:rsid w:val="4EC8490A"/>
    <w:rsid w:val="4ED4448C"/>
    <w:rsid w:val="4ED5432A"/>
    <w:rsid w:val="4ED57FC4"/>
    <w:rsid w:val="4EE31744"/>
    <w:rsid w:val="4EE6252E"/>
    <w:rsid w:val="4EEC2B7B"/>
    <w:rsid w:val="4EEE4370"/>
    <w:rsid w:val="4EEE723C"/>
    <w:rsid w:val="4EF935B8"/>
    <w:rsid w:val="4F094A9E"/>
    <w:rsid w:val="4F1B23A3"/>
    <w:rsid w:val="4F311B14"/>
    <w:rsid w:val="4F321354"/>
    <w:rsid w:val="4F327331"/>
    <w:rsid w:val="4F420554"/>
    <w:rsid w:val="4F4B090C"/>
    <w:rsid w:val="4F4E48EF"/>
    <w:rsid w:val="4F7C39A7"/>
    <w:rsid w:val="4F816E53"/>
    <w:rsid w:val="4F920444"/>
    <w:rsid w:val="4FA45831"/>
    <w:rsid w:val="4FAB2D34"/>
    <w:rsid w:val="4FAE6583"/>
    <w:rsid w:val="4FB47FD6"/>
    <w:rsid w:val="4FC3320E"/>
    <w:rsid w:val="4FC9420B"/>
    <w:rsid w:val="4FCA0859"/>
    <w:rsid w:val="4FD02531"/>
    <w:rsid w:val="4FE5239D"/>
    <w:rsid w:val="4FEA269F"/>
    <w:rsid w:val="500100D3"/>
    <w:rsid w:val="500639A1"/>
    <w:rsid w:val="500B2D00"/>
    <w:rsid w:val="500D4CCA"/>
    <w:rsid w:val="502060DE"/>
    <w:rsid w:val="50265D8C"/>
    <w:rsid w:val="502B4D13"/>
    <w:rsid w:val="502B5150"/>
    <w:rsid w:val="50373211"/>
    <w:rsid w:val="503A5EBE"/>
    <w:rsid w:val="504549BA"/>
    <w:rsid w:val="50573C11"/>
    <w:rsid w:val="5067486C"/>
    <w:rsid w:val="50686F86"/>
    <w:rsid w:val="506B1143"/>
    <w:rsid w:val="5083516C"/>
    <w:rsid w:val="508C24C2"/>
    <w:rsid w:val="509D0301"/>
    <w:rsid w:val="50A11AE9"/>
    <w:rsid w:val="50BF554C"/>
    <w:rsid w:val="50C17309"/>
    <w:rsid w:val="50CC3A85"/>
    <w:rsid w:val="50D04016"/>
    <w:rsid w:val="50D6372B"/>
    <w:rsid w:val="50E1610C"/>
    <w:rsid w:val="510155EC"/>
    <w:rsid w:val="510746C6"/>
    <w:rsid w:val="5112713C"/>
    <w:rsid w:val="511832C4"/>
    <w:rsid w:val="51204589"/>
    <w:rsid w:val="51260B6A"/>
    <w:rsid w:val="512752A5"/>
    <w:rsid w:val="51344E9F"/>
    <w:rsid w:val="513C4EC2"/>
    <w:rsid w:val="513F5357"/>
    <w:rsid w:val="514E6D29"/>
    <w:rsid w:val="51636C85"/>
    <w:rsid w:val="51693A44"/>
    <w:rsid w:val="517D6D91"/>
    <w:rsid w:val="51805044"/>
    <w:rsid w:val="51840BE5"/>
    <w:rsid w:val="51855D4A"/>
    <w:rsid w:val="518813FC"/>
    <w:rsid w:val="51893F35"/>
    <w:rsid w:val="519A258E"/>
    <w:rsid w:val="51A66ABC"/>
    <w:rsid w:val="51A82B81"/>
    <w:rsid w:val="51AA5240"/>
    <w:rsid w:val="51B74DCB"/>
    <w:rsid w:val="51CD6F00"/>
    <w:rsid w:val="51D353B2"/>
    <w:rsid w:val="51DC0DF8"/>
    <w:rsid w:val="51DD691E"/>
    <w:rsid w:val="51EA0227"/>
    <w:rsid w:val="51FC6DA4"/>
    <w:rsid w:val="520D3539"/>
    <w:rsid w:val="521078F8"/>
    <w:rsid w:val="5212234A"/>
    <w:rsid w:val="522A0786"/>
    <w:rsid w:val="52302EF2"/>
    <w:rsid w:val="52340F38"/>
    <w:rsid w:val="52383F2A"/>
    <w:rsid w:val="523C26D3"/>
    <w:rsid w:val="523E0777"/>
    <w:rsid w:val="52421813"/>
    <w:rsid w:val="52540C15"/>
    <w:rsid w:val="52541E2F"/>
    <w:rsid w:val="525555BB"/>
    <w:rsid w:val="525640C8"/>
    <w:rsid w:val="5257659C"/>
    <w:rsid w:val="525F0B85"/>
    <w:rsid w:val="525F4105"/>
    <w:rsid w:val="52662FAF"/>
    <w:rsid w:val="52677B07"/>
    <w:rsid w:val="527C758B"/>
    <w:rsid w:val="527E556C"/>
    <w:rsid w:val="52916610"/>
    <w:rsid w:val="52A15B9E"/>
    <w:rsid w:val="52B17BB3"/>
    <w:rsid w:val="52B3576B"/>
    <w:rsid w:val="52C62BAB"/>
    <w:rsid w:val="52DD4732"/>
    <w:rsid w:val="52E1162E"/>
    <w:rsid w:val="52EB483D"/>
    <w:rsid w:val="52FE35FA"/>
    <w:rsid w:val="530A729F"/>
    <w:rsid w:val="53137587"/>
    <w:rsid w:val="531A3D6B"/>
    <w:rsid w:val="53206076"/>
    <w:rsid w:val="53271025"/>
    <w:rsid w:val="53332C9A"/>
    <w:rsid w:val="535022B4"/>
    <w:rsid w:val="535075B2"/>
    <w:rsid w:val="53536636"/>
    <w:rsid w:val="5353695B"/>
    <w:rsid w:val="53577F4E"/>
    <w:rsid w:val="537D1A12"/>
    <w:rsid w:val="537F47C4"/>
    <w:rsid w:val="53803A05"/>
    <w:rsid w:val="5383014F"/>
    <w:rsid w:val="53964925"/>
    <w:rsid w:val="53A21BCD"/>
    <w:rsid w:val="53A46FF7"/>
    <w:rsid w:val="53B631FA"/>
    <w:rsid w:val="53C158E5"/>
    <w:rsid w:val="53C71044"/>
    <w:rsid w:val="53E8315D"/>
    <w:rsid w:val="53EF1683"/>
    <w:rsid w:val="53F22E5F"/>
    <w:rsid w:val="53F33758"/>
    <w:rsid w:val="53FF14B4"/>
    <w:rsid w:val="54031EDA"/>
    <w:rsid w:val="540C3BAA"/>
    <w:rsid w:val="541315A7"/>
    <w:rsid w:val="541D06D5"/>
    <w:rsid w:val="54216F96"/>
    <w:rsid w:val="542461E3"/>
    <w:rsid w:val="542757CF"/>
    <w:rsid w:val="54284497"/>
    <w:rsid w:val="542B7335"/>
    <w:rsid w:val="542D3B70"/>
    <w:rsid w:val="544174FE"/>
    <w:rsid w:val="54433914"/>
    <w:rsid w:val="5445347D"/>
    <w:rsid w:val="54521C9F"/>
    <w:rsid w:val="54525277"/>
    <w:rsid w:val="545E0B04"/>
    <w:rsid w:val="546B4888"/>
    <w:rsid w:val="546C31A2"/>
    <w:rsid w:val="546C63C9"/>
    <w:rsid w:val="54780C2F"/>
    <w:rsid w:val="548925D6"/>
    <w:rsid w:val="548E0DEC"/>
    <w:rsid w:val="5492356D"/>
    <w:rsid w:val="549A1DB7"/>
    <w:rsid w:val="549C2BF4"/>
    <w:rsid w:val="549D1397"/>
    <w:rsid w:val="54A31759"/>
    <w:rsid w:val="54A361F1"/>
    <w:rsid w:val="54A66564"/>
    <w:rsid w:val="54AF6350"/>
    <w:rsid w:val="54BC2252"/>
    <w:rsid w:val="54BC3D0E"/>
    <w:rsid w:val="54C1646F"/>
    <w:rsid w:val="54C6369A"/>
    <w:rsid w:val="54CC7AC8"/>
    <w:rsid w:val="54E07531"/>
    <w:rsid w:val="54E273D8"/>
    <w:rsid w:val="54E3249D"/>
    <w:rsid w:val="54E82A1E"/>
    <w:rsid w:val="54F1026B"/>
    <w:rsid w:val="54F25C8B"/>
    <w:rsid w:val="55116D0C"/>
    <w:rsid w:val="551361DD"/>
    <w:rsid w:val="551464EB"/>
    <w:rsid w:val="552451C5"/>
    <w:rsid w:val="5532240D"/>
    <w:rsid w:val="5532399F"/>
    <w:rsid w:val="55332C70"/>
    <w:rsid w:val="55381ED8"/>
    <w:rsid w:val="5552317F"/>
    <w:rsid w:val="555D70D3"/>
    <w:rsid w:val="5564034E"/>
    <w:rsid w:val="556D5750"/>
    <w:rsid w:val="557768FA"/>
    <w:rsid w:val="557C1FAA"/>
    <w:rsid w:val="55A22FA5"/>
    <w:rsid w:val="55A81B76"/>
    <w:rsid w:val="55B456F3"/>
    <w:rsid w:val="55BD74A4"/>
    <w:rsid w:val="55C73193"/>
    <w:rsid w:val="55D02A22"/>
    <w:rsid w:val="55EB5A20"/>
    <w:rsid w:val="55F23090"/>
    <w:rsid w:val="55F2604B"/>
    <w:rsid w:val="55F7482D"/>
    <w:rsid w:val="55F74830"/>
    <w:rsid w:val="56144780"/>
    <w:rsid w:val="5622420A"/>
    <w:rsid w:val="56444AB4"/>
    <w:rsid w:val="56452BCB"/>
    <w:rsid w:val="564615E9"/>
    <w:rsid w:val="565623B0"/>
    <w:rsid w:val="566748DD"/>
    <w:rsid w:val="5679101F"/>
    <w:rsid w:val="568220F4"/>
    <w:rsid w:val="568578F8"/>
    <w:rsid w:val="56863C1D"/>
    <w:rsid w:val="56876E58"/>
    <w:rsid w:val="56921A85"/>
    <w:rsid w:val="569C56F9"/>
    <w:rsid w:val="56A255D8"/>
    <w:rsid w:val="56AD68FA"/>
    <w:rsid w:val="56AF0FDB"/>
    <w:rsid w:val="56B268E1"/>
    <w:rsid w:val="56C859FA"/>
    <w:rsid w:val="56CA6641"/>
    <w:rsid w:val="56E40947"/>
    <w:rsid w:val="57081D47"/>
    <w:rsid w:val="5708338B"/>
    <w:rsid w:val="570E21DD"/>
    <w:rsid w:val="57241163"/>
    <w:rsid w:val="573F1A51"/>
    <w:rsid w:val="57411FCB"/>
    <w:rsid w:val="574E4D83"/>
    <w:rsid w:val="57593903"/>
    <w:rsid w:val="57623B4D"/>
    <w:rsid w:val="576E2111"/>
    <w:rsid w:val="5774402B"/>
    <w:rsid w:val="577A48FB"/>
    <w:rsid w:val="57964821"/>
    <w:rsid w:val="579A4371"/>
    <w:rsid w:val="57A16CEB"/>
    <w:rsid w:val="57B570EE"/>
    <w:rsid w:val="57B87ECB"/>
    <w:rsid w:val="57C739B1"/>
    <w:rsid w:val="57C9597B"/>
    <w:rsid w:val="57D17FCC"/>
    <w:rsid w:val="57D55843"/>
    <w:rsid w:val="57D83E10"/>
    <w:rsid w:val="57DB56AE"/>
    <w:rsid w:val="57F05EE1"/>
    <w:rsid w:val="57F1209E"/>
    <w:rsid w:val="57F40862"/>
    <w:rsid w:val="57FF466E"/>
    <w:rsid w:val="5805272B"/>
    <w:rsid w:val="581B576D"/>
    <w:rsid w:val="582A051C"/>
    <w:rsid w:val="5830221D"/>
    <w:rsid w:val="583161A3"/>
    <w:rsid w:val="5846215E"/>
    <w:rsid w:val="58492F78"/>
    <w:rsid w:val="5851771E"/>
    <w:rsid w:val="585905A8"/>
    <w:rsid w:val="58604D76"/>
    <w:rsid w:val="586466E1"/>
    <w:rsid w:val="586618D3"/>
    <w:rsid w:val="5869013B"/>
    <w:rsid w:val="586E2E82"/>
    <w:rsid w:val="58704048"/>
    <w:rsid w:val="587406F5"/>
    <w:rsid w:val="58746BD9"/>
    <w:rsid w:val="58892D9A"/>
    <w:rsid w:val="589A20F4"/>
    <w:rsid w:val="58A614E9"/>
    <w:rsid w:val="58AA5BE9"/>
    <w:rsid w:val="58B24661"/>
    <w:rsid w:val="58B531C5"/>
    <w:rsid w:val="58B82365"/>
    <w:rsid w:val="58B869A5"/>
    <w:rsid w:val="58BC5126"/>
    <w:rsid w:val="58BF3A95"/>
    <w:rsid w:val="58CB2539"/>
    <w:rsid w:val="58CC56B3"/>
    <w:rsid w:val="58E833E3"/>
    <w:rsid w:val="58EB0B99"/>
    <w:rsid w:val="58F86DD8"/>
    <w:rsid w:val="590B0266"/>
    <w:rsid w:val="59263225"/>
    <w:rsid w:val="5936734B"/>
    <w:rsid w:val="593C2A4C"/>
    <w:rsid w:val="593E46F9"/>
    <w:rsid w:val="59650C07"/>
    <w:rsid w:val="5973527B"/>
    <w:rsid w:val="59753252"/>
    <w:rsid w:val="597914B4"/>
    <w:rsid w:val="598C3104"/>
    <w:rsid w:val="59903CBB"/>
    <w:rsid w:val="599E4DB3"/>
    <w:rsid w:val="59A321FB"/>
    <w:rsid w:val="59A95B0B"/>
    <w:rsid w:val="59B678AD"/>
    <w:rsid w:val="59C33FA5"/>
    <w:rsid w:val="59C356A8"/>
    <w:rsid w:val="59C61D34"/>
    <w:rsid w:val="59CA5862"/>
    <w:rsid w:val="59CD5227"/>
    <w:rsid w:val="59CE765E"/>
    <w:rsid w:val="59D470B6"/>
    <w:rsid w:val="59DB4365"/>
    <w:rsid w:val="59E81A89"/>
    <w:rsid w:val="59F94AC0"/>
    <w:rsid w:val="59F95944"/>
    <w:rsid w:val="5A0B5FB8"/>
    <w:rsid w:val="5A0F707A"/>
    <w:rsid w:val="5A1620D2"/>
    <w:rsid w:val="5A2125CB"/>
    <w:rsid w:val="5A232221"/>
    <w:rsid w:val="5A35111C"/>
    <w:rsid w:val="5A357F97"/>
    <w:rsid w:val="5A38591C"/>
    <w:rsid w:val="5A3A65A8"/>
    <w:rsid w:val="5A3B2434"/>
    <w:rsid w:val="5A467C6D"/>
    <w:rsid w:val="5A6621A7"/>
    <w:rsid w:val="5A667D2E"/>
    <w:rsid w:val="5A6A6683"/>
    <w:rsid w:val="5A7029DE"/>
    <w:rsid w:val="5A7D778E"/>
    <w:rsid w:val="5A830771"/>
    <w:rsid w:val="5A8A4D39"/>
    <w:rsid w:val="5A8D5B3C"/>
    <w:rsid w:val="5A900A91"/>
    <w:rsid w:val="5A93242F"/>
    <w:rsid w:val="5A9E7E3F"/>
    <w:rsid w:val="5AAB749D"/>
    <w:rsid w:val="5AAC58EC"/>
    <w:rsid w:val="5AB0697E"/>
    <w:rsid w:val="5AB660D5"/>
    <w:rsid w:val="5AB75F5E"/>
    <w:rsid w:val="5ABE28B2"/>
    <w:rsid w:val="5AC64613"/>
    <w:rsid w:val="5AD00DCE"/>
    <w:rsid w:val="5AE27847"/>
    <w:rsid w:val="5AE470B0"/>
    <w:rsid w:val="5AE67EAB"/>
    <w:rsid w:val="5AE87AE4"/>
    <w:rsid w:val="5AEB6539"/>
    <w:rsid w:val="5B057558"/>
    <w:rsid w:val="5B0C3724"/>
    <w:rsid w:val="5B1213E7"/>
    <w:rsid w:val="5B1E14A2"/>
    <w:rsid w:val="5B1F576A"/>
    <w:rsid w:val="5B2641B5"/>
    <w:rsid w:val="5B451F09"/>
    <w:rsid w:val="5B472B75"/>
    <w:rsid w:val="5B47763B"/>
    <w:rsid w:val="5B491966"/>
    <w:rsid w:val="5B4C3DE6"/>
    <w:rsid w:val="5B5A1503"/>
    <w:rsid w:val="5B7750E3"/>
    <w:rsid w:val="5B8B5DF2"/>
    <w:rsid w:val="5B935248"/>
    <w:rsid w:val="5BA5225B"/>
    <w:rsid w:val="5BAD55B3"/>
    <w:rsid w:val="5BB924B0"/>
    <w:rsid w:val="5BBA5ECF"/>
    <w:rsid w:val="5BC619C1"/>
    <w:rsid w:val="5BE178F5"/>
    <w:rsid w:val="5BE33B66"/>
    <w:rsid w:val="5BE41AA5"/>
    <w:rsid w:val="5BF705DC"/>
    <w:rsid w:val="5C0B5FE5"/>
    <w:rsid w:val="5C1A3547"/>
    <w:rsid w:val="5C1B251D"/>
    <w:rsid w:val="5C2C761E"/>
    <w:rsid w:val="5C304591"/>
    <w:rsid w:val="5C356C4B"/>
    <w:rsid w:val="5C3706D2"/>
    <w:rsid w:val="5C451348"/>
    <w:rsid w:val="5C4F2412"/>
    <w:rsid w:val="5C515185"/>
    <w:rsid w:val="5C532C9B"/>
    <w:rsid w:val="5C537F09"/>
    <w:rsid w:val="5C593AC2"/>
    <w:rsid w:val="5C735EB5"/>
    <w:rsid w:val="5C7476F3"/>
    <w:rsid w:val="5C8A6A95"/>
    <w:rsid w:val="5C950379"/>
    <w:rsid w:val="5C98714B"/>
    <w:rsid w:val="5C9B6E8E"/>
    <w:rsid w:val="5CA415FB"/>
    <w:rsid w:val="5CC23BA2"/>
    <w:rsid w:val="5CDA369A"/>
    <w:rsid w:val="5CDA4186"/>
    <w:rsid w:val="5CDB6517"/>
    <w:rsid w:val="5CE15956"/>
    <w:rsid w:val="5CED1C6A"/>
    <w:rsid w:val="5CED3EB9"/>
    <w:rsid w:val="5D044518"/>
    <w:rsid w:val="5D0D559B"/>
    <w:rsid w:val="5D0F24E2"/>
    <w:rsid w:val="5D3108D8"/>
    <w:rsid w:val="5D376BAE"/>
    <w:rsid w:val="5D376FF6"/>
    <w:rsid w:val="5D3E051F"/>
    <w:rsid w:val="5D3F2F24"/>
    <w:rsid w:val="5D46478D"/>
    <w:rsid w:val="5D4969FB"/>
    <w:rsid w:val="5D584A99"/>
    <w:rsid w:val="5D5B3860"/>
    <w:rsid w:val="5D5E4DB7"/>
    <w:rsid w:val="5D7D77CB"/>
    <w:rsid w:val="5D7E2D63"/>
    <w:rsid w:val="5D7F1EF0"/>
    <w:rsid w:val="5D876A04"/>
    <w:rsid w:val="5D962B31"/>
    <w:rsid w:val="5D9702C9"/>
    <w:rsid w:val="5D971E0F"/>
    <w:rsid w:val="5DB66524"/>
    <w:rsid w:val="5DB744C7"/>
    <w:rsid w:val="5DBC16B3"/>
    <w:rsid w:val="5DC1219E"/>
    <w:rsid w:val="5DC7223B"/>
    <w:rsid w:val="5DD04A8E"/>
    <w:rsid w:val="5DD71E08"/>
    <w:rsid w:val="5DDC146F"/>
    <w:rsid w:val="5DDE7CA6"/>
    <w:rsid w:val="5DE634CC"/>
    <w:rsid w:val="5E035C8B"/>
    <w:rsid w:val="5E0B55B7"/>
    <w:rsid w:val="5E0D40E7"/>
    <w:rsid w:val="5E127071"/>
    <w:rsid w:val="5E135BA1"/>
    <w:rsid w:val="5E1704AA"/>
    <w:rsid w:val="5E18474A"/>
    <w:rsid w:val="5E427006"/>
    <w:rsid w:val="5E5068DA"/>
    <w:rsid w:val="5E544516"/>
    <w:rsid w:val="5E60047B"/>
    <w:rsid w:val="5E6A4E7C"/>
    <w:rsid w:val="5E7126CF"/>
    <w:rsid w:val="5E856373"/>
    <w:rsid w:val="5E8B2466"/>
    <w:rsid w:val="5E8E26A4"/>
    <w:rsid w:val="5E8F0A82"/>
    <w:rsid w:val="5E9E5A0A"/>
    <w:rsid w:val="5EA4049D"/>
    <w:rsid w:val="5EA41568"/>
    <w:rsid w:val="5EA648A8"/>
    <w:rsid w:val="5EA93E10"/>
    <w:rsid w:val="5EAB0410"/>
    <w:rsid w:val="5ECE029B"/>
    <w:rsid w:val="5EDB0C18"/>
    <w:rsid w:val="5EEE5CC7"/>
    <w:rsid w:val="5EFA18BB"/>
    <w:rsid w:val="5F0914BA"/>
    <w:rsid w:val="5F093F49"/>
    <w:rsid w:val="5F13397F"/>
    <w:rsid w:val="5F2550F5"/>
    <w:rsid w:val="5F27521E"/>
    <w:rsid w:val="5F294441"/>
    <w:rsid w:val="5F2B47B9"/>
    <w:rsid w:val="5F2D22AC"/>
    <w:rsid w:val="5F35680D"/>
    <w:rsid w:val="5F3D00E1"/>
    <w:rsid w:val="5F46227D"/>
    <w:rsid w:val="5F4973A1"/>
    <w:rsid w:val="5F4B11FA"/>
    <w:rsid w:val="5F6076AF"/>
    <w:rsid w:val="5F6E3B90"/>
    <w:rsid w:val="5F7C32D2"/>
    <w:rsid w:val="5F7F7F09"/>
    <w:rsid w:val="5F814A5C"/>
    <w:rsid w:val="5F9B26CF"/>
    <w:rsid w:val="5FAC0933"/>
    <w:rsid w:val="5FB05672"/>
    <w:rsid w:val="5FB4701C"/>
    <w:rsid w:val="5FBB0035"/>
    <w:rsid w:val="5FBE5DF6"/>
    <w:rsid w:val="5FC34143"/>
    <w:rsid w:val="5FD818B3"/>
    <w:rsid w:val="5FDB006C"/>
    <w:rsid w:val="5FEF48C7"/>
    <w:rsid w:val="5FF078FF"/>
    <w:rsid w:val="600576F7"/>
    <w:rsid w:val="601260A9"/>
    <w:rsid w:val="6014193A"/>
    <w:rsid w:val="60160AA9"/>
    <w:rsid w:val="60163727"/>
    <w:rsid w:val="601B0D3D"/>
    <w:rsid w:val="601B6F8F"/>
    <w:rsid w:val="601F4A3C"/>
    <w:rsid w:val="60255718"/>
    <w:rsid w:val="602B3912"/>
    <w:rsid w:val="602F3042"/>
    <w:rsid w:val="60383941"/>
    <w:rsid w:val="603A1875"/>
    <w:rsid w:val="60494C8A"/>
    <w:rsid w:val="604D0599"/>
    <w:rsid w:val="60580360"/>
    <w:rsid w:val="606359E6"/>
    <w:rsid w:val="606E4588"/>
    <w:rsid w:val="60714E01"/>
    <w:rsid w:val="60740B4D"/>
    <w:rsid w:val="607526B4"/>
    <w:rsid w:val="60787860"/>
    <w:rsid w:val="60787D94"/>
    <w:rsid w:val="60805044"/>
    <w:rsid w:val="6080729B"/>
    <w:rsid w:val="60813C60"/>
    <w:rsid w:val="6084377A"/>
    <w:rsid w:val="60947FB3"/>
    <w:rsid w:val="60976B1C"/>
    <w:rsid w:val="609F0125"/>
    <w:rsid w:val="60A12314"/>
    <w:rsid w:val="60A90E89"/>
    <w:rsid w:val="60DF4675"/>
    <w:rsid w:val="60E2185B"/>
    <w:rsid w:val="60EB1C5F"/>
    <w:rsid w:val="60F24707"/>
    <w:rsid w:val="60FD3D3A"/>
    <w:rsid w:val="611326D6"/>
    <w:rsid w:val="61177312"/>
    <w:rsid w:val="612105D5"/>
    <w:rsid w:val="61237FB7"/>
    <w:rsid w:val="612429D2"/>
    <w:rsid w:val="612508A1"/>
    <w:rsid w:val="61270F98"/>
    <w:rsid w:val="61475CB9"/>
    <w:rsid w:val="614946DF"/>
    <w:rsid w:val="6154443F"/>
    <w:rsid w:val="615F5C6D"/>
    <w:rsid w:val="61627EF2"/>
    <w:rsid w:val="616763E9"/>
    <w:rsid w:val="6169487C"/>
    <w:rsid w:val="61704C8B"/>
    <w:rsid w:val="617B5F04"/>
    <w:rsid w:val="617F52FC"/>
    <w:rsid w:val="618C6CA1"/>
    <w:rsid w:val="61C44098"/>
    <w:rsid w:val="61C46511"/>
    <w:rsid w:val="61C8792E"/>
    <w:rsid w:val="61D1568C"/>
    <w:rsid w:val="61D4250F"/>
    <w:rsid w:val="61DC793B"/>
    <w:rsid w:val="61E91B31"/>
    <w:rsid w:val="61EF2977"/>
    <w:rsid w:val="61F14BD1"/>
    <w:rsid w:val="620B0F70"/>
    <w:rsid w:val="6222493D"/>
    <w:rsid w:val="62402A42"/>
    <w:rsid w:val="62491777"/>
    <w:rsid w:val="624A58F0"/>
    <w:rsid w:val="624D42BE"/>
    <w:rsid w:val="626404FC"/>
    <w:rsid w:val="626A02AB"/>
    <w:rsid w:val="626B1E4E"/>
    <w:rsid w:val="626B289A"/>
    <w:rsid w:val="627742A2"/>
    <w:rsid w:val="62786FC3"/>
    <w:rsid w:val="628C5F22"/>
    <w:rsid w:val="6295776A"/>
    <w:rsid w:val="629B323B"/>
    <w:rsid w:val="629E37E6"/>
    <w:rsid w:val="62A15DCF"/>
    <w:rsid w:val="62A41E13"/>
    <w:rsid w:val="62AD2A2D"/>
    <w:rsid w:val="62AE34CC"/>
    <w:rsid w:val="62B45479"/>
    <w:rsid w:val="62B62E27"/>
    <w:rsid w:val="62B64F95"/>
    <w:rsid w:val="62BA717B"/>
    <w:rsid w:val="62C21463"/>
    <w:rsid w:val="62D84CC4"/>
    <w:rsid w:val="62E15AE5"/>
    <w:rsid w:val="62E16861"/>
    <w:rsid w:val="62E713AB"/>
    <w:rsid w:val="62E8778F"/>
    <w:rsid w:val="62EC076F"/>
    <w:rsid w:val="62F91C6B"/>
    <w:rsid w:val="62FB6C04"/>
    <w:rsid w:val="63105EAD"/>
    <w:rsid w:val="63183A7A"/>
    <w:rsid w:val="63196E82"/>
    <w:rsid w:val="631B72A6"/>
    <w:rsid w:val="63240D97"/>
    <w:rsid w:val="63261F05"/>
    <w:rsid w:val="63291928"/>
    <w:rsid w:val="63301343"/>
    <w:rsid w:val="63391780"/>
    <w:rsid w:val="633A597E"/>
    <w:rsid w:val="63500CFE"/>
    <w:rsid w:val="635025C8"/>
    <w:rsid w:val="63552E8A"/>
    <w:rsid w:val="635B4CC7"/>
    <w:rsid w:val="636008CA"/>
    <w:rsid w:val="636130E0"/>
    <w:rsid w:val="636A6886"/>
    <w:rsid w:val="636E3748"/>
    <w:rsid w:val="637356B1"/>
    <w:rsid w:val="63740259"/>
    <w:rsid w:val="637D075E"/>
    <w:rsid w:val="637E2D0B"/>
    <w:rsid w:val="638536B6"/>
    <w:rsid w:val="63884CFC"/>
    <w:rsid w:val="63891F1F"/>
    <w:rsid w:val="638B6A8B"/>
    <w:rsid w:val="63950C34"/>
    <w:rsid w:val="639826A5"/>
    <w:rsid w:val="639B7CD0"/>
    <w:rsid w:val="63A35C54"/>
    <w:rsid w:val="63A53508"/>
    <w:rsid w:val="63AE1B9F"/>
    <w:rsid w:val="63C9477C"/>
    <w:rsid w:val="63D01E3F"/>
    <w:rsid w:val="63D615E9"/>
    <w:rsid w:val="63DB4576"/>
    <w:rsid w:val="63DB4FCE"/>
    <w:rsid w:val="63DD7051"/>
    <w:rsid w:val="63E034FC"/>
    <w:rsid w:val="63E951C1"/>
    <w:rsid w:val="63FA651A"/>
    <w:rsid w:val="641A130C"/>
    <w:rsid w:val="642054EA"/>
    <w:rsid w:val="642E7A37"/>
    <w:rsid w:val="64484B87"/>
    <w:rsid w:val="644E5CFA"/>
    <w:rsid w:val="6451647E"/>
    <w:rsid w:val="64626A30"/>
    <w:rsid w:val="6476026E"/>
    <w:rsid w:val="648E6C18"/>
    <w:rsid w:val="64A532CB"/>
    <w:rsid w:val="64A85782"/>
    <w:rsid w:val="64B30468"/>
    <w:rsid w:val="64B928D3"/>
    <w:rsid w:val="64BC7E1D"/>
    <w:rsid w:val="64C044A1"/>
    <w:rsid w:val="64C5396E"/>
    <w:rsid w:val="64CB1855"/>
    <w:rsid w:val="64D60919"/>
    <w:rsid w:val="64E030DF"/>
    <w:rsid w:val="64E95E0A"/>
    <w:rsid w:val="64F031CD"/>
    <w:rsid w:val="65002528"/>
    <w:rsid w:val="65064C01"/>
    <w:rsid w:val="650661A7"/>
    <w:rsid w:val="651A0578"/>
    <w:rsid w:val="651D70AF"/>
    <w:rsid w:val="6521758C"/>
    <w:rsid w:val="652B7F83"/>
    <w:rsid w:val="653077B7"/>
    <w:rsid w:val="653839DA"/>
    <w:rsid w:val="653A5B38"/>
    <w:rsid w:val="653F294D"/>
    <w:rsid w:val="6545060B"/>
    <w:rsid w:val="654C747E"/>
    <w:rsid w:val="6552134C"/>
    <w:rsid w:val="656D7011"/>
    <w:rsid w:val="6579736B"/>
    <w:rsid w:val="6580239F"/>
    <w:rsid w:val="65892A2A"/>
    <w:rsid w:val="65B63FB5"/>
    <w:rsid w:val="65B923E3"/>
    <w:rsid w:val="65DF28B7"/>
    <w:rsid w:val="65E564C0"/>
    <w:rsid w:val="65F00167"/>
    <w:rsid w:val="65F14EBD"/>
    <w:rsid w:val="660C3AF8"/>
    <w:rsid w:val="660F50CF"/>
    <w:rsid w:val="66124991"/>
    <w:rsid w:val="661311B8"/>
    <w:rsid w:val="66217117"/>
    <w:rsid w:val="662C463B"/>
    <w:rsid w:val="663F226B"/>
    <w:rsid w:val="66404FAA"/>
    <w:rsid w:val="664224EC"/>
    <w:rsid w:val="66520EE2"/>
    <w:rsid w:val="66560D21"/>
    <w:rsid w:val="665D3D8F"/>
    <w:rsid w:val="66723681"/>
    <w:rsid w:val="66756CCD"/>
    <w:rsid w:val="667632AD"/>
    <w:rsid w:val="667D4607"/>
    <w:rsid w:val="667E1AE7"/>
    <w:rsid w:val="668D1142"/>
    <w:rsid w:val="668E4014"/>
    <w:rsid w:val="668E507F"/>
    <w:rsid w:val="66950875"/>
    <w:rsid w:val="66971E5D"/>
    <w:rsid w:val="66A522B4"/>
    <w:rsid w:val="66A7076B"/>
    <w:rsid w:val="66A852F5"/>
    <w:rsid w:val="66C47A5C"/>
    <w:rsid w:val="66DC6D4D"/>
    <w:rsid w:val="66E0352A"/>
    <w:rsid w:val="66EC708D"/>
    <w:rsid w:val="66EF6D88"/>
    <w:rsid w:val="66F06069"/>
    <w:rsid w:val="66F26DF6"/>
    <w:rsid w:val="66F70D7B"/>
    <w:rsid w:val="66FB381B"/>
    <w:rsid w:val="670D5158"/>
    <w:rsid w:val="67245BA2"/>
    <w:rsid w:val="672524A2"/>
    <w:rsid w:val="672C3830"/>
    <w:rsid w:val="673174E4"/>
    <w:rsid w:val="67411436"/>
    <w:rsid w:val="6745341B"/>
    <w:rsid w:val="674D2D2B"/>
    <w:rsid w:val="676313C2"/>
    <w:rsid w:val="676B171D"/>
    <w:rsid w:val="6778101E"/>
    <w:rsid w:val="67896ED4"/>
    <w:rsid w:val="678E0047"/>
    <w:rsid w:val="679061BB"/>
    <w:rsid w:val="679A34C8"/>
    <w:rsid w:val="679B7F3E"/>
    <w:rsid w:val="679C533B"/>
    <w:rsid w:val="679F02B4"/>
    <w:rsid w:val="67B071A8"/>
    <w:rsid w:val="67B36445"/>
    <w:rsid w:val="67BF2124"/>
    <w:rsid w:val="67CA0625"/>
    <w:rsid w:val="67EB1CB1"/>
    <w:rsid w:val="67F21EBE"/>
    <w:rsid w:val="67F27291"/>
    <w:rsid w:val="681B4485"/>
    <w:rsid w:val="681C186B"/>
    <w:rsid w:val="6828482A"/>
    <w:rsid w:val="682A241D"/>
    <w:rsid w:val="682D2AC9"/>
    <w:rsid w:val="682F762F"/>
    <w:rsid w:val="683229EC"/>
    <w:rsid w:val="684132D4"/>
    <w:rsid w:val="685240C4"/>
    <w:rsid w:val="68531BB0"/>
    <w:rsid w:val="68566055"/>
    <w:rsid w:val="68630D3F"/>
    <w:rsid w:val="68776D2D"/>
    <w:rsid w:val="687E07C3"/>
    <w:rsid w:val="68977E6E"/>
    <w:rsid w:val="68980099"/>
    <w:rsid w:val="68A71A23"/>
    <w:rsid w:val="68A7516D"/>
    <w:rsid w:val="68AE7647"/>
    <w:rsid w:val="68B259DC"/>
    <w:rsid w:val="68B27FE5"/>
    <w:rsid w:val="68B33CBC"/>
    <w:rsid w:val="68B938C2"/>
    <w:rsid w:val="68CC0D03"/>
    <w:rsid w:val="68D94CCE"/>
    <w:rsid w:val="68DF6F4E"/>
    <w:rsid w:val="68E71B98"/>
    <w:rsid w:val="68EE5CE8"/>
    <w:rsid w:val="68F644A7"/>
    <w:rsid w:val="68FA3C61"/>
    <w:rsid w:val="690518E3"/>
    <w:rsid w:val="69077C0A"/>
    <w:rsid w:val="69114C80"/>
    <w:rsid w:val="6913778D"/>
    <w:rsid w:val="6916074D"/>
    <w:rsid w:val="693370F8"/>
    <w:rsid w:val="693571C7"/>
    <w:rsid w:val="693970AC"/>
    <w:rsid w:val="6940635C"/>
    <w:rsid w:val="69456465"/>
    <w:rsid w:val="69502D63"/>
    <w:rsid w:val="695230D9"/>
    <w:rsid w:val="695F34E1"/>
    <w:rsid w:val="69647910"/>
    <w:rsid w:val="696574CD"/>
    <w:rsid w:val="696848C8"/>
    <w:rsid w:val="696B4026"/>
    <w:rsid w:val="69816923"/>
    <w:rsid w:val="699E7B46"/>
    <w:rsid w:val="69A43B52"/>
    <w:rsid w:val="69A60B64"/>
    <w:rsid w:val="69A82381"/>
    <w:rsid w:val="69AC5CA1"/>
    <w:rsid w:val="69AF4C1D"/>
    <w:rsid w:val="69BD14B9"/>
    <w:rsid w:val="69C41E6E"/>
    <w:rsid w:val="69C9641E"/>
    <w:rsid w:val="69E03409"/>
    <w:rsid w:val="69F12B0F"/>
    <w:rsid w:val="69FA6728"/>
    <w:rsid w:val="6A0559E0"/>
    <w:rsid w:val="6A0E669E"/>
    <w:rsid w:val="6A12178A"/>
    <w:rsid w:val="6A167192"/>
    <w:rsid w:val="6A286C09"/>
    <w:rsid w:val="6A3179BA"/>
    <w:rsid w:val="6A46086D"/>
    <w:rsid w:val="6A551596"/>
    <w:rsid w:val="6A615EE7"/>
    <w:rsid w:val="6A6F316D"/>
    <w:rsid w:val="6A731776"/>
    <w:rsid w:val="6A822B03"/>
    <w:rsid w:val="6A8B2F63"/>
    <w:rsid w:val="6A912DE0"/>
    <w:rsid w:val="6A943F85"/>
    <w:rsid w:val="6A964136"/>
    <w:rsid w:val="6A964D84"/>
    <w:rsid w:val="6A977357"/>
    <w:rsid w:val="6AA05BA3"/>
    <w:rsid w:val="6AA475FE"/>
    <w:rsid w:val="6AAC487C"/>
    <w:rsid w:val="6AAD3143"/>
    <w:rsid w:val="6AD62A1D"/>
    <w:rsid w:val="6AF02577"/>
    <w:rsid w:val="6AF96F3D"/>
    <w:rsid w:val="6AFA3780"/>
    <w:rsid w:val="6B052A5E"/>
    <w:rsid w:val="6B080100"/>
    <w:rsid w:val="6B102C06"/>
    <w:rsid w:val="6B120896"/>
    <w:rsid w:val="6B1C0BBA"/>
    <w:rsid w:val="6B1D68C3"/>
    <w:rsid w:val="6B2018FE"/>
    <w:rsid w:val="6B222A27"/>
    <w:rsid w:val="6B3337E2"/>
    <w:rsid w:val="6B386CB1"/>
    <w:rsid w:val="6B3C7618"/>
    <w:rsid w:val="6B4B761E"/>
    <w:rsid w:val="6B4C57DC"/>
    <w:rsid w:val="6B557938"/>
    <w:rsid w:val="6B5A39AA"/>
    <w:rsid w:val="6B715CB5"/>
    <w:rsid w:val="6B735985"/>
    <w:rsid w:val="6B7E3E65"/>
    <w:rsid w:val="6B840907"/>
    <w:rsid w:val="6B900117"/>
    <w:rsid w:val="6BA86101"/>
    <w:rsid w:val="6BB77B3F"/>
    <w:rsid w:val="6BC03782"/>
    <w:rsid w:val="6BC06C3D"/>
    <w:rsid w:val="6BD57763"/>
    <w:rsid w:val="6BDF1392"/>
    <w:rsid w:val="6BE04BE9"/>
    <w:rsid w:val="6BEB3756"/>
    <w:rsid w:val="6BFC45F1"/>
    <w:rsid w:val="6C071A00"/>
    <w:rsid w:val="6C1A4498"/>
    <w:rsid w:val="6C22253C"/>
    <w:rsid w:val="6C223E8A"/>
    <w:rsid w:val="6C2A49C0"/>
    <w:rsid w:val="6C3F34FF"/>
    <w:rsid w:val="6C3F664E"/>
    <w:rsid w:val="6C410DF7"/>
    <w:rsid w:val="6C460B8D"/>
    <w:rsid w:val="6C4F34D1"/>
    <w:rsid w:val="6C515BDE"/>
    <w:rsid w:val="6C5238F7"/>
    <w:rsid w:val="6C661592"/>
    <w:rsid w:val="6C7001A8"/>
    <w:rsid w:val="6C740C4D"/>
    <w:rsid w:val="6C747D90"/>
    <w:rsid w:val="6C785D8B"/>
    <w:rsid w:val="6C8707E1"/>
    <w:rsid w:val="6CA127B4"/>
    <w:rsid w:val="6CA31402"/>
    <w:rsid w:val="6CA83A95"/>
    <w:rsid w:val="6CC37835"/>
    <w:rsid w:val="6CCE5B95"/>
    <w:rsid w:val="6CD66E1B"/>
    <w:rsid w:val="6CDB5E4B"/>
    <w:rsid w:val="6CE84FFF"/>
    <w:rsid w:val="6D01750D"/>
    <w:rsid w:val="6D042B59"/>
    <w:rsid w:val="6D0669CA"/>
    <w:rsid w:val="6D0977E3"/>
    <w:rsid w:val="6D0D434B"/>
    <w:rsid w:val="6D1347EA"/>
    <w:rsid w:val="6D1B2C9B"/>
    <w:rsid w:val="6D3A50DF"/>
    <w:rsid w:val="6D3B7111"/>
    <w:rsid w:val="6D4031AD"/>
    <w:rsid w:val="6D423AD0"/>
    <w:rsid w:val="6D497DB6"/>
    <w:rsid w:val="6D4C4C2C"/>
    <w:rsid w:val="6D503BE3"/>
    <w:rsid w:val="6D521372"/>
    <w:rsid w:val="6D52423C"/>
    <w:rsid w:val="6D5D282F"/>
    <w:rsid w:val="6D61038D"/>
    <w:rsid w:val="6D7E290C"/>
    <w:rsid w:val="6D867AC3"/>
    <w:rsid w:val="6DA33AB1"/>
    <w:rsid w:val="6DA570FE"/>
    <w:rsid w:val="6DAE45BA"/>
    <w:rsid w:val="6DD37865"/>
    <w:rsid w:val="6DD625D7"/>
    <w:rsid w:val="6DE1112A"/>
    <w:rsid w:val="6DE62234"/>
    <w:rsid w:val="6DED23D0"/>
    <w:rsid w:val="6DEE1DA5"/>
    <w:rsid w:val="6DF131D9"/>
    <w:rsid w:val="6DF8446C"/>
    <w:rsid w:val="6DFA5B57"/>
    <w:rsid w:val="6DFC0A94"/>
    <w:rsid w:val="6E1624A6"/>
    <w:rsid w:val="6E270B4E"/>
    <w:rsid w:val="6E291B51"/>
    <w:rsid w:val="6E2B233C"/>
    <w:rsid w:val="6E2C4C70"/>
    <w:rsid w:val="6E391146"/>
    <w:rsid w:val="6E40307E"/>
    <w:rsid w:val="6E452880"/>
    <w:rsid w:val="6E46026B"/>
    <w:rsid w:val="6E4722A8"/>
    <w:rsid w:val="6E49647A"/>
    <w:rsid w:val="6E613E1D"/>
    <w:rsid w:val="6E66587A"/>
    <w:rsid w:val="6E71359F"/>
    <w:rsid w:val="6E8606A6"/>
    <w:rsid w:val="6E890AB1"/>
    <w:rsid w:val="6E95615F"/>
    <w:rsid w:val="6E9A7296"/>
    <w:rsid w:val="6EB76BC2"/>
    <w:rsid w:val="6EB97C9A"/>
    <w:rsid w:val="6EBA3EC2"/>
    <w:rsid w:val="6EBB0650"/>
    <w:rsid w:val="6EC228BA"/>
    <w:rsid w:val="6ED602F2"/>
    <w:rsid w:val="6EDC5B3C"/>
    <w:rsid w:val="6EDE7887"/>
    <w:rsid w:val="6EE00576"/>
    <w:rsid w:val="6EE80984"/>
    <w:rsid w:val="6EE92D40"/>
    <w:rsid w:val="6EF95AB8"/>
    <w:rsid w:val="6EFD0D51"/>
    <w:rsid w:val="6F082A2C"/>
    <w:rsid w:val="6F0C365F"/>
    <w:rsid w:val="6F1B2B08"/>
    <w:rsid w:val="6F1B4182"/>
    <w:rsid w:val="6F1C6F2D"/>
    <w:rsid w:val="6F2340C2"/>
    <w:rsid w:val="6F243B8F"/>
    <w:rsid w:val="6F2B075E"/>
    <w:rsid w:val="6F3F60CB"/>
    <w:rsid w:val="6F4E6A14"/>
    <w:rsid w:val="6F6135D9"/>
    <w:rsid w:val="6F693749"/>
    <w:rsid w:val="6F697ED6"/>
    <w:rsid w:val="6F6A248E"/>
    <w:rsid w:val="6F7458D1"/>
    <w:rsid w:val="6F7C2E7B"/>
    <w:rsid w:val="6F803507"/>
    <w:rsid w:val="6F9F2AB4"/>
    <w:rsid w:val="6FA177FA"/>
    <w:rsid w:val="6FA251E6"/>
    <w:rsid w:val="6FC83E42"/>
    <w:rsid w:val="6FD065E6"/>
    <w:rsid w:val="6FE4739E"/>
    <w:rsid w:val="700D7F77"/>
    <w:rsid w:val="70236185"/>
    <w:rsid w:val="702D7B99"/>
    <w:rsid w:val="70366017"/>
    <w:rsid w:val="7037177C"/>
    <w:rsid w:val="703F2826"/>
    <w:rsid w:val="70435E04"/>
    <w:rsid w:val="704C3A36"/>
    <w:rsid w:val="70527C3A"/>
    <w:rsid w:val="705A27F4"/>
    <w:rsid w:val="706338B4"/>
    <w:rsid w:val="706A3686"/>
    <w:rsid w:val="70726C6C"/>
    <w:rsid w:val="70763D6E"/>
    <w:rsid w:val="707A1AB0"/>
    <w:rsid w:val="708D7359"/>
    <w:rsid w:val="709D3531"/>
    <w:rsid w:val="70B65F8C"/>
    <w:rsid w:val="70B8153B"/>
    <w:rsid w:val="70B825D8"/>
    <w:rsid w:val="70BE62B2"/>
    <w:rsid w:val="70C96594"/>
    <w:rsid w:val="70D9148E"/>
    <w:rsid w:val="70EB1D07"/>
    <w:rsid w:val="70ED2282"/>
    <w:rsid w:val="70F84EA4"/>
    <w:rsid w:val="7105225D"/>
    <w:rsid w:val="711E3CE1"/>
    <w:rsid w:val="711E6F63"/>
    <w:rsid w:val="712609AA"/>
    <w:rsid w:val="7128150C"/>
    <w:rsid w:val="712A5284"/>
    <w:rsid w:val="712E49FA"/>
    <w:rsid w:val="71364C6B"/>
    <w:rsid w:val="713857BA"/>
    <w:rsid w:val="7140356F"/>
    <w:rsid w:val="714621FB"/>
    <w:rsid w:val="714C1194"/>
    <w:rsid w:val="71575838"/>
    <w:rsid w:val="716024DB"/>
    <w:rsid w:val="717304A3"/>
    <w:rsid w:val="717D4BD4"/>
    <w:rsid w:val="71856665"/>
    <w:rsid w:val="71AB11A0"/>
    <w:rsid w:val="71AC73C6"/>
    <w:rsid w:val="71AD13D4"/>
    <w:rsid w:val="71B31953"/>
    <w:rsid w:val="71BD3A7A"/>
    <w:rsid w:val="71CB0748"/>
    <w:rsid w:val="71DD34AA"/>
    <w:rsid w:val="71E546CC"/>
    <w:rsid w:val="71EA1369"/>
    <w:rsid w:val="71EB0181"/>
    <w:rsid w:val="71F118FE"/>
    <w:rsid w:val="71F509A5"/>
    <w:rsid w:val="71F62F2E"/>
    <w:rsid w:val="71F92A2F"/>
    <w:rsid w:val="71FD285A"/>
    <w:rsid w:val="720B57FE"/>
    <w:rsid w:val="720E5A72"/>
    <w:rsid w:val="72266D20"/>
    <w:rsid w:val="723037AD"/>
    <w:rsid w:val="725D1AA0"/>
    <w:rsid w:val="726D668A"/>
    <w:rsid w:val="726F75AB"/>
    <w:rsid w:val="72701EDF"/>
    <w:rsid w:val="72711862"/>
    <w:rsid w:val="72806927"/>
    <w:rsid w:val="7286321A"/>
    <w:rsid w:val="728950F6"/>
    <w:rsid w:val="728F3F45"/>
    <w:rsid w:val="72984A7C"/>
    <w:rsid w:val="72AA78B4"/>
    <w:rsid w:val="72B0494F"/>
    <w:rsid w:val="72B21C33"/>
    <w:rsid w:val="72B54998"/>
    <w:rsid w:val="72B7115A"/>
    <w:rsid w:val="72C40186"/>
    <w:rsid w:val="72D326A7"/>
    <w:rsid w:val="72DF5BFA"/>
    <w:rsid w:val="72EE0533"/>
    <w:rsid w:val="72F20696"/>
    <w:rsid w:val="72F24EC4"/>
    <w:rsid w:val="72FB0E22"/>
    <w:rsid w:val="73052B03"/>
    <w:rsid w:val="730B2421"/>
    <w:rsid w:val="730D1C62"/>
    <w:rsid w:val="731D0465"/>
    <w:rsid w:val="731E2B79"/>
    <w:rsid w:val="73223D39"/>
    <w:rsid w:val="732F3913"/>
    <w:rsid w:val="733F63CB"/>
    <w:rsid w:val="734939BC"/>
    <w:rsid w:val="734B0E62"/>
    <w:rsid w:val="73580179"/>
    <w:rsid w:val="735C6E2B"/>
    <w:rsid w:val="735F067C"/>
    <w:rsid w:val="735F5E84"/>
    <w:rsid w:val="73685F85"/>
    <w:rsid w:val="736C1BDF"/>
    <w:rsid w:val="73754FD7"/>
    <w:rsid w:val="73757264"/>
    <w:rsid w:val="737F73DD"/>
    <w:rsid w:val="7387721E"/>
    <w:rsid w:val="739E58C7"/>
    <w:rsid w:val="739F37EF"/>
    <w:rsid w:val="73A26CD8"/>
    <w:rsid w:val="73B83040"/>
    <w:rsid w:val="73C96279"/>
    <w:rsid w:val="73CA2BCB"/>
    <w:rsid w:val="73CF7182"/>
    <w:rsid w:val="73D35128"/>
    <w:rsid w:val="73E35202"/>
    <w:rsid w:val="73FA2E00"/>
    <w:rsid w:val="74030661"/>
    <w:rsid w:val="74063750"/>
    <w:rsid w:val="74094E3D"/>
    <w:rsid w:val="740E5E50"/>
    <w:rsid w:val="741F54A2"/>
    <w:rsid w:val="742331AE"/>
    <w:rsid w:val="742A70D9"/>
    <w:rsid w:val="74551EB3"/>
    <w:rsid w:val="745A14BC"/>
    <w:rsid w:val="745E5245"/>
    <w:rsid w:val="746F7452"/>
    <w:rsid w:val="747160C3"/>
    <w:rsid w:val="74846D4E"/>
    <w:rsid w:val="74985DAA"/>
    <w:rsid w:val="749A6048"/>
    <w:rsid w:val="749D15EC"/>
    <w:rsid w:val="74AE61CC"/>
    <w:rsid w:val="74B66EAA"/>
    <w:rsid w:val="74C46AAD"/>
    <w:rsid w:val="74C83AD0"/>
    <w:rsid w:val="74D22640"/>
    <w:rsid w:val="74D41F86"/>
    <w:rsid w:val="74D64E66"/>
    <w:rsid w:val="74D95226"/>
    <w:rsid w:val="74DF1EE2"/>
    <w:rsid w:val="74E024F3"/>
    <w:rsid w:val="74E400E6"/>
    <w:rsid w:val="74E928F2"/>
    <w:rsid w:val="74F11DAB"/>
    <w:rsid w:val="74F1655B"/>
    <w:rsid w:val="74F30BDD"/>
    <w:rsid w:val="74F47F8F"/>
    <w:rsid w:val="7503355A"/>
    <w:rsid w:val="75131853"/>
    <w:rsid w:val="751714E0"/>
    <w:rsid w:val="75267B11"/>
    <w:rsid w:val="75274370"/>
    <w:rsid w:val="75295B3D"/>
    <w:rsid w:val="752C6AB2"/>
    <w:rsid w:val="7534397E"/>
    <w:rsid w:val="753540AD"/>
    <w:rsid w:val="75433A7A"/>
    <w:rsid w:val="754A50D1"/>
    <w:rsid w:val="75506D39"/>
    <w:rsid w:val="7554307C"/>
    <w:rsid w:val="755D3E2A"/>
    <w:rsid w:val="75836B45"/>
    <w:rsid w:val="75845947"/>
    <w:rsid w:val="75850468"/>
    <w:rsid w:val="75866BE9"/>
    <w:rsid w:val="75985214"/>
    <w:rsid w:val="759A6109"/>
    <w:rsid w:val="759F39F8"/>
    <w:rsid w:val="75AF1BFF"/>
    <w:rsid w:val="75B61842"/>
    <w:rsid w:val="75BA301C"/>
    <w:rsid w:val="75C639F5"/>
    <w:rsid w:val="75DA6862"/>
    <w:rsid w:val="75E70377"/>
    <w:rsid w:val="75F04AE7"/>
    <w:rsid w:val="760A52CC"/>
    <w:rsid w:val="76140EDB"/>
    <w:rsid w:val="761C7E68"/>
    <w:rsid w:val="76213440"/>
    <w:rsid w:val="764869A5"/>
    <w:rsid w:val="76495C79"/>
    <w:rsid w:val="76522B87"/>
    <w:rsid w:val="769C7EA9"/>
    <w:rsid w:val="769F5F71"/>
    <w:rsid w:val="76A27DD7"/>
    <w:rsid w:val="76A4730A"/>
    <w:rsid w:val="76AC3D09"/>
    <w:rsid w:val="76F254D2"/>
    <w:rsid w:val="76F46A9D"/>
    <w:rsid w:val="770318FD"/>
    <w:rsid w:val="77146E97"/>
    <w:rsid w:val="771766AF"/>
    <w:rsid w:val="771D558A"/>
    <w:rsid w:val="772245FF"/>
    <w:rsid w:val="77291B3A"/>
    <w:rsid w:val="772B0A84"/>
    <w:rsid w:val="77311271"/>
    <w:rsid w:val="773D6C2D"/>
    <w:rsid w:val="77403575"/>
    <w:rsid w:val="7748368E"/>
    <w:rsid w:val="77501958"/>
    <w:rsid w:val="77533F2B"/>
    <w:rsid w:val="775517FF"/>
    <w:rsid w:val="77560887"/>
    <w:rsid w:val="7760396D"/>
    <w:rsid w:val="77617526"/>
    <w:rsid w:val="777860D8"/>
    <w:rsid w:val="777F4F6A"/>
    <w:rsid w:val="7792252C"/>
    <w:rsid w:val="77A83CB3"/>
    <w:rsid w:val="77BC05BE"/>
    <w:rsid w:val="77CB20E4"/>
    <w:rsid w:val="77E87D32"/>
    <w:rsid w:val="77F04406"/>
    <w:rsid w:val="77FF7441"/>
    <w:rsid w:val="7805460F"/>
    <w:rsid w:val="78106A82"/>
    <w:rsid w:val="781254E5"/>
    <w:rsid w:val="7816156D"/>
    <w:rsid w:val="781D0435"/>
    <w:rsid w:val="78270C62"/>
    <w:rsid w:val="783B3F49"/>
    <w:rsid w:val="783C2021"/>
    <w:rsid w:val="783F079D"/>
    <w:rsid w:val="78497340"/>
    <w:rsid w:val="784D3606"/>
    <w:rsid w:val="78532C87"/>
    <w:rsid w:val="785B29B5"/>
    <w:rsid w:val="785F235F"/>
    <w:rsid w:val="78670B6C"/>
    <w:rsid w:val="7875524F"/>
    <w:rsid w:val="787B5FC2"/>
    <w:rsid w:val="78841D97"/>
    <w:rsid w:val="78886D34"/>
    <w:rsid w:val="789454CF"/>
    <w:rsid w:val="78961451"/>
    <w:rsid w:val="78A56AB5"/>
    <w:rsid w:val="78B16D37"/>
    <w:rsid w:val="78BD22C6"/>
    <w:rsid w:val="78CA396F"/>
    <w:rsid w:val="78CA3FF5"/>
    <w:rsid w:val="78CB0D0E"/>
    <w:rsid w:val="78DD778B"/>
    <w:rsid w:val="78E931CA"/>
    <w:rsid w:val="79040A02"/>
    <w:rsid w:val="79081030"/>
    <w:rsid w:val="790D6D3D"/>
    <w:rsid w:val="791648AD"/>
    <w:rsid w:val="791E776B"/>
    <w:rsid w:val="791F3DB4"/>
    <w:rsid w:val="792567FA"/>
    <w:rsid w:val="79306EB5"/>
    <w:rsid w:val="793215D3"/>
    <w:rsid w:val="793552D8"/>
    <w:rsid w:val="795C0BDA"/>
    <w:rsid w:val="79615C13"/>
    <w:rsid w:val="79617CDB"/>
    <w:rsid w:val="796A2434"/>
    <w:rsid w:val="796D76FA"/>
    <w:rsid w:val="79794E16"/>
    <w:rsid w:val="79872276"/>
    <w:rsid w:val="798D47EB"/>
    <w:rsid w:val="799A6D1F"/>
    <w:rsid w:val="79A623D6"/>
    <w:rsid w:val="79A764C4"/>
    <w:rsid w:val="79C96E6F"/>
    <w:rsid w:val="79CB56C5"/>
    <w:rsid w:val="79D7000A"/>
    <w:rsid w:val="79E400E1"/>
    <w:rsid w:val="79EE7A8D"/>
    <w:rsid w:val="79F6754E"/>
    <w:rsid w:val="79FB2DAF"/>
    <w:rsid w:val="7A0C565C"/>
    <w:rsid w:val="7A187A56"/>
    <w:rsid w:val="7A1C2352"/>
    <w:rsid w:val="7A1C61A9"/>
    <w:rsid w:val="7A1F3478"/>
    <w:rsid w:val="7A2842FD"/>
    <w:rsid w:val="7A2D1941"/>
    <w:rsid w:val="7A323084"/>
    <w:rsid w:val="7A3C4EAE"/>
    <w:rsid w:val="7A407076"/>
    <w:rsid w:val="7A4277E0"/>
    <w:rsid w:val="7A5F3524"/>
    <w:rsid w:val="7A655DBC"/>
    <w:rsid w:val="7A660064"/>
    <w:rsid w:val="7A6730A5"/>
    <w:rsid w:val="7A6C3B8B"/>
    <w:rsid w:val="7A707A80"/>
    <w:rsid w:val="7A7A580D"/>
    <w:rsid w:val="7A7E219D"/>
    <w:rsid w:val="7A913165"/>
    <w:rsid w:val="7A916DEC"/>
    <w:rsid w:val="7A991C1A"/>
    <w:rsid w:val="7A9F2CF5"/>
    <w:rsid w:val="7AB167A2"/>
    <w:rsid w:val="7ABE3F46"/>
    <w:rsid w:val="7ABF5C20"/>
    <w:rsid w:val="7AD128A9"/>
    <w:rsid w:val="7AD27BC9"/>
    <w:rsid w:val="7AEA0DF1"/>
    <w:rsid w:val="7AEE60A9"/>
    <w:rsid w:val="7AF85AF6"/>
    <w:rsid w:val="7B0501C8"/>
    <w:rsid w:val="7B05488D"/>
    <w:rsid w:val="7B057593"/>
    <w:rsid w:val="7B0D17BE"/>
    <w:rsid w:val="7B0F0ADB"/>
    <w:rsid w:val="7B1E008A"/>
    <w:rsid w:val="7B2C2ECA"/>
    <w:rsid w:val="7B353A07"/>
    <w:rsid w:val="7B355572"/>
    <w:rsid w:val="7B4057DF"/>
    <w:rsid w:val="7B441BAD"/>
    <w:rsid w:val="7B466078"/>
    <w:rsid w:val="7B4E3BEA"/>
    <w:rsid w:val="7B4E716C"/>
    <w:rsid w:val="7B626231"/>
    <w:rsid w:val="7B657C80"/>
    <w:rsid w:val="7B673A76"/>
    <w:rsid w:val="7B6F568B"/>
    <w:rsid w:val="7B7D564E"/>
    <w:rsid w:val="7B9E0D11"/>
    <w:rsid w:val="7BA17F60"/>
    <w:rsid w:val="7BA23C69"/>
    <w:rsid w:val="7BAB1BCC"/>
    <w:rsid w:val="7BB601CC"/>
    <w:rsid w:val="7BC659B6"/>
    <w:rsid w:val="7BC912FA"/>
    <w:rsid w:val="7BD10038"/>
    <w:rsid w:val="7BE06574"/>
    <w:rsid w:val="7BE35377"/>
    <w:rsid w:val="7C044CA9"/>
    <w:rsid w:val="7C133864"/>
    <w:rsid w:val="7C2E361D"/>
    <w:rsid w:val="7C324E9B"/>
    <w:rsid w:val="7C3E167A"/>
    <w:rsid w:val="7C4E2F11"/>
    <w:rsid w:val="7C4E5B9F"/>
    <w:rsid w:val="7C605B0C"/>
    <w:rsid w:val="7C85540F"/>
    <w:rsid w:val="7C8D2B6B"/>
    <w:rsid w:val="7C8F436B"/>
    <w:rsid w:val="7C90418B"/>
    <w:rsid w:val="7C9932BE"/>
    <w:rsid w:val="7CAB04F4"/>
    <w:rsid w:val="7CC12815"/>
    <w:rsid w:val="7CCA4662"/>
    <w:rsid w:val="7D040449"/>
    <w:rsid w:val="7D0A65DA"/>
    <w:rsid w:val="7D275F29"/>
    <w:rsid w:val="7D565B53"/>
    <w:rsid w:val="7D630740"/>
    <w:rsid w:val="7D6605F4"/>
    <w:rsid w:val="7D6733BC"/>
    <w:rsid w:val="7D676042"/>
    <w:rsid w:val="7D7E3B4B"/>
    <w:rsid w:val="7D8862B7"/>
    <w:rsid w:val="7D8C71F3"/>
    <w:rsid w:val="7D9B184A"/>
    <w:rsid w:val="7DA37112"/>
    <w:rsid w:val="7DA973C3"/>
    <w:rsid w:val="7DC2200A"/>
    <w:rsid w:val="7DD9273F"/>
    <w:rsid w:val="7DE62533"/>
    <w:rsid w:val="7DE669F5"/>
    <w:rsid w:val="7DEB37E9"/>
    <w:rsid w:val="7DED391C"/>
    <w:rsid w:val="7DF06F0E"/>
    <w:rsid w:val="7E0751A3"/>
    <w:rsid w:val="7E087462"/>
    <w:rsid w:val="7E16158B"/>
    <w:rsid w:val="7E197282"/>
    <w:rsid w:val="7E1A5C35"/>
    <w:rsid w:val="7E2A33C1"/>
    <w:rsid w:val="7E2C4707"/>
    <w:rsid w:val="7E35325C"/>
    <w:rsid w:val="7E361777"/>
    <w:rsid w:val="7E395B7B"/>
    <w:rsid w:val="7E3968E1"/>
    <w:rsid w:val="7E4A06B1"/>
    <w:rsid w:val="7E4A6649"/>
    <w:rsid w:val="7E6A0E04"/>
    <w:rsid w:val="7E845D81"/>
    <w:rsid w:val="7E906943"/>
    <w:rsid w:val="7E9430A3"/>
    <w:rsid w:val="7E96406C"/>
    <w:rsid w:val="7EC03124"/>
    <w:rsid w:val="7EC44F40"/>
    <w:rsid w:val="7EDD07A2"/>
    <w:rsid w:val="7EEC6DDC"/>
    <w:rsid w:val="7EF71012"/>
    <w:rsid w:val="7F02717D"/>
    <w:rsid w:val="7F047511"/>
    <w:rsid w:val="7F156C31"/>
    <w:rsid w:val="7F350C78"/>
    <w:rsid w:val="7F363127"/>
    <w:rsid w:val="7F3F5E79"/>
    <w:rsid w:val="7F691615"/>
    <w:rsid w:val="7F723D37"/>
    <w:rsid w:val="7F7678E7"/>
    <w:rsid w:val="7F911291"/>
    <w:rsid w:val="7F951384"/>
    <w:rsid w:val="7FB8645F"/>
    <w:rsid w:val="7FBF303C"/>
    <w:rsid w:val="7FC00ACD"/>
    <w:rsid w:val="7FC5416E"/>
    <w:rsid w:val="7FC625E9"/>
    <w:rsid w:val="7FD74320"/>
    <w:rsid w:val="7FD83CB6"/>
    <w:rsid w:val="7FD858D7"/>
    <w:rsid w:val="7FDB7F08"/>
    <w:rsid w:val="7FE21D23"/>
    <w:rsid w:val="7FE74340"/>
    <w:rsid w:val="7FF5203B"/>
    <w:rsid w:val="7FF62B9A"/>
    <w:rsid w:val="7FF672E6"/>
    <w:rsid w:val="7FFF5D50"/>
    <w:rsid w:val="7FFF5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3">
    <w:name w:val="heading 3"/>
    <w:basedOn w:val="1"/>
    <w:next w:val="1"/>
    <w:qFormat/>
    <w:uiPriority w:val="1"/>
    <w:pPr>
      <w:ind w:left="240"/>
      <w:outlineLvl w:val="3"/>
    </w:pPr>
    <w:rPr>
      <w:rFonts w:ascii="宋体" w:hAnsi="宋体" w:eastAsia="宋体"/>
      <w:b/>
      <w:bCs/>
      <w:sz w:val="24"/>
      <w:szCs w:val="24"/>
    </w:rPr>
  </w:style>
  <w:style w:type="paragraph" w:styleId="4">
    <w:name w:val="heading 4"/>
    <w:basedOn w:val="1"/>
    <w:next w:val="1"/>
    <w:qFormat/>
    <w:uiPriority w:val="0"/>
    <w:pPr>
      <w:keepNext/>
      <w:keepLines/>
      <w:spacing w:before="280" w:beforeLines="0" w:after="290" w:afterLines="0" w:line="374"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style>
  <w:style w:type="paragraph" w:styleId="6">
    <w:name w:val="caption"/>
    <w:basedOn w:val="1"/>
    <w:next w:val="1"/>
    <w:qFormat/>
    <w:uiPriority w:val="0"/>
    <w:rPr>
      <w:rFonts w:ascii="Arial" w:hAnsi="Arial" w:eastAsia="黑体" w:cs="Arial"/>
      <w:sz w:val="20"/>
      <w:szCs w:val="20"/>
    </w:rPr>
  </w:style>
  <w:style w:type="paragraph" w:styleId="7">
    <w:name w:val="annotation text"/>
    <w:basedOn w:val="1"/>
    <w:qFormat/>
    <w:uiPriority w:val="0"/>
    <w:pPr>
      <w:jc w:val="left"/>
    </w:pPr>
  </w:style>
  <w:style w:type="paragraph" w:styleId="8">
    <w:name w:val="Salutation"/>
    <w:basedOn w:val="1"/>
    <w:next w:val="1"/>
    <w:qFormat/>
    <w:uiPriority w:val="0"/>
  </w:style>
  <w:style w:type="paragraph" w:styleId="9">
    <w:name w:val="Body Text"/>
    <w:basedOn w:val="1"/>
    <w:next w:val="1"/>
    <w:link w:val="90"/>
    <w:qFormat/>
    <w:uiPriority w:val="0"/>
    <w:pPr>
      <w:spacing w:after="120"/>
    </w:pPr>
  </w:style>
  <w:style w:type="paragraph" w:styleId="10">
    <w:name w:val="Body Text Indent"/>
    <w:basedOn w:val="1"/>
    <w:next w:val="11"/>
    <w:qFormat/>
    <w:uiPriority w:val="0"/>
    <w:pPr>
      <w:widowControl/>
      <w:spacing w:after="120"/>
      <w:ind w:left="420" w:leftChars="200"/>
      <w:jc w:val="left"/>
    </w:pPr>
    <w:rPr>
      <w:kern w:val="0"/>
      <w:sz w:val="24"/>
    </w:rPr>
  </w:style>
  <w:style w:type="paragraph" w:styleId="11">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index heading"/>
    <w:basedOn w:val="1"/>
    <w:next w:val="13"/>
    <w:qFormat/>
    <w:uiPriority w:val="0"/>
    <w:rPr>
      <w:rFonts w:ascii="Arial" w:hAnsi="Arial"/>
      <w:b/>
    </w:rPr>
  </w:style>
  <w:style w:type="paragraph" w:styleId="13">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4">
    <w:name w:val="Block Text"/>
    <w:basedOn w:val="1"/>
    <w:qFormat/>
    <w:uiPriority w:val="0"/>
    <w:pPr>
      <w:spacing w:after="120"/>
      <w:ind w:left="1440" w:leftChars="700" w:right="1440" w:rightChars="700"/>
    </w:pPr>
  </w:style>
  <w:style w:type="paragraph" w:styleId="15">
    <w:name w:val="Plain Text"/>
    <w:basedOn w:val="1"/>
    <w:next w:val="1"/>
    <w:qFormat/>
    <w:uiPriority w:val="0"/>
    <w:rPr>
      <w:rFonts w:ascii="宋体" w:hAnsi="Courier New"/>
    </w:rPr>
  </w:style>
  <w:style w:type="paragraph" w:styleId="16">
    <w:name w:val="Date"/>
    <w:basedOn w:val="1"/>
    <w:next w:val="1"/>
    <w:qFormat/>
    <w:uiPriority w:val="0"/>
    <w:rPr>
      <w:sz w:val="24"/>
      <w:szCs w:val="20"/>
    </w:rPr>
  </w:style>
  <w:style w:type="paragraph" w:styleId="17">
    <w:name w:val="Body Text Indent 2"/>
    <w:basedOn w:val="1"/>
    <w:qFormat/>
    <w:uiPriority w:val="0"/>
    <w:pPr>
      <w:spacing w:after="120" w:afterLines="0" w:line="480" w:lineRule="auto"/>
      <w:ind w:leftChars="200"/>
    </w:pPr>
    <w:rPr>
      <w:sz w:val="24"/>
    </w:rPr>
  </w:style>
  <w:style w:type="paragraph" w:styleId="18">
    <w:name w:val="footer"/>
    <w:basedOn w:val="1"/>
    <w:qFormat/>
    <w:uiPriority w:val="99"/>
    <w:pPr>
      <w:tabs>
        <w:tab w:val="center" w:pos="4153"/>
        <w:tab w:val="right" w:pos="8306"/>
      </w:tabs>
      <w:snapToGrid w:val="0"/>
      <w:jc w:val="left"/>
    </w:pPr>
    <w:rPr>
      <w:kern w:val="0"/>
      <w:sz w:val="18"/>
      <w:szCs w:val="20"/>
    </w:rPr>
  </w:style>
  <w:style w:type="paragraph" w:styleId="19">
    <w:name w:val="toc 1"/>
    <w:basedOn w:val="1"/>
    <w:next w:val="1"/>
    <w:qFormat/>
    <w:uiPriority w:val="0"/>
  </w:style>
  <w:style w:type="paragraph" w:styleId="20">
    <w:name w:val="List"/>
    <w:basedOn w:val="1"/>
    <w:qFormat/>
    <w:uiPriority w:val="0"/>
    <w:pPr>
      <w:spacing w:line="480" w:lineRule="exact"/>
      <w:ind w:left="200" w:hanging="200" w:hangingChars="200"/>
      <w:jc w:val="left"/>
    </w:pPr>
    <w:rPr>
      <w:szCs w:val="22"/>
    </w:rPr>
  </w:style>
  <w:style w:type="paragraph" w:styleId="21">
    <w:name w:val="Body Text Indent 3"/>
    <w:basedOn w:val="1"/>
    <w:qFormat/>
    <w:uiPriority w:val="0"/>
    <w:pPr>
      <w:spacing w:after="120"/>
      <w:ind w:left="420" w:leftChars="200"/>
    </w:pPr>
    <w:rPr>
      <w:rFonts w:ascii="Times New Roman" w:hAnsi="Times New Roman"/>
      <w:kern w:val="0"/>
      <w:sz w:val="16"/>
      <w:szCs w:val="16"/>
    </w:r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3">
    <w:name w:val="Body Text First Indent"/>
    <w:basedOn w:val="9"/>
    <w:next w:val="1"/>
    <w:qFormat/>
    <w:uiPriority w:val="0"/>
    <w:pPr>
      <w:ind w:firstLine="420" w:firstLineChars="100"/>
    </w:pPr>
    <w:rPr>
      <w:sz w:val="24"/>
    </w:rPr>
  </w:style>
  <w:style w:type="paragraph" w:styleId="24">
    <w:name w:val="Body Text First Indent 2"/>
    <w:basedOn w:val="1"/>
    <w:next w:val="23"/>
    <w:qFormat/>
    <w:uiPriority w:val="0"/>
    <w:pPr>
      <w:widowControl w:val="0"/>
      <w:ind w:firstLine="420" w:firstLineChars="200"/>
      <w:jc w:val="both"/>
    </w:pPr>
    <w:rPr>
      <w:kern w:val="2"/>
      <w:sz w:val="21"/>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Emphasis"/>
    <w:qFormat/>
    <w:uiPriority w:val="20"/>
  </w:style>
  <w:style w:type="character" w:styleId="31">
    <w:name w:val="Hyperlink"/>
    <w:qFormat/>
    <w:uiPriority w:val="0"/>
    <w:rPr>
      <w:color w:val="000000"/>
      <w:u w:val="none"/>
    </w:rPr>
  </w:style>
  <w:style w:type="character" w:styleId="32">
    <w:name w:val="annotation reference"/>
    <w:basedOn w:val="27"/>
    <w:qFormat/>
    <w:uiPriority w:val="0"/>
    <w:rPr>
      <w:sz w:val="21"/>
    </w:rPr>
  </w:style>
  <w:style w:type="paragraph" w:customStyle="1" w:styleId="3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4">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样式 标题 1 + 四号 段前: 0 磅 段后: 0 磅 行距: 1.5 倍行距"/>
    <w:basedOn w:val="36"/>
    <w:next w:val="38"/>
    <w:qFormat/>
    <w:uiPriority w:val="0"/>
    <w:pPr>
      <w:spacing w:line="360" w:lineRule="auto"/>
      <w:jc w:val="center"/>
    </w:pPr>
  </w:style>
  <w:style w:type="paragraph" w:customStyle="1" w:styleId="36">
    <w:name w:val="报告表正文"/>
    <w:basedOn w:val="1"/>
    <w:next w:val="37"/>
    <w:qFormat/>
    <w:uiPriority w:val="0"/>
    <w:pPr>
      <w:adjustRightInd w:val="0"/>
      <w:spacing w:line="312" w:lineRule="auto"/>
      <w:ind w:left="113" w:right="113" w:firstLine="482"/>
      <w:jc w:val="left"/>
      <w:textAlignment w:val="baseline"/>
    </w:pPr>
    <w:rPr>
      <w:kern w:val="0"/>
      <w:sz w:val="24"/>
    </w:rPr>
  </w:style>
  <w:style w:type="paragraph" w:customStyle="1" w:styleId="37">
    <w:name w:val="报告表正文（首行缩进）"/>
    <w:basedOn w:val="36"/>
    <w:qFormat/>
    <w:uiPriority w:val="0"/>
    <w:pPr>
      <w:wordWrap w:val="0"/>
      <w:ind w:firstLine="562" w:firstLineChars="200"/>
    </w:pPr>
  </w:style>
  <w:style w:type="paragraph" w:customStyle="1" w:styleId="38">
    <w:name w:val="文本正文"/>
    <w:basedOn w:val="1"/>
    <w:qFormat/>
    <w:uiPriority w:val="0"/>
    <w:pPr>
      <w:snapToGrid w:val="0"/>
      <w:spacing w:line="360" w:lineRule="auto"/>
      <w:ind w:firstLine="510"/>
      <w:jc w:val="left"/>
    </w:pPr>
    <w:rPr>
      <w:spacing w:val="4"/>
      <w:kern w:val="24"/>
      <w:szCs w:val="24"/>
      <w:lang w:val="zh-CN"/>
    </w:rPr>
  </w:style>
  <w:style w:type="paragraph" w:customStyle="1" w:styleId="39">
    <w:name w:val="样式 黑色 行距: 最小值 26 磅"/>
    <w:basedOn w:val="1"/>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0">
    <w:name w:val="表格"/>
    <w:basedOn w:val="5"/>
    <w:next w:val="5"/>
    <w:qFormat/>
    <w:uiPriority w:val="0"/>
    <w:pPr>
      <w:adjustRightInd w:val="0"/>
      <w:snapToGrid w:val="0"/>
      <w:spacing w:beforeLines="10" w:afterLines="10" w:line="259" w:lineRule="auto"/>
      <w:jc w:val="center"/>
    </w:pPr>
    <w:rPr>
      <w:rFonts w:ascii="宋体"/>
      <w:kern w:val="0"/>
      <w:szCs w:val="20"/>
    </w:rPr>
  </w:style>
  <w:style w:type="paragraph" w:customStyle="1" w:styleId="41">
    <w:name w:val="图标题"/>
    <w:basedOn w:val="1"/>
    <w:qFormat/>
    <w:uiPriority w:val="0"/>
    <w:pPr>
      <w:tabs>
        <w:tab w:val="left" w:pos="1035"/>
      </w:tabs>
      <w:spacing w:afterLines="100"/>
      <w:jc w:val="center"/>
    </w:pPr>
    <w:rPr>
      <w:sz w:val="24"/>
    </w:rPr>
  </w:style>
  <w:style w:type="paragraph" w:customStyle="1" w:styleId="42">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3">
    <w:name w:val="p17"/>
    <w:basedOn w:val="1"/>
    <w:qFormat/>
    <w:uiPriority w:val="0"/>
    <w:pPr>
      <w:widowControl/>
      <w:spacing w:after="120" w:afterLines="0"/>
    </w:pPr>
    <w:rPr>
      <w:kern w:val="0"/>
      <w:sz w:val="30"/>
      <w:szCs w:val="30"/>
    </w:rPr>
  </w:style>
  <w:style w:type="paragraph" w:customStyle="1" w:styleId="44">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5">
    <w:name w:val="ggzbt011"/>
    <w:basedOn w:val="27"/>
    <w:qFormat/>
    <w:uiPriority w:val="0"/>
  </w:style>
  <w:style w:type="paragraph" w:customStyle="1" w:styleId="46">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7">
    <w:name w:val="dz1"/>
    <w:basedOn w:val="27"/>
    <w:qFormat/>
    <w:uiPriority w:val="0"/>
    <w:rPr>
      <w:rFonts w:hint="default" w:ascii="Geneva" w:hAnsi="Geneva"/>
      <w:sz w:val="20"/>
      <w:szCs w:val="20"/>
    </w:rPr>
  </w:style>
  <w:style w:type="paragraph" w:customStyle="1" w:styleId="48">
    <w:name w:val="制表格"/>
    <w:basedOn w:val="1"/>
    <w:qFormat/>
    <w:uiPriority w:val="0"/>
    <w:pPr>
      <w:jc w:val="center"/>
    </w:pPr>
    <w:rPr>
      <w:rFonts w:ascii="Times New Roman" w:hAnsi="Times New Roman"/>
      <w:snapToGrid w:val="0"/>
      <w:kern w:val="0"/>
      <w:szCs w:val="28"/>
    </w:rPr>
  </w:style>
  <w:style w:type="paragraph" w:customStyle="1" w:styleId="49">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0">
    <w:name w:val="11"/>
    <w:basedOn w:val="9"/>
    <w:next w:val="14"/>
    <w:qFormat/>
    <w:uiPriority w:val="0"/>
    <w:pPr>
      <w:autoSpaceDE w:val="0"/>
      <w:autoSpaceDN w:val="0"/>
      <w:adjustRightInd w:val="0"/>
      <w:spacing w:after="0" w:line="360" w:lineRule="auto"/>
      <w:ind w:firstLine="1320" w:firstLineChars="550"/>
      <w:textAlignment w:val="baseline"/>
    </w:pPr>
    <w:rPr>
      <w:sz w:val="24"/>
    </w:rPr>
  </w:style>
  <w:style w:type="paragraph" w:customStyle="1" w:styleId="51">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2">
    <w:name w:val="WPSOffice手动目录 1"/>
    <w:qFormat/>
    <w:uiPriority w:val="0"/>
    <w:pPr>
      <w:ind w:leftChars="0"/>
    </w:pPr>
    <w:rPr>
      <w:rFonts w:ascii="Times New Roman" w:hAnsi="Times New Roman" w:eastAsia="宋体" w:cs="Times New Roman"/>
      <w:sz w:val="20"/>
      <w:szCs w:val="20"/>
    </w:rPr>
  </w:style>
  <w:style w:type="paragraph" w:customStyle="1" w:styleId="53">
    <w:name w:val="表头（书）"/>
    <w:basedOn w:val="1"/>
    <w:next w:val="40"/>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4">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5">
    <w:name w:val="p0"/>
    <w:basedOn w:val="1"/>
    <w:qFormat/>
    <w:uiPriority w:val="0"/>
    <w:pPr>
      <w:widowControl/>
    </w:pPr>
    <w:rPr>
      <w:rFonts w:eastAsia="Arial Unicode MS"/>
      <w:kern w:val="0"/>
      <w:szCs w:val="21"/>
    </w:rPr>
  </w:style>
  <w:style w:type="paragraph" w:customStyle="1" w:styleId="56">
    <w:name w:val="赵"/>
    <w:basedOn w:val="1"/>
    <w:qFormat/>
    <w:uiPriority w:val="0"/>
    <w:pPr>
      <w:spacing w:line="360" w:lineRule="auto"/>
      <w:ind w:firstLine="200" w:firstLineChars="200"/>
    </w:pPr>
    <w:rPr>
      <w:color w:val="000000"/>
      <w:kern w:val="0"/>
      <w:sz w:val="24"/>
      <w:szCs w:val="24"/>
    </w:rPr>
  </w:style>
  <w:style w:type="paragraph" w:customStyle="1" w:styleId="57">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8">
    <w:name w:val="填表5中"/>
    <w:basedOn w:val="1"/>
    <w:next w:val="1"/>
    <w:qFormat/>
    <w:uiPriority w:val="0"/>
    <w:pPr>
      <w:spacing w:line="300" w:lineRule="exact"/>
      <w:jc w:val="center"/>
    </w:pPr>
    <w:rPr>
      <w:rFonts w:ascii="宋体"/>
      <w:sz w:val="24"/>
      <w:szCs w:val="21"/>
    </w:rPr>
  </w:style>
  <w:style w:type="character" w:customStyle="1" w:styleId="59">
    <w:name w:val="fw2"/>
    <w:basedOn w:val="27"/>
    <w:qFormat/>
    <w:uiPriority w:val="0"/>
  </w:style>
  <w:style w:type="paragraph" w:customStyle="1" w:styleId="60">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1">
    <w:name w:val="1文章"/>
    <w:basedOn w:val="1"/>
    <w:qFormat/>
    <w:uiPriority w:val="0"/>
    <w:pPr>
      <w:spacing w:line="360" w:lineRule="auto"/>
      <w:ind w:firstLine="573"/>
    </w:pPr>
    <w:rPr>
      <w:rFonts w:eastAsia="楷体_GB2312"/>
      <w:sz w:val="28"/>
      <w:szCs w:val="20"/>
    </w:rPr>
  </w:style>
  <w:style w:type="paragraph" w:customStyle="1" w:styleId="62">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3">
    <w:name w:val="List Paragraph"/>
    <w:basedOn w:val="1"/>
    <w:qFormat/>
    <w:uiPriority w:val="0"/>
    <w:pPr>
      <w:ind w:firstLine="420" w:firstLineChars="200"/>
    </w:pPr>
    <w:rPr>
      <w:szCs w:val="22"/>
    </w:rPr>
  </w:style>
  <w:style w:type="paragraph" w:customStyle="1" w:styleId="64">
    <w:name w:val="报告表格"/>
    <w:basedOn w:val="1"/>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5">
    <w:name w:val="正文01"/>
    <w:basedOn w:val="2"/>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6">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67">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paragraph" w:customStyle="1" w:styleId="68">
    <w:name w:val="正文样式1"/>
    <w:basedOn w:val="1"/>
    <w:qFormat/>
    <w:uiPriority w:val="0"/>
    <w:pPr>
      <w:adjustRightInd w:val="0"/>
      <w:spacing w:line="288" w:lineRule="auto"/>
      <w:ind w:firstLine="360" w:firstLineChars="150"/>
      <w:textAlignment w:val="baseline"/>
    </w:pPr>
    <w:rPr>
      <w:kern w:val="0"/>
      <w:sz w:val="24"/>
      <w:szCs w:val="20"/>
    </w:rPr>
  </w:style>
  <w:style w:type="paragraph" w:customStyle="1" w:styleId="69">
    <w:name w:val="Table Paragraph"/>
    <w:basedOn w:val="1"/>
    <w:qFormat/>
    <w:uiPriority w:val="1"/>
  </w:style>
  <w:style w:type="paragraph" w:customStyle="1" w:styleId="70">
    <w:name w:val="表"/>
    <w:basedOn w:val="1"/>
    <w:qFormat/>
    <w:uiPriority w:val="0"/>
    <w:pPr>
      <w:snapToGrid w:val="0"/>
    </w:pPr>
    <w:rPr>
      <w:rFonts w:ascii="Times New Roman"/>
      <w:spacing w:val="0"/>
      <w:sz w:val="21"/>
      <w:szCs w:val="24"/>
    </w:rPr>
  </w:style>
  <w:style w:type="paragraph" w:customStyle="1" w:styleId="71">
    <w:name w:val="图名"/>
    <w:basedOn w:val="1"/>
    <w:qFormat/>
    <w:uiPriority w:val="0"/>
    <w:pPr>
      <w:ind w:firstLine="0" w:firstLineChars="0"/>
      <w:jc w:val="center"/>
    </w:pPr>
    <w:rPr>
      <w:rFonts w:eastAsia="黑体"/>
      <w:b/>
    </w:rPr>
  </w:style>
  <w:style w:type="paragraph" w:customStyle="1" w:styleId="72">
    <w:name w:val="z表格"/>
    <w:basedOn w:val="1"/>
    <w:qFormat/>
    <w:uiPriority w:val="0"/>
    <w:pPr>
      <w:widowControl/>
      <w:spacing w:line="360" w:lineRule="exact"/>
      <w:jc w:val="center"/>
    </w:pPr>
    <w:rPr>
      <w:rFonts w:ascii="Times New Roman" w:hAnsi="Times New Roman"/>
      <w:szCs w:val="21"/>
    </w:rPr>
  </w:style>
  <w:style w:type="paragraph" w:customStyle="1" w:styleId="73">
    <w:name w:val="样式 样式 样式 正文首行缩进 + 首行缩进:  2 字符 + 首行缩进:  2 字符 + 首行缩进:  2 字符"/>
    <w:basedOn w:val="1"/>
    <w:qFormat/>
    <w:uiPriority w:val="0"/>
    <w:pPr>
      <w:widowControl/>
      <w:spacing w:line="560" w:lineRule="exact"/>
      <w:ind w:firstLine="560" w:firstLineChars="200"/>
      <w:jc w:val="left"/>
    </w:pPr>
    <w:rPr>
      <w:rFonts w:ascii="Arial Narrow" w:hAnsi="Arial Narrow"/>
      <w:kern w:val="0"/>
      <w:sz w:val="28"/>
      <w:szCs w:val="24"/>
    </w:rPr>
  </w:style>
  <w:style w:type="table" w:customStyle="1" w:styleId="74">
    <w:name w:val="Table Normal"/>
    <w:semiHidden/>
    <w:unhideWhenUsed/>
    <w:qFormat/>
    <w:uiPriority w:val="0"/>
    <w:tblPr>
      <w:tblCellMar>
        <w:top w:w="0" w:type="dxa"/>
        <w:left w:w="0" w:type="dxa"/>
        <w:bottom w:w="0" w:type="dxa"/>
        <w:right w:w="0" w:type="dxa"/>
      </w:tblCellMar>
    </w:tblPr>
  </w:style>
  <w:style w:type="character" w:customStyle="1" w:styleId="75">
    <w:name w:val="font41"/>
    <w:basedOn w:val="27"/>
    <w:qFormat/>
    <w:uiPriority w:val="0"/>
    <w:rPr>
      <w:rFonts w:hint="default" w:ascii="Times New Roman" w:hAnsi="Times New Roman" w:cs="Times New Roman"/>
      <w:color w:val="000000"/>
      <w:sz w:val="20"/>
      <w:szCs w:val="20"/>
      <w:u w:val="none"/>
    </w:rPr>
  </w:style>
  <w:style w:type="character" w:customStyle="1" w:styleId="76">
    <w:name w:val="font21"/>
    <w:basedOn w:val="27"/>
    <w:qFormat/>
    <w:uiPriority w:val="0"/>
    <w:rPr>
      <w:rFonts w:hint="eastAsia" w:ascii="宋体" w:hAnsi="宋体" w:eastAsia="宋体" w:cs="宋体"/>
      <w:color w:val="000000"/>
      <w:sz w:val="20"/>
      <w:szCs w:val="20"/>
      <w:u w:val="none"/>
    </w:rPr>
  </w:style>
  <w:style w:type="character" w:customStyle="1" w:styleId="77">
    <w:name w:val="NormalCharacter"/>
    <w:qFormat/>
    <w:uiPriority w:val="0"/>
  </w:style>
  <w:style w:type="character" w:customStyle="1" w:styleId="78">
    <w:name w:val="font31"/>
    <w:basedOn w:val="27"/>
    <w:qFormat/>
    <w:uiPriority w:val="0"/>
    <w:rPr>
      <w:rFonts w:hint="default" w:ascii="Times New Roman" w:hAnsi="Times New Roman" w:cs="Times New Roman"/>
      <w:color w:val="000000"/>
      <w:sz w:val="21"/>
      <w:szCs w:val="21"/>
      <w:u w:val="none"/>
    </w:rPr>
  </w:style>
  <w:style w:type="character" w:customStyle="1" w:styleId="79">
    <w:name w:val="font01"/>
    <w:basedOn w:val="27"/>
    <w:qFormat/>
    <w:uiPriority w:val="0"/>
    <w:rPr>
      <w:rFonts w:hint="eastAsia" w:ascii="宋体" w:hAnsi="宋体" w:eastAsia="宋体" w:cs="宋体"/>
      <w:color w:val="FF0000"/>
      <w:sz w:val="21"/>
      <w:szCs w:val="21"/>
      <w:u w:val="none"/>
    </w:rPr>
  </w:style>
  <w:style w:type="character" w:customStyle="1" w:styleId="80">
    <w:name w:val="font51"/>
    <w:basedOn w:val="27"/>
    <w:qFormat/>
    <w:uiPriority w:val="0"/>
    <w:rPr>
      <w:rFonts w:hint="default" w:ascii="Times New Roman" w:hAnsi="Times New Roman" w:cs="Times New Roman"/>
      <w:color w:val="FF0000"/>
      <w:sz w:val="21"/>
      <w:szCs w:val="21"/>
      <w:u w:val="none"/>
    </w:rPr>
  </w:style>
  <w:style w:type="character" w:customStyle="1" w:styleId="81">
    <w:name w:val="font61"/>
    <w:basedOn w:val="27"/>
    <w:qFormat/>
    <w:uiPriority w:val="0"/>
    <w:rPr>
      <w:rFonts w:hint="eastAsia" w:ascii="宋体" w:hAnsi="宋体" w:eastAsia="宋体" w:cs="宋体"/>
      <w:color w:val="FF0000"/>
      <w:sz w:val="21"/>
      <w:szCs w:val="21"/>
      <w:u w:val="none"/>
    </w:rPr>
  </w:style>
  <w:style w:type="character" w:customStyle="1" w:styleId="82">
    <w:name w:val="font11"/>
    <w:basedOn w:val="27"/>
    <w:qFormat/>
    <w:uiPriority w:val="0"/>
    <w:rPr>
      <w:rFonts w:hint="default" w:ascii="仿宋_GB2312" w:eastAsia="仿宋_GB2312" w:cs="仿宋_GB2312"/>
      <w:b/>
      <w:bCs/>
      <w:color w:val="000000"/>
      <w:sz w:val="21"/>
      <w:szCs w:val="21"/>
      <w:u w:val="none"/>
    </w:rPr>
  </w:style>
  <w:style w:type="character" w:customStyle="1" w:styleId="83">
    <w:name w:val="font121"/>
    <w:basedOn w:val="27"/>
    <w:qFormat/>
    <w:uiPriority w:val="0"/>
    <w:rPr>
      <w:rFonts w:hint="eastAsia" w:ascii="宋体" w:hAnsi="宋体" w:eastAsia="宋体" w:cs="宋体"/>
      <w:color w:val="000000"/>
      <w:sz w:val="21"/>
      <w:szCs w:val="21"/>
      <w:u w:val="none"/>
    </w:rPr>
  </w:style>
  <w:style w:type="character" w:customStyle="1" w:styleId="84">
    <w:name w:val="font131"/>
    <w:basedOn w:val="27"/>
    <w:qFormat/>
    <w:uiPriority w:val="0"/>
    <w:rPr>
      <w:rFonts w:hint="eastAsia" w:ascii="微软雅黑" w:hAnsi="微软雅黑" w:eastAsia="微软雅黑" w:cs="微软雅黑"/>
      <w:color w:val="000000"/>
      <w:sz w:val="20"/>
      <w:szCs w:val="20"/>
      <w:u w:val="none"/>
    </w:rPr>
  </w:style>
  <w:style w:type="character" w:customStyle="1" w:styleId="85">
    <w:name w:val="font81"/>
    <w:basedOn w:val="27"/>
    <w:qFormat/>
    <w:uiPriority w:val="0"/>
    <w:rPr>
      <w:rFonts w:hint="eastAsia" w:ascii="宋体" w:hAnsi="宋体" w:eastAsia="宋体" w:cs="宋体"/>
      <w:color w:val="000000"/>
      <w:sz w:val="20"/>
      <w:szCs w:val="20"/>
      <w:u w:val="none"/>
    </w:rPr>
  </w:style>
  <w:style w:type="paragraph" w:customStyle="1" w:styleId="86">
    <w:name w:val="样式 (西文) Times New Roman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87">
    <w:name w:val="文本22"/>
    <w:basedOn w:val="1"/>
    <w:qFormat/>
    <w:uiPriority w:val="0"/>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paragraph" w:customStyle="1" w:styleId="88">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9">
    <w:name w:val="表格内文字"/>
    <w:semiHidden/>
    <w:qFormat/>
    <w:uiPriority w:val="0"/>
    <w:pPr>
      <w:keepNext/>
      <w:widowControl w:val="0"/>
      <w:spacing w:line="240" w:lineRule="atLeast"/>
      <w:jc w:val="center"/>
    </w:pPr>
    <w:rPr>
      <w:rFonts w:ascii="宋体" w:hAnsi="宋体" w:eastAsia="宋体" w:cs="Times New Roman"/>
      <w:w w:val="90"/>
      <w:sz w:val="21"/>
      <w:szCs w:val="22"/>
      <w:lang w:val="en-US" w:eastAsia="zh-CN" w:bidi="ar-SA"/>
    </w:rPr>
  </w:style>
  <w:style w:type="character" w:customStyle="1" w:styleId="90">
    <w:name w:val="正文文本 Char"/>
    <w:basedOn w:val="27"/>
    <w:link w:val="9"/>
    <w:qFormat/>
    <w:locked/>
    <w:uiPriority w:val="0"/>
  </w:style>
  <w:style w:type="paragraph" w:customStyle="1" w:styleId="91">
    <w:name w:val="小四宋居中1.0"/>
    <w:basedOn w:val="1"/>
    <w:next w:val="1"/>
    <w:qFormat/>
    <w:uiPriority w:val="0"/>
    <w:pPr>
      <w:spacing w:line="230" w:lineRule="exact"/>
      <w:jc w:val="center"/>
    </w:pPr>
    <w:rPr>
      <w:rFonts w:ascii="仿宋_GB2312" w:hAnsi="Arial" w:eastAsia="仿宋_GB2312" w:cs="Arial"/>
      <w:szCs w:val="21"/>
    </w:rPr>
  </w:style>
  <w:style w:type="paragraph" w:customStyle="1" w:styleId="92">
    <w:name w:val="表标题1"/>
    <w:basedOn w:val="1"/>
    <w:qFormat/>
    <w:uiPriority w:val="0"/>
    <w:pPr>
      <w:tabs>
        <w:tab w:val="left" w:pos="1848"/>
        <w:tab w:val="left" w:pos="6061"/>
        <w:tab w:val="left" w:pos="8665"/>
      </w:tabs>
      <w:snapToGrid w:val="0"/>
      <w:spacing w:before="156" w:beforeLines="50" w:line="460" w:lineRule="exact"/>
      <w:ind w:firstLine="480" w:firstLineChars="200"/>
      <w:jc w:val="center"/>
    </w:pPr>
    <w:rPr>
      <w:rFonts w:ascii="宋体" w:hAnsi="宋体"/>
      <w:spacing w:val="15"/>
      <w:sz w:val="24"/>
      <w:szCs w:val="24"/>
    </w:rPr>
  </w:style>
  <w:style w:type="paragraph" w:customStyle="1" w:styleId="93">
    <w:name w:val="报告书标题3"/>
    <w:basedOn w:val="1"/>
    <w:qFormat/>
    <w:uiPriority w:val="0"/>
    <w:pPr>
      <w:outlineLvl w:val="2"/>
    </w:pPr>
    <w:rPr>
      <w:rFonts w:ascii="Calibri" w:hAnsi="Calibri"/>
      <w:b/>
      <w:bCs/>
      <w:kern w:val="24"/>
      <w:szCs w:val="22"/>
    </w:rPr>
  </w:style>
  <w:style w:type="paragraph" w:customStyle="1" w:styleId="94">
    <w:name w:val="无间隔1"/>
    <w:qFormat/>
    <w:uiPriority w:val="0"/>
    <w:pPr>
      <w:widowControl w:val="0"/>
      <w:jc w:val="center"/>
    </w:pPr>
    <w:rPr>
      <w:rFonts w:ascii="Times New Roman" w:hAnsi="Times New Roman" w:eastAsia="宋体" w:cs="黑体"/>
      <w:kern w:val="2"/>
      <w:sz w:val="21"/>
      <w:szCs w:val="22"/>
      <w:lang w:val="en-US" w:eastAsia="zh-CN" w:bidi="ar-SA"/>
    </w:rPr>
  </w:style>
  <w:style w:type="character" w:customStyle="1" w:styleId="95">
    <w:name w:val="font71"/>
    <w:basedOn w:val="27"/>
    <w:qFormat/>
    <w:uiPriority w:val="0"/>
    <w:rPr>
      <w:rFonts w:hint="default" w:ascii="Times New Roman" w:hAnsi="Times New Roman" w:cs="Times New Roman"/>
      <w:color w:val="0000FF"/>
      <w:sz w:val="21"/>
      <w:szCs w:val="21"/>
      <w:u w:val="none"/>
      <w:vertAlign w:val="superscript"/>
    </w:rPr>
  </w:style>
  <w:style w:type="character" w:customStyle="1" w:styleId="96">
    <w:name w:val="font91"/>
    <w:basedOn w:val="27"/>
    <w:qFormat/>
    <w:uiPriority w:val="0"/>
    <w:rPr>
      <w:rFonts w:hint="eastAsia" w:ascii="宋体" w:hAnsi="宋体" w:eastAsia="宋体" w:cs="宋体"/>
      <w:color w:val="FF0000"/>
      <w:sz w:val="21"/>
      <w:szCs w:val="21"/>
      <w:u w:val="none"/>
    </w:rPr>
  </w:style>
  <w:style w:type="character" w:customStyle="1" w:styleId="97">
    <w:name w:val="font101"/>
    <w:basedOn w:val="27"/>
    <w:qFormat/>
    <w:uiPriority w:val="0"/>
    <w:rPr>
      <w:rFonts w:hint="default" w:ascii="Times New Roman" w:hAnsi="Times New Roman" w:cs="Times New Roman"/>
      <w:b/>
      <w:bCs/>
      <w:color w:val="000000"/>
      <w:sz w:val="21"/>
      <w:szCs w:val="21"/>
      <w:u w:val="none"/>
    </w:rPr>
  </w:style>
  <w:style w:type="character" w:customStyle="1" w:styleId="98">
    <w:name w:val="font112"/>
    <w:basedOn w:val="27"/>
    <w:qFormat/>
    <w:uiPriority w:val="0"/>
    <w:rPr>
      <w:rFonts w:hint="eastAsia" w:ascii="宋体" w:hAnsi="宋体" w:eastAsia="宋体" w:cs="宋体"/>
      <w:color w:val="FF0000"/>
      <w:sz w:val="21"/>
      <w:szCs w:val="21"/>
      <w:u w:val="none"/>
    </w:rPr>
  </w:style>
  <w:style w:type="character" w:customStyle="1" w:styleId="99">
    <w:name w:val="font111"/>
    <w:basedOn w:val="27"/>
    <w:qFormat/>
    <w:uiPriority w:val="0"/>
    <w:rPr>
      <w:rFonts w:hint="default" w:ascii="Times New Roman" w:hAnsi="Times New Roman" w:cs="Times New Roman"/>
      <w:b/>
      <w:bCs/>
      <w:color w:val="000000"/>
      <w:sz w:val="21"/>
      <w:szCs w:val="21"/>
      <w:u w:val="none"/>
    </w:rPr>
  </w:style>
  <w:style w:type="character" w:customStyle="1" w:styleId="100">
    <w:name w:val="font12"/>
    <w:basedOn w:val="27"/>
    <w:qFormat/>
    <w:uiPriority w:val="0"/>
    <w:rPr>
      <w:rFonts w:hint="default" w:ascii="Times New Roman" w:hAnsi="Times New Roman" w:cs="Times New Roman"/>
      <w:color w:val="000000"/>
      <w:sz w:val="21"/>
      <w:szCs w:val="21"/>
      <w:u w:val="none"/>
    </w:rPr>
  </w:style>
  <w:style w:type="character" w:customStyle="1" w:styleId="101">
    <w:name w:val="font122"/>
    <w:basedOn w:val="27"/>
    <w:qFormat/>
    <w:uiPriority w:val="0"/>
    <w:rPr>
      <w:rFonts w:hint="eastAsia" w:ascii="宋体" w:hAnsi="宋体" w:eastAsia="宋体" w:cs="宋体"/>
      <w:color w:val="FF0000"/>
      <w:sz w:val="21"/>
      <w:szCs w:val="21"/>
      <w:u w:val="none"/>
    </w:rPr>
  </w:style>
  <w:style w:type="paragraph" w:customStyle="1" w:styleId="102">
    <w:name w:val="报告正文"/>
    <w:basedOn w:val="1"/>
    <w:qFormat/>
    <w:uiPriority w:val="0"/>
    <w:pPr>
      <w:adjustRightInd w:val="0"/>
      <w:snapToGrid w:val="0"/>
      <w:spacing w:beforeLines="50" w:afterLines="50"/>
    </w:pPr>
    <w:rPr>
      <w:color w:val="auto"/>
      <w:spacing w:val="4"/>
      <w:sz w:val="24"/>
      <w:szCs w:val="22"/>
    </w:rPr>
  </w:style>
  <w:style w:type="paragraph" w:customStyle="1" w:styleId="103">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04">
    <w:name w:val="1正文"/>
    <w:basedOn w:val="1"/>
    <w:qFormat/>
    <w:uiPriority w:val="0"/>
    <w:pPr>
      <w:spacing w:line="500" w:lineRule="exact"/>
      <w:ind w:firstLine="588" w:firstLineChars="196"/>
    </w:pPr>
    <w:rPr>
      <w:rFonts w:eastAsia="楷体_GB2312"/>
      <w:sz w:val="30"/>
      <w:szCs w:val="30"/>
    </w:rPr>
  </w:style>
  <w:style w:type="paragraph" w:customStyle="1" w:styleId="105">
    <w:name w:val="表格标题"/>
    <w:basedOn w:val="1"/>
    <w:qFormat/>
    <w:uiPriority w:val="0"/>
    <w:pPr>
      <w:jc w:val="center"/>
    </w:pPr>
    <w:rPr>
      <w:b/>
    </w:rPr>
  </w:style>
  <w:style w:type="paragraph" w:customStyle="1" w:styleId="106">
    <w:name w:val="正文1"/>
    <w:next w:val="1"/>
    <w:qFormat/>
    <w:uiPriority w:val="0"/>
    <w:rPr>
      <w:rFonts w:ascii="Times New Roman" w:hAnsi="Times New Roman" w:eastAsia="宋体" w:cs="Times New Roman"/>
    </w:rPr>
  </w:style>
  <w:style w:type="paragraph" w:customStyle="1" w:styleId="107">
    <w:name w:val="正文HRZ"/>
    <w:qFormat/>
    <w:uiPriority w:val="0"/>
    <w:pPr>
      <w:spacing w:line="360" w:lineRule="auto"/>
      <w:ind w:firstLine="600" w:firstLineChars="200"/>
      <w:jc w:val="both"/>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6.wmf"/><Relationship Id="rId36" Type="http://schemas.openxmlformats.org/officeDocument/2006/relationships/oleObject" Target="embeddings/oleObject14.bin"/><Relationship Id="rId35" Type="http://schemas.openxmlformats.org/officeDocument/2006/relationships/image" Target="media/image15.wmf"/><Relationship Id="rId34" Type="http://schemas.openxmlformats.org/officeDocument/2006/relationships/oleObject" Target="embeddings/oleObject13.bin"/><Relationship Id="rId33" Type="http://schemas.openxmlformats.org/officeDocument/2006/relationships/image" Target="media/image14.wmf"/><Relationship Id="rId32" Type="http://schemas.openxmlformats.org/officeDocument/2006/relationships/oleObject" Target="embeddings/oleObject12.bin"/><Relationship Id="rId31" Type="http://schemas.openxmlformats.org/officeDocument/2006/relationships/image" Target="media/image13.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oleObject" Target="embeddings/oleObject10.bin"/><Relationship Id="rId27" Type="http://schemas.openxmlformats.org/officeDocument/2006/relationships/image" Target="media/image11.png"/><Relationship Id="rId26" Type="http://schemas.openxmlformats.org/officeDocument/2006/relationships/image" Target="media/image10.emf"/><Relationship Id="rId25" Type="http://schemas.openxmlformats.org/officeDocument/2006/relationships/oleObject" Target="embeddings/oleObject9.bin"/><Relationship Id="rId24" Type="http://schemas.openxmlformats.org/officeDocument/2006/relationships/image" Target="media/image9.emf"/><Relationship Id="rId23" Type="http://schemas.openxmlformats.org/officeDocument/2006/relationships/oleObject" Target="embeddings/oleObject8.bin"/><Relationship Id="rId22" Type="http://schemas.openxmlformats.org/officeDocument/2006/relationships/image" Target="media/image8.emf"/><Relationship Id="rId21" Type="http://schemas.openxmlformats.org/officeDocument/2006/relationships/oleObject" Target="embeddings/oleObject7.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867</Words>
  <Characters>984</Characters>
  <Lines>0</Lines>
  <Paragraphs>0</Paragraphs>
  <TotalTime>37</TotalTime>
  <ScaleCrop>false</ScaleCrop>
  <LinksUpToDate>false</LinksUpToDate>
  <CharactersWithSpaces>1082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听潮</cp:lastModifiedBy>
  <dcterms:modified xsi:type="dcterms:W3CDTF">2024-12-13T09:49:33Z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A7B3F7207B8746719C33570B2A50104A</vt:lpwstr>
  </property>
</Properties>
</file>