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昆明市生态环境局寻甸分局关于对《白石岩光伏发电项目环境影响报告表》的批复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寻甸乾润新能源有限公司：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你单位上报的委托云南科环环境工程咨询有限公司编制的《</w:t>
      </w:r>
      <w:r>
        <w:rPr>
          <w:rFonts w:hint="eastAsia" w:ascii="Times New Roman" w:hAnsi="Times New Roman" w:eastAsia="仿宋_GB2312" w:cs="Times New Roman"/>
          <w:color w:val="000000"/>
          <w:kern w:val="0"/>
          <w:sz w:val="32"/>
          <w:szCs w:val="32"/>
          <w:lang w:val="en-US" w:eastAsia="zh-CN" w:bidi="ar"/>
        </w:rPr>
        <w:t>白石岩</w:t>
      </w:r>
      <w:r>
        <w:rPr>
          <w:rFonts w:hint="default" w:ascii="Times New Roman" w:hAnsi="Times New Roman" w:eastAsia="仿宋_GB2312" w:cs="Times New Roman"/>
          <w:color w:val="000000"/>
          <w:kern w:val="0"/>
          <w:sz w:val="32"/>
          <w:szCs w:val="32"/>
          <w:lang w:val="en-US" w:eastAsia="zh-CN" w:bidi="ar"/>
        </w:rPr>
        <w:t>光伏发电项目环境影响报告表</w:t>
      </w:r>
      <w:bookmarkStart w:id="0" w:name="_GoBack"/>
      <w:bookmarkEnd w:id="0"/>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项目建设地点分为东北和西南2个片区</w:t>
      </w:r>
      <w:r>
        <w:rPr>
          <w:rFonts w:hint="eastAsia" w:ascii="Times New Roman" w:hAnsi="Times New Roman" w:eastAsia="仿宋_GB2312" w:cs="Times New Roman"/>
          <w:color w:val="000000"/>
          <w:kern w:val="0"/>
          <w:sz w:val="32"/>
          <w:szCs w:val="32"/>
          <w:lang w:val="en-US" w:eastAsia="zh-CN" w:bidi="ar"/>
        </w:rPr>
        <w:t>，东北片区位于昆明市寻甸回族彝族自治县河口镇境内</w:t>
      </w:r>
      <w:r>
        <w:rPr>
          <w:rFonts w:hint="default" w:ascii="Times New Roman" w:hAnsi="Times New Roman" w:eastAsia="仿宋_GB2312" w:cs="Times New Roman"/>
          <w:color w:val="000000"/>
          <w:kern w:val="0"/>
          <w:sz w:val="32"/>
          <w:szCs w:val="32"/>
          <w:lang w:val="en-US" w:eastAsia="zh-CN" w:bidi="ar"/>
        </w:rPr>
        <w:t>（项目中心位置地理坐标为</w:t>
      </w:r>
      <w:r>
        <w:rPr>
          <w:rFonts w:hint="eastAsia" w:ascii="Times New Roman" w:hAnsi="Times New Roman" w:eastAsia="仿宋_GB2312" w:cs="Times New Roman"/>
          <w:color w:val="000000"/>
          <w:kern w:val="0"/>
          <w:sz w:val="32"/>
          <w:szCs w:val="32"/>
          <w:lang w:val="en-US" w:eastAsia="zh-CN" w:bidi="ar"/>
        </w:rPr>
        <w:t>：东经103°28′49.107″，北纬25°43′50.692″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；西南片区位于昆明市寻甸回族彝族自治县河口镇、功山镇境内</w:t>
      </w:r>
      <w:r>
        <w:rPr>
          <w:rFonts w:hint="default" w:ascii="Times New Roman" w:hAnsi="Times New Roman" w:eastAsia="仿宋_GB2312" w:cs="Times New Roman"/>
          <w:color w:val="000000"/>
          <w:kern w:val="0"/>
          <w:sz w:val="32"/>
          <w:szCs w:val="32"/>
          <w:lang w:val="en-US" w:eastAsia="zh-CN" w:bidi="ar"/>
        </w:rPr>
        <w:t>（项目中心位置地理坐标为</w:t>
      </w:r>
      <w:r>
        <w:rPr>
          <w:rFonts w:hint="eastAsia" w:ascii="Times New Roman" w:hAnsi="Times New Roman" w:eastAsia="仿宋_GB2312" w:cs="Times New Roman"/>
          <w:color w:val="000000"/>
          <w:kern w:val="0"/>
          <w:sz w:val="32"/>
          <w:szCs w:val="32"/>
          <w:lang w:val="en-US" w:eastAsia="zh-CN" w:bidi="ar"/>
        </w:rPr>
        <w:t>：东经103°22′30.825″，北纬25°48′22.449″</w:t>
      </w:r>
      <w:r>
        <w:rPr>
          <w:rFonts w:hint="default" w:ascii="Times New Roman" w:hAnsi="Times New Roman" w:eastAsia="仿宋_GB2312" w:cs="Times New Roman"/>
          <w:color w:val="000000"/>
          <w:kern w:val="0"/>
          <w:sz w:val="32"/>
          <w:szCs w:val="32"/>
          <w:lang w:val="en-US" w:eastAsia="zh-CN" w:bidi="ar"/>
        </w:rPr>
        <w:t>)。项目总占地面积为56.3347hm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，其中永久占地0.0325hm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，临时占地56.3022hm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。工程额定容量45MW，实际直流侧安装容量57.72442MWp</w:t>
      </w:r>
      <w:r>
        <w:rPr>
          <w:rFonts w:hint="eastAsia" w:ascii="Times New Roman" w:hAnsi="Times New Roman" w:eastAsia="仿宋_GB2312" w:cs="Times New Roman"/>
          <w:color w:val="000000"/>
          <w:kern w:val="0"/>
          <w:sz w:val="32"/>
          <w:szCs w:val="32"/>
          <w:lang w:val="en-US" w:eastAsia="zh-CN" w:bidi="ar"/>
        </w:rPr>
        <w:t>。由14个光伏方阵、141台320kW的组串式逆变器、14台箱式变压器、集电线路组成，并</w:t>
      </w:r>
      <w:r>
        <w:rPr>
          <w:rFonts w:hint="default" w:ascii="Times New Roman" w:hAnsi="Times New Roman" w:eastAsia="仿宋_GB2312" w:cs="Times New Roman"/>
          <w:color w:val="000000"/>
          <w:kern w:val="0"/>
          <w:sz w:val="32"/>
          <w:szCs w:val="32"/>
          <w:lang w:val="en-US" w:eastAsia="zh-CN" w:bidi="ar"/>
        </w:rPr>
        <w:t>配套</w:t>
      </w:r>
      <w:r>
        <w:rPr>
          <w:rFonts w:hint="eastAsia" w:ascii="Times New Roman" w:hAnsi="Times New Roman" w:eastAsia="仿宋_GB2312" w:cs="Times New Roman"/>
          <w:color w:val="000000"/>
          <w:kern w:val="0"/>
          <w:sz w:val="32"/>
          <w:szCs w:val="32"/>
          <w:lang w:val="en-US" w:eastAsia="zh-CN" w:bidi="ar"/>
        </w:rPr>
        <w:t>建设</w:t>
      </w:r>
      <w:r>
        <w:rPr>
          <w:rFonts w:hint="default" w:ascii="Times New Roman" w:hAnsi="Times New Roman" w:eastAsia="仿宋_GB2312" w:cs="Times New Roman"/>
          <w:color w:val="000000"/>
          <w:kern w:val="0"/>
          <w:sz w:val="32"/>
          <w:szCs w:val="32"/>
          <w:lang w:val="en-US" w:eastAsia="zh-CN" w:bidi="ar"/>
        </w:rPr>
        <w:t>公辅工程和环保工程</w:t>
      </w:r>
      <w:r>
        <w:rPr>
          <w:rFonts w:hint="eastAsia" w:ascii="Times New Roman" w:hAnsi="Times New Roman" w:eastAsia="仿宋_GB2312" w:cs="Times New Roman"/>
          <w:color w:val="000000"/>
          <w:kern w:val="0"/>
          <w:sz w:val="32"/>
          <w:szCs w:val="32"/>
          <w:lang w:val="en-US" w:eastAsia="zh-CN" w:bidi="ar"/>
        </w:rPr>
        <w:t>设施。每个光伏方阵电力经箱变升压至35kV后通过2回35kV集电线路汇集电力后输送至依托的竹园沟光伏发电项目220kV升压站。总投资19400.0万元，环保投资102.5万元。</w:t>
      </w:r>
      <w:r>
        <w:rPr>
          <w:rFonts w:hint="default" w:ascii="Times New Roman" w:hAnsi="Times New Roman" w:eastAsia="仿宋_GB2312" w:cs="Times New Roman"/>
          <w:color w:val="000000"/>
          <w:kern w:val="0"/>
          <w:sz w:val="32"/>
          <w:szCs w:val="32"/>
          <w:lang w:val="en-US" w:eastAsia="zh-CN" w:bidi="ar"/>
        </w:rPr>
        <w:t>本项目不包含</w:t>
      </w:r>
      <w:r>
        <w:rPr>
          <w:rFonts w:hint="eastAsia" w:ascii="Times New Roman" w:hAnsi="Times New Roman" w:eastAsia="仿宋_GB2312" w:cs="Times New Roman"/>
          <w:color w:val="000000"/>
          <w:kern w:val="0"/>
          <w:sz w:val="32"/>
          <w:szCs w:val="32"/>
          <w:lang w:val="en-US" w:eastAsia="zh-CN" w:bidi="ar"/>
        </w:rPr>
        <w:t>升压站和</w:t>
      </w:r>
      <w:r>
        <w:rPr>
          <w:rFonts w:hint="default" w:ascii="Times New Roman" w:hAnsi="Times New Roman" w:eastAsia="仿宋_GB2312" w:cs="Times New Roman"/>
          <w:color w:val="000000"/>
          <w:kern w:val="0"/>
          <w:sz w:val="32"/>
          <w:szCs w:val="32"/>
          <w:lang w:val="en-US" w:eastAsia="zh-CN" w:bidi="ar"/>
        </w:rPr>
        <w:t>送出线路</w:t>
      </w:r>
      <w:r>
        <w:rPr>
          <w:rFonts w:hint="eastAsia" w:ascii="Times New Roman" w:hAnsi="Times New Roman" w:eastAsia="仿宋_GB2312" w:cs="Times New Roman"/>
          <w:color w:val="000000"/>
          <w:kern w:val="0"/>
          <w:sz w:val="32"/>
          <w:szCs w:val="32"/>
          <w:lang w:val="en-US" w:eastAsia="zh-CN" w:bidi="ar"/>
        </w:rPr>
        <w:t>工程</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白石岩</w:t>
      </w:r>
      <w:r>
        <w:rPr>
          <w:rFonts w:hint="default" w:ascii="Times New Roman" w:hAnsi="Times New Roman" w:eastAsia="仿宋_GB2312" w:cs="Times New Roman"/>
          <w:color w:val="000000"/>
          <w:kern w:val="0"/>
          <w:sz w:val="32"/>
          <w:szCs w:val="32"/>
          <w:lang w:val="en-US" w:eastAsia="zh-CN" w:bidi="ar"/>
        </w:rPr>
        <w:t>光伏发电项目环境影响报告表〉的技术评估意见》(昆环评估意见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42</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运营期</w:t>
      </w:r>
      <w:r>
        <w:rPr>
          <w:rFonts w:hint="eastAsia" w:ascii="Times New Roman" w:hAnsi="Times New Roman" w:eastAsia="仿宋_GB2312" w:cs="Times New Roman"/>
          <w:color w:val="000000"/>
          <w:kern w:val="0"/>
          <w:sz w:val="32"/>
          <w:szCs w:val="32"/>
          <w:lang w:val="en-US" w:eastAsia="zh-CN" w:bidi="ar"/>
        </w:rPr>
        <w:t>太阳能电池板清洗废水经收集处理后全部回用于光伏板下方植被浇灌，不得外排。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（三）产生噪声的场所应合理布局，产生噪声的设备应作隔声降噪处理，开关站四周设置实体围墙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光伏区、开关站场界噪声满足《工业企业厂界环境噪声排放标准》（GB12348-2008）1类区昼间标准要求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项目夜间不</w:t>
      </w:r>
      <w:r>
        <w:rPr>
          <w:rFonts w:hint="eastAsia" w:ascii="Times New Roman" w:hAnsi="Times New Roman" w:eastAsia="仿宋_GB2312" w:cs="Times New Roman"/>
          <w:color w:val="000000"/>
          <w:kern w:val="0"/>
          <w:sz w:val="32"/>
          <w:szCs w:val="32"/>
          <w:lang w:val="en-US" w:eastAsia="zh-CN" w:bidi="ar"/>
        </w:rPr>
        <w:t>运行</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废光伏板、废逆变器、废电气元件由</w:t>
      </w:r>
      <w:r>
        <w:rPr>
          <w:rFonts w:hint="default" w:ascii="Times New Roman" w:hAnsi="Times New Roman" w:eastAsia="仿宋_GB2312" w:cs="Times New Roman"/>
          <w:color w:val="000000"/>
          <w:kern w:val="0"/>
          <w:sz w:val="32"/>
          <w:szCs w:val="32"/>
          <w:lang w:val="en-US" w:eastAsia="zh-CN" w:bidi="ar"/>
        </w:rPr>
        <w:t>专门贮存室暂存，最终由厂家回收处置；</w:t>
      </w:r>
      <w:r>
        <w:rPr>
          <w:rFonts w:hint="eastAsia" w:ascii="Times New Roman" w:hAnsi="Times New Roman" w:eastAsia="仿宋_GB2312" w:cs="Times New Roman"/>
          <w:color w:val="000000"/>
          <w:kern w:val="0"/>
          <w:sz w:val="32"/>
          <w:szCs w:val="32"/>
          <w:lang w:val="en-US" w:eastAsia="zh-CN" w:bidi="ar"/>
        </w:rPr>
        <w:t>废矿物</w:t>
      </w:r>
      <w:r>
        <w:rPr>
          <w:rFonts w:hint="default" w:ascii="Times New Roman" w:hAnsi="Times New Roman" w:eastAsia="仿宋_GB2312" w:cs="Times New Roman"/>
          <w:color w:val="000000"/>
          <w:kern w:val="0"/>
          <w:sz w:val="32"/>
          <w:szCs w:val="32"/>
          <w:lang w:val="en-US" w:eastAsia="zh-CN" w:bidi="ar"/>
        </w:rPr>
        <w:t>油</w:t>
      </w:r>
      <w:r>
        <w:rPr>
          <w:rFonts w:hint="eastAsia" w:ascii="Times New Roman" w:hAnsi="Times New Roman" w:eastAsia="仿宋_GB2312" w:cs="Times New Roman"/>
          <w:color w:val="000000"/>
          <w:kern w:val="0"/>
          <w:sz w:val="32"/>
          <w:szCs w:val="32"/>
          <w:lang w:val="en-US" w:eastAsia="zh-CN" w:bidi="ar"/>
        </w:rPr>
        <w:t>等危险废物分类收集后按《危险废物贮存污染控制标准》（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）、《危险废物收集贮存运输技术规范》（HJ2025-2012）要求妥善收集、暂存，规范设置危险废物暂存间，委托有资质单位定期清运处理。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若项目建成前竹园沟光伏发电项目完成环保竣工验收，则可依托其专门贮存室和危险废物暂存间。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施工结束后及时对施工临时占地、施工迹地进行清理和恢复，减少施工期对生态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）严格执行环评风险影响评价中的各项防范措施，并建设相应的风险防范设施。光伏场区每个箱式变压器下方设置1个事故油池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严格按照《危险废物贮存污染控制标准》（GB 18597-2023）重点防渗进行设计建设，容积满足100%事故泄漏。编制突发环境事件应急预案并报我局备案，加强应急演练，建立完善应急报告制度，落实应急物资和经费，最大限度减轻风险事故对周围环境的影响。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请寻甸县生态环境保护综合行政执法大队负责组织项目环境执法现场监察和日常监督管理。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88B0D5E5-F81C-4C21-98B3-137A04362F59}"/>
  </w:font>
  <w:font w:name="仿宋_GB2312">
    <w:panose1 w:val="02010609030101010101"/>
    <w:charset w:val="86"/>
    <w:family w:val="auto"/>
    <w:pitch w:val="default"/>
    <w:sig w:usb0="00000001" w:usb1="080E0000" w:usb2="00000000" w:usb3="00000000" w:csb0="00040000" w:csb1="00000000"/>
    <w:embedRegular r:id="rId2" w:fontKey="{F3014033-A2DA-4725-AAD0-97A1034F63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6E96BF0"/>
    <w:rsid w:val="07003538"/>
    <w:rsid w:val="07047ECE"/>
    <w:rsid w:val="07056611"/>
    <w:rsid w:val="085034CC"/>
    <w:rsid w:val="09242161"/>
    <w:rsid w:val="09501527"/>
    <w:rsid w:val="09574530"/>
    <w:rsid w:val="09682D30"/>
    <w:rsid w:val="0B6158EF"/>
    <w:rsid w:val="0B725406"/>
    <w:rsid w:val="0BBF17D2"/>
    <w:rsid w:val="0C7E7DDA"/>
    <w:rsid w:val="0CEF2A86"/>
    <w:rsid w:val="0D7B27E6"/>
    <w:rsid w:val="0DA62398"/>
    <w:rsid w:val="0F295095"/>
    <w:rsid w:val="0F7751CB"/>
    <w:rsid w:val="10DE353E"/>
    <w:rsid w:val="114E7FBF"/>
    <w:rsid w:val="12C80001"/>
    <w:rsid w:val="13E06DE0"/>
    <w:rsid w:val="15344D3E"/>
    <w:rsid w:val="16842E16"/>
    <w:rsid w:val="16B03286"/>
    <w:rsid w:val="17CA0378"/>
    <w:rsid w:val="182C6111"/>
    <w:rsid w:val="190856D1"/>
    <w:rsid w:val="19DB2D10"/>
    <w:rsid w:val="1C442B37"/>
    <w:rsid w:val="1C776FFB"/>
    <w:rsid w:val="1E6D7CAF"/>
    <w:rsid w:val="205A64FE"/>
    <w:rsid w:val="211B0C99"/>
    <w:rsid w:val="23444EE2"/>
    <w:rsid w:val="275F084A"/>
    <w:rsid w:val="27DE43F7"/>
    <w:rsid w:val="284303FE"/>
    <w:rsid w:val="28B7647D"/>
    <w:rsid w:val="2AAD4DE5"/>
    <w:rsid w:val="2AB53CB1"/>
    <w:rsid w:val="2B3D4FB4"/>
    <w:rsid w:val="2B636170"/>
    <w:rsid w:val="300F6C4F"/>
    <w:rsid w:val="30355826"/>
    <w:rsid w:val="303C2D7D"/>
    <w:rsid w:val="304A0BE3"/>
    <w:rsid w:val="32F426CD"/>
    <w:rsid w:val="359758E5"/>
    <w:rsid w:val="3599165E"/>
    <w:rsid w:val="35E328D9"/>
    <w:rsid w:val="370A3C09"/>
    <w:rsid w:val="37E706C5"/>
    <w:rsid w:val="39567866"/>
    <w:rsid w:val="3A05363B"/>
    <w:rsid w:val="3B4751DC"/>
    <w:rsid w:val="3CE379C9"/>
    <w:rsid w:val="3CE60F00"/>
    <w:rsid w:val="3D9D5A63"/>
    <w:rsid w:val="3EC50C85"/>
    <w:rsid w:val="3F214472"/>
    <w:rsid w:val="40AE4EEF"/>
    <w:rsid w:val="41926BCA"/>
    <w:rsid w:val="41AA2E44"/>
    <w:rsid w:val="42450BBC"/>
    <w:rsid w:val="426A17F0"/>
    <w:rsid w:val="44D8697E"/>
    <w:rsid w:val="452D2A17"/>
    <w:rsid w:val="46B02CAB"/>
    <w:rsid w:val="46B34549"/>
    <w:rsid w:val="4B1F03FF"/>
    <w:rsid w:val="4B4E65EF"/>
    <w:rsid w:val="4C170BB6"/>
    <w:rsid w:val="4C6F694B"/>
    <w:rsid w:val="4C8147A2"/>
    <w:rsid w:val="4E1F4272"/>
    <w:rsid w:val="4F197025"/>
    <w:rsid w:val="4F530677"/>
    <w:rsid w:val="4F8E5B53"/>
    <w:rsid w:val="529F3A25"/>
    <w:rsid w:val="57E744EC"/>
    <w:rsid w:val="596D4A2C"/>
    <w:rsid w:val="597B6BDE"/>
    <w:rsid w:val="5A87563E"/>
    <w:rsid w:val="5BE27BBD"/>
    <w:rsid w:val="5C9C13F9"/>
    <w:rsid w:val="5D396AC1"/>
    <w:rsid w:val="5FA04EE8"/>
    <w:rsid w:val="5FBD4249"/>
    <w:rsid w:val="605E4DBC"/>
    <w:rsid w:val="63792FF4"/>
    <w:rsid w:val="64DD3F42"/>
    <w:rsid w:val="65381238"/>
    <w:rsid w:val="65E43E8E"/>
    <w:rsid w:val="67C972D1"/>
    <w:rsid w:val="683D381B"/>
    <w:rsid w:val="68D94361"/>
    <w:rsid w:val="6AF36CDB"/>
    <w:rsid w:val="6C766689"/>
    <w:rsid w:val="6CFB2365"/>
    <w:rsid w:val="6E056B89"/>
    <w:rsid w:val="6ED2320B"/>
    <w:rsid w:val="70992B18"/>
    <w:rsid w:val="72473092"/>
    <w:rsid w:val="75E874BC"/>
    <w:rsid w:val="769B3A88"/>
    <w:rsid w:val="7899684C"/>
    <w:rsid w:val="795D5ACB"/>
    <w:rsid w:val="79687D3A"/>
    <w:rsid w:val="7B3F191B"/>
    <w:rsid w:val="7BB67714"/>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2166</Words>
  <Characters>2315</Characters>
  <Lines>0</Lines>
  <Paragraphs>0</Paragraphs>
  <TotalTime>359</TotalTime>
  <ScaleCrop>false</ScaleCrop>
  <LinksUpToDate>false</LinksUpToDate>
  <CharactersWithSpaces>2324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2024-12-09T08:35:00Z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8AF8BC473F7E46AF85CA449FAF516219_13</vt:lpwstr>
  </property>
</Properties>
</file>